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1487" w:lineRule="exact"/>
        <w:ind w:left="423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9"/>
          <w:sz w:val="20"/>
          <w:szCs w:val="20"/>
        </w:rPr>
        <w:drawing>
          <wp:inline distT="0" distB="0" distL="0" distR="0">
            <wp:extent cx="945137" cy="944499"/>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945137" cy="944499"/>
                    </a:xfrm>
                    <a:prstGeom prst="rect">
                      <a:avLst/>
                    </a:prstGeom>
                  </pic:spPr>
                </pic:pic>
              </a:graphicData>
            </a:graphic>
          </wp:inline>
        </w:drawing>
      </w:r>
      <w:r>
        <w:rPr>
          <w:rFonts w:ascii="Times New Roman" w:hAnsi="Times New Roman" w:cs="Times New Roman" w:eastAsia="Times New Roman" w:hint="default"/>
          <w:position w:val="-29"/>
          <w:sz w:val="20"/>
          <w:szCs w:val="20"/>
        </w:rPr>
      </w:r>
    </w:p>
    <w:p>
      <w:pPr>
        <w:spacing w:line="240" w:lineRule="auto" w:before="10"/>
        <w:rPr>
          <w:rFonts w:ascii="Times New Roman" w:hAnsi="Times New Roman" w:cs="Times New Roman" w:eastAsia="Times New Roman" w:hint="default"/>
          <w:sz w:val="12"/>
          <w:szCs w:val="12"/>
        </w:rPr>
      </w:pPr>
    </w:p>
    <w:p>
      <w:pPr>
        <w:spacing w:line="460" w:lineRule="exact" w:before="0"/>
        <w:ind w:left="2784" w:right="3764" w:firstLine="0"/>
        <w:jc w:val="center"/>
        <w:rPr>
          <w:rFonts w:ascii="宋体" w:hAnsi="宋体" w:cs="宋体" w:eastAsia="宋体" w:hint="default"/>
          <w:sz w:val="36"/>
          <w:szCs w:val="36"/>
        </w:rPr>
      </w:pPr>
      <w:r>
        <w:rPr>
          <w:rFonts w:ascii="宋体" w:hAnsi="宋体" w:cs="宋体" w:eastAsia="宋体" w:hint="default"/>
          <w:b/>
          <w:bCs/>
          <w:sz w:val="36"/>
          <w:szCs w:val="36"/>
        </w:rPr>
        <w:t>中远海运科技股份有限公司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783" w:right="376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2784" w:right="376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79" w:top="1060" w:bottom="116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85" w:right="1133"/>
        <w:jc w:val="left"/>
        <w:rPr>
          <w:b w:val="0"/>
          <w:bCs w:val="0"/>
        </w:rPr>
      </w:pPr>
      <w:bookmarkStart w:name="_bookmark0" w:id="1"/>
      <w:bookmarkEnd w:id="1"/>
      <w:r>
        <w:rPr>
          <w:b w:val="0"/>
          <w:bCs w:val="0"/>
        </w:rPr>
      </w:r>
      <w:r>
        <w:rPr/>
        <w:t>第一节重要提示、目录和释义</w:t>
      </w:r>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5"/>
        <w:ind w:right="1136" w:firstLine="562"/>
        <w:jc w:val="both"/>
        <w:rPr>
          <w:b w:val="0"/>
          <w:bCs w:val="0"/>
        </w:rPr>
      </w:pPr>
      <w:r>
        <w:rPr>
          <w:spacing w:val="2"/>
        </w:rPr>
        <w:t>公司董事会、监事会及董事、监事、高级管理人员保证年度报告内容的真</w:t>
      </w:r>
      <w:r>
        <w:rPr>
          <w:w w:val="99"/>
        </w:rPr>
        <w:t> </w:t>
      </w:r>
      <w:r>
        <w:rPr>
          <w:spacing w:val="2"/>
        </w:rPr>
        <w:t>实、准确、完整，不存在虚假记载、误导性陈述或重大遗漏，并承担个别和连</w:t>
      </w:r>
      <w:r>
        <w:rPr>
          <w:w w:val="99"/>
        </w:rPr>
        <w:t> </w:t>
      </w:r>
      <w:r>
        <w:rPr/>
        <w:t>带的法律责任。</w:t>
      </w:r>
      <w:r>
        <w:rPr>
          <w:b w:val="0"/>
          <w:bCs w:val="0"/>
        </w:rPr>
      </w:r>
    </w:p>
    <w:p>
      <w:pPr>
        <w:pStyle w:val="Heading2"/>
        <w:spacing w:line="386" w:lineRule="auto" w:before="163"/>
        <w:ind w:right="1131" w:firstLine="562"/>
        <w:jc w:val="both"/>
        <w:rPr>
          <w:b w:val="0"/>
          <w:bCs w:val="0"/>
        </w:rPr>
      </w:pPr>
      <w:r>
        <w:rPr>
          <w:w w:val="95"/>
        </w:rPr>
        <w:t>公司负责人蔡惠星、主管会计工作负责人戴静及会计机构负责人</w:t>
      </w:r>
      <w:r>
        <w:rPr>
          <w:rFonts w:ascii="Times New Roman" w:hAnsi="Times New Roman" w:cs="Times New Roman" w:eastAsia="Times New Roman" w:hint="default"/>
          <w:w w:val="95"/>
        </w:rPr>
        <w:t>(</w:t>
      </w:r>
      <w:r>
        <w:rPr>
          <w:w w:val="95"/>
        </w:rPr>
        <w:t>会计主管</w:t>
      </w:r>
      <w:r>
        <w:rPr>
          <w:w w:val="99"/>
        </w:rPr>
        <w:t> </w:t>
      </w:r>
      <w:r>
        <w:rPr/>
        <w:t>人员</w:t>
      </w:r>
      <w:r>
        <w:rPr>
          <w:rFonts w:ascii="Times New Roman" w:hAnsi="Times New Roman" w:cs="Times New Roman" w:eastAsia="Times New Roman" w:hint="default"/>
        </w:rPr>
        <w:t>)</w:t>
      </w:r>
      <w:r>
        <w:rPr/>
        <w:t>吴琦声明：保证年度报告中财务报告的真实、准确、完整。</w:t>
      </w:r>
      <w:r>
        <w:rPr>
          <w:b w:val="0"/>
          <w:bCs w:val="0"/>
        </w:rPr>
      </w:r>
    </w:p>
    <w:p>
      <w:pPr>
        <w:pStyle w:val="Heading2"/>
        <w:spacing w:line="472" w:lineRule="auto" w:before="148"/>
        <w:ind w:left="714" w:right="1133"/>
        <w:jc w:val="left"/>
        <w:rPr>
          <w:b w:val="0"/>
          <w:bCs w:val="0"/>
        </w:rPr>
      </w:pPr>
      <w:r>
        <w:rPr/>
        <w:t>所有董事均已出席了审议本报告的董事会会议。</w:t>
      </w:r>
      <w:r>
        <w:rPr>
          <w:w w:val="99"/>
        </w:rPr>
        <w:t> </w:t>
      </w:r>
      <w:r>
        <w:rPr>
          <w:spacing w:val="2"/>
        </w:rPr>
        <w:t>本报告涉及未来计划，不构成公司对投资者的实质承诺，投资者及相关人</w:t>
      </w:r>
      <w:r>
        <w:rPr>
          <w:b w:val="0"/>
          <w:bCs w:val="0"/>
          <w:spacing w:val="2"/>
        </w:rPr>
      </w:r>
    </w:p>
    <w:p>
      <w:pPr>
        <w:pStyle w:val="Heading2"/>
        <w:spacing w:line="408" w:lineRule="auto"/>
        <w:ind w:right="1141"/>
        <w:jc w:val="both"/>
        <w:rPr>
          <w:b w:val="0"/>
          <w:bCs w:val="0"/>
        </w:rPr>
      </w:pPr>
      <w:r>
        <w:rPr>
          <w:spacing w:val="2"/>
        </w:rPr>
        <w:t>士均应当对此保持足够的风险认识，并且应当理解计划、预测与承诺之间的差</w:t>
      </w:r>
      <w:r>
        <w:rPr>
          <w:w w:val="99"/>
        </w:rPr>
        <w:t> </w:t>
      </w:r>
      <w:r>
        <w:rPr/>
        <w:t>异。</w:t>
      </w:r>
      <w:r>
        <w:rPr>
          <w:b w:val="0"/>
          <w:bCs w:val="0"/>
        </w:rPr>
      </w:r>
    </w:p>
    <w:p>
      <w:pPr>
        <w:pStyle w:val="Heading2"/>
        <w:spacing w:line="408" w:lineRule="auto" w:before="162"/>
        <w:ind w:right="1136" w:firstLine="562"/>
        <w:jc w:val="both"/>
        <w:rPr>
          <w:b w:val="0"/>
          <w:bCs w:val="0"/>
        </w:rPr>
      </w:pPr>
      <w:r>
        <w:rPr>
          <w:spacing w:val="2"/>
        </w:rPr>
        <w:t>公司存在市场竞争加剧的风险、创新转型的风险、关联交易风险等，敬请</w:t>
      </w:r>
      <w:r>
        <w:rPr>
          <w:w w:val="99"/>
        </w:rPr>
        <w:t> </w:t>
      </w:r>
      <w:r>
        <w:rPr/>
        <w:t>广大投资者注意投资风险。</w:t>
      </w:r>
      <w:r>
        <w:rPr>
          <w:b w:val="0"/>
          <w:bCs w:val="0"/>
        </w:rPr>
      </w:r>
    </w:p>
    <w:p>
      <w:pPr>
        <w:pStyle w:val="Heading2"/>
        <w:spacing w:line="398" w:lineRule="auto" w:before="162"/>
        <w:ind w:right="1131" w:firstLine="562"/>
        <w:jc w:val="both"/>
        <w:rPr>
          <w:b w:val="0"/>
          <w:bCs w:val="0"/>
        </w:rPr>
      </w:pPr>
      <w:r>
        <w:rPr>
          <w:spacing w:val="2"/>
        </w:rPr>
        <w:t>公司经本次董事会审议通过的利润分配预案为：以未来实施分配方案时股</w:t>
      </w:r>
      <w:r>
        <w:rPr>
          <w:w w:val="99"/>
        </w:rPr>
        <w:t> </w:t>
      </w:r>
      <w:r>
        <w:rPr>
          <w:spacing w:val="-2"/>
          <w:w w:val="99"/>
        </w:rPr>
        <w:t>权登记日的总股本为基数，向全体股东每</w:t>
      </w:r>
      <w:r>
        <w:rPr>
          <w:spacing w:val="-70"/>
          <w:w w:val="99"/>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1"/>
          <w:w w:val="100"/>
        </w:rPr>
        <w:t> </w:t>
      </w:r>
      <w:r>
        <w:rPr>
          <w:w w:val="99"/>
        </w:rPr>
        <w:t>股派发现金红利</w:t>
      </w:r>
      <w:r>
        <w:rPr>
          <w:spacing w:val="-70"/>
          <w:w w:val="99"/>
        </w:rPr>
        <w:t> </w:t>
      </w:r>
      <w:r>
        <w:rPr>
          <w:rFonts w:ascii="Times New Roman" w:hAnsi="Times New Roman" w:cs="Times New Roman" w:eastAsia="Times New Roman" w:hint="default"/>
          <w:w w:val="100"/>
        </w:rPr>
        <w:t>0.5</w:t>
      </w:r>
      <w:r>
        <w:rPr>
          <w:rFonts w:ascii="Times New Roman" w:hAnsi="Times New Roman" w:cs="Times New Roman" w:eastAsia="Times New Roman" w:hint="default"/>
          <w:spacing w:val="-1"/>
          <w:w w:val="100"/>
        </w:rPr>
        <w:t> </w:t>
      </w:r>
      <w:r>
        <w:rPr>
          <w:spacing w:val="-33"/>
          <w:w w:val="99"/>
        </w:rPr>
        <w:t>元（含税），送</w:t>
      </w:r>
      <w:r>
        <w:rPr>
          <w:w w:val="99"/>
        </w:rPr>
        <w:t> </w:t>
      </w:r>
      <w:r>
        <w:rPr>
          <w:spacing w:val="6"/>
          <w:w w:val="99"/>
        </w:rPr>
        <w:t>红股</w:t>
      </w:r>
      <w:r>
        <w:rPr>
          <w:w w:val="99"/>
        </w:rPr>
        <w:t> </w:t>
      </w:r>
      <w:r>
        <w:rPr>
          <w:rFonts w:ascii="Times New Roman" w:hAnsi="Times New Roman" w:cs="Times New Roman" w:eastAsia="Times New Roman" w:hint="default"/>
          <w:w w:val="100"/>
        </w:rPr>
        <w:t>0 </w:t>
      </w:r>
      <w:r>
        <w:rPr>
          <w:rFonts w:ascii="Times New Roman" w:hAnsi="Times New Roman" w:cs="Times New Roman" w:eastAsia="Times New Roman" w:hint="default"/>
          <w:spacing w:val="48"/>
          <w:w w:val="100"/>
        </w:rPr>
        <w:t> </w:t>
      </w:r>
      <w:r>
        <w:rPr>
          <w:spacing w:val="5"/>
          <w:w w:val="99"/>
        </w:rPr>
        <w:t>股（含税），不以公积金转增股本。暂以董事会审议时公司的总股本</w:t>
      </w:r>
      <w:r>
        <w:rPr>
          <w:b w:val="0"/>
          <w:bCs w:val="0"/>
          <w:spacing w:val="5"/>
        </w:rPr>
      </w:r>
    </w:p>
    <w:p>
      <w:pPr>
        <w:pStyle w:val="Heading2"/>
        <w:spacing w:line="398" w:lineRule="auto" w:before="31"/>
        <w:ind w:right="1131"/>
        <w:jc w:val="both"/>
        <w:rPr>
          <w:b w:val="0"/>
          <w:bCs w:val="0"/>
        </w:rPr>
      </w:pPr>
      <w:r>
        <w:rPr>
          <w:rFonts w:ascii="Times New Roman" w:hAnsi="Times New Roman" w:cs="Times New Roman" w:eastAsia="Times New Roman" w:hint="default"/>
        </w:rPr>
        <w:t>309,400,100</w:t>
      </w:r>
      <w:r>
        <w:rPr>
          <w:rFonts w:ascii="Times New Roman" w:hAnsi="Times New Roman" w:cs="Times New Roman" w:eastAsia="Times New Roman" w:hint="default"/>
          <w:spacing w:val="-20"/>
        </w:rPr>
        <w:t> </w:t>
      </w:r>
      <w:r>
        <w:rPr/>
        <w:t>股计算，现金分红总额为</w:t>
      </w:r>
      <w:r>
        <w:rPr>
          <w:spacing w:val="-90"/>
        </w:rPr>
        <w:t> </w:t>
      </w:r>
      <w:r>
        <w:rPr>
          <w:rFonts w:ascii="Times New Roman" w:hAnsi="Times New Roman" w:cs="Times New Roman" w:eastAsia="Times New Roman" w:hint="default"/>
        </w:rPr>
        <w:t>15,470,005.00</w:t>
      </w:r>
      <w:r>
        <w:rPr>
          <w:rFonts w:ascii="Times New Roman" w:hAnsi="Times New Roman" w:cs="Times New Roman" w:eastAsia="Times New Roman" w:hint="default"/>
          <w:spacing w:val="-19"/>
        </w:rPr>
        <w:t> </w:t>
      </w:r>
      <w:r>
        <w:rPr/>
        <w:t>元。董事会审议上述利润分</w:t>
      </w:r>
      <w:r>
        <w:rPr>
          <w:w w:val="99"/>
        </w:rPr>
        <w:t> </w:t>
      </w:r>
      <w:r>
        <w:rPr>
          <w:spacing w:val="2"/>
        </w:rPr>
        <w:t>配方案后至权益分派实施公告确定的股权登记日前公司总股本发生变动的，将</w:t>
      </w:r>
      <w:r>
        <w:rPr>
          <w:w w:val="99"/>
        </w:rPr>
        <w:t> </w:t>
      </w:r>
      <w:r>
        <w:rPr/>
        <w:t>按照现金分红总额不变的原则对分配比例进行调整。</w:t>
      </w:r>
      <w:r>
        <w:rPr>
          <w:b w:val="0"/>
          <w:bCs w:val="0"/>
        </w:rPr>
      </w:r>
    </w:p>
    <w:p>
      <w:pPr>
        <w:spacing w:after="0" w:line="398" w:lineRule="auto"/>
        <w:jc w:val="both"/>
        <w:sectPr>
          <w:footerReference w:type="default" r:id="rId8"/>
          <w:pgSz w:w="11910" w:h="16840"/>
          <w:pgMar w:footer="979" w:header="745" w:top="1060" w:bottom="116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2784" w:right="376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3" w:val="right" w:leader="dot"/>
            </w:tabs>
            <w:spacing w:line="240" w:lineRule="auto" w:before="18"/>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32</w:t>
            </w:r>
            <w:r>
              <w:rPr>
                <w:rFonts w:ascii="Times New Roman" w:hAnsi="Times New Roman" w:cs="Times New Roman" w:eastAsia="Times New Roman" w:hint="default"/>
                <w:b w:val="0"/>
                <w:bCs w:val="0"/>
              </w:rPr>
            </w:r>
          </w:hyperlink>
        </w:p>
        <w:p>
          <w:pPr>
            <w:pStyle w:val="TOC1"/>
            <w:tabs>
              <w:tab w:pos="9783" w:val="right" w:leader="dot"/>
            </w:tabs>
            <w:spacing w:line="240" w:lineRule="auto" w:before="18"/>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可转换公司债券相关情况</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9783" w:val="right" w:leader="dot"/>
            </w:tabs>
            <w:spacing w:line="240" w:lineRule="auto" w:before="18"/>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董事、监事、高级管理人员和员工情况</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9783" w:val="right" w:leader="dot"/>
            </w:tabs>
            <w:spacing w:line="240" w:lineRule="auto" w:before="21"/>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公司治理</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2"/>
              </w:rPr>
              <w:t> </w:t>
            </w:r>
            <w:r>
              <w:rPr/>
              <w:t>公司债券相关情况</w:t>
            </w:r>
            <w:r>
              <w:rPr>
                <w:rFonts w:ascii="Times New Roman" w:hAnsi="Times New Roman" w:cs="Times New Roman" w:eastAsia="Times New Roman" w:hint="default"/>
              </w:rPr>
              <w:tab/>
              <w:t>73</w:t>
            </w:r>
            <w:r>
              <w:rPr>
                <w:rFonts w:ascii="Times New Roman" w:hAnsi="Times New Roman" w:cs="Times New Roman" w:eastAsia="Times New Roman" w:hint="default"/>
                <w:b w:val="0"/>
                <w:bCs w:val="0"/>
              </w:rPr>
            </w:r>
          </w:hyperlink>
        </w:p>
        <w:p>
          <w:pPr>
            <w:pStyle w:val="TOC1"/>
            <w:tabs>
              <w:tab w:pos="9783" w:val="right" w:leader="dot"/>
            </w:tabs>
            <w:spacing w:line="240" w:lineRule="auto" w:before="18"/>
            <w:ind w:right="0"/>
            <w:jc w:val="left"/>
            <w:rPr>
              <w:rFonts w:ascii="Times New Roman" w:hAnsi="Times New Roman" w:cs="Times New Roman" w:eastAsia="Times New Roman" w:hint="default"/>
              <w:b w:val="0"/>
              <w:bCs w:val="0"/>
            </w:rPr>
          </w:pPr>
          <w:hyperlink w:history="true" w:anchor="_bookmark11">
            <w:r>
              <w:rPr/>
              <w:t>第十二节</w:t>
            </w:r>
            <w:r>
              <w:rPr>
                <w:spacing w:val="-2"/>
              </w:rPr>
              <w:t> </w:t>
            </w:r>
            <w:r>
              <w:rPr/>
              <w:t>财务报告</w:t>
            </w:r>
            <w:r>
              <w:rPr>
                <w:rFonts w:ascii="Times New Roman" w:hAnsi="Times New Roman" w:cs="Times New Roman" w:eastAsia="Times New Roman" w:hint="default"/>
              </w:rPr>
              <w:tab/>
              <w:t>74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2">
            <w:r>
              <w:rPr/>
              <w:t>第十三节</w:t>
            </w:r>
            <w:r>
              <w:rPr>
                <w:spacing w:val="-2"/>
              </w:rPr>
              <w:t> </w:t>
            </w:r>
            <w:r>
              <w:rPr/>
              <w:t>备查文件目录</w:t>
            </w:r>
            <w:r>
              <w:rPr>
                <w:rFonts w:ascii="Times New Roman" w:hAnsi="Times New Roman" w:cs="Times New Roman" w:eastAsia="Times New Roman" w:hint="default"/>
              </w:rPr>
              <w:tab/>
              <w:t>175</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5" w:footer="979" w:top="1060" w:bottom="1160" w:left="980" w:right="0"/>
        </w:sectPr>
      </w:pPr>
    </w:p>
    <w:p>
      <w:pPr>
        <w:spacing w:before="945"/>
        <w:ind w:left="2784" w:right="376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5"/>
        <w:rPr>
          <w:rFonts w:ascii="宋体" w:hAnsi="宋体" w:cs="宋体" w:eastAsia="宋体" w:hint="default"/>
          <w:b/>
          <w:bCs/>
          <w:sz w:val="22"/>
          <w:szCs w:val="22"/>
        </w:rPr>
      </w:pPr>
    </w:p>
    <w:p>
      <w:pPr>
        <w:spacing w:before="0"/>
        <w:ind w:left="0" w:right="1138" w:firstLine="0"/>
        <w:jc w:val="right"/>
        <w:rPr>
          <w:rFonts w:ascii="宋体" w:hAnsi="宋体" w:cs="宋体" w:eastAsia="宋体" w:hint="default"/>
          <w:sz w:val="18"/>
          <w:szCs w:val="18"/>
        </w:rPr>
      </w:pPr>
      <w:r>
        <w:rPr/>
        <w:pict>
          <v:shape style="position:absolute;margin-left:56.400002pt;margin-top:-396.00827pt;width:479.3pt;height:558.6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公司、本公司、中远海科（前称</w:t>
                        </w:r>
                        <w:r>
                          <w:rPr>
                            <w:rFonts w:ascii="Times New Roman" w:hAnsi="Times New Roman" w:cs="Times New Roman" w:eastAsia="Times New Roman" w:hint="default"/>
                            <w:sz w:val="18"/>
                            <w:szCs w:val="18"/>
                          </w:rPr>
                          <w:t>"</w:t>
                        </w:r>
                        <w:r>
                          <w:rPr>
                            <w:rFonts w:ascii="宋体" w:hAnsi="宋体" w:cs="宋体" w:eastAsia="宋体" w:hint="default"/>
                            <w:sz w:val="18"/>
                            <w:szCs w:val="18"/>
                          </w:rPr>
                          <w:t>中海科技</w:t>
                        </w:r>
                        <w:r>
                          <w:rPr>
                            <w:rFonts w:ascii="Times New Roman" w:hAnsi="Times New Roman" w:cs="Times New Roman" w:eastAsia="Times New Roman" w:hint="default"/>
                            <w:sz w:val="18"/>
                            <w:szCs w:val="18"/>
                          </w:rPr>
                          <w:t>"</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5" w:right="203"/>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8"/>
                            <w:sz w:val="18"/>
                            <w:szCs w:val="18"/>
                          </w:rPr>
                          <w:t> </w:t>
                        </w: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中远海运科技股份有限公司（前称</w:t>
                        </w:r>
                        <w:r>
                          <w:rPr>
                            <w:rFonts w:ascii="Times New Roman" w:hAnsi="Times New Roman" w:cs="Times New Roman" w:eastAsia="Times New Roman" w:hint="default"/>
                            <w:sz w:val="18"/>
                            <w:szCs w:val="18"/>
                          </w:rPr>
                          <w:t>"</w:t>
                        </w:r>
                        <w:r>
                          <w:rPr>
                            <w:rFonts w:ascii="宋体" w:hAnsi="宋体" w:cs="宋体" w:eastAsia="宋体" w:hint="default"/>
                            <w:sz w:val="18"/>
                            <w:szCs w:val="18"/>
                          </w:rPr>
                          <w:t>中海网络科技股份有限公司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保荐人</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国融证券股份有限公司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会计师、信永中和会计师事务所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律师</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北京市星河律师事务所</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国资委</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国务院国有资产监督管理委员会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中国远洋海运集团</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中国远洋海运集团有限公司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中远集团</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中国远洋运输有限公司（前称</w:t>
                        </w:r>
                        <w:r>
                          <w:rPr>
                            <w:rFonts w:ascii="Times New Roman" w:hAnsi="Times New Roman" w:cs="Times New Roman" w:eastAsia="Times New Roman" w:hint="default"/>
                            <w:sz w:val="18"/>
                            <w:szCs w:val="18"/>
                          </w:rPr>
                          <w:t>"</w:t>
                        </w:r>
                        <w:r>
                          <w:rPr>
                            <w:rFonts w:ascii="宋体" w:hAnsi="宋体" w:cs="宋体" w:eastAsia="宋体" w:hint="default"/>
                            <w:sz w:val="18"/>
                            <w:szCs w:val="18"/>
                          </w:rPr>
                          <w:t>中国远洋运输（集团）总公司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中海集团</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中国海运集团有限公司（前称</w:t>
                        </w:r>
                        <w:r>
                          <w:rPr>
                            <w:rFonts w:ascii="Times New Roman" w:hAnsi="Times New Roman" w:cs="Times New Roman" w:eastAsia="Times New Roman" w:hint="default"/>
                            <w:sz w:val="18"/>
                            <w:szCs w:val="18"/>
                          </w:rPr>
                          <w:t>"</w:t>
                        </w:r>
                        <w:r>
                          <w:rPr>
                            <w:rFonts w:ascii="宋体" w:hAnsi="宋体" w:cs="宋体" w:eastAsia="宋体" w:hint="default"/>
                            <w:sz w:val="18"/>
                            <w:szCs w:val="18"/>
                          </w:rPr>
                          <w:t>中国海运（集团）总公司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上海船研所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上海船舶运输科学研究所，上市公司的控股股东</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中海信息</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中海信息系统有限公司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网络北京</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中远网络（北京）有限公司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北京中远海科（前称</w:t>
                        </w:r>
                        <w:r>
                          <w:rPr>
                            <w:rFonts w:ascii="Times New Roman" w:hAnsi="Times New Roman" w:cs="Times New Roman" w:eastAsia="Times New Roman" w:hint="default"/>
                            <w:sz w:val="18"/>
                            <w:szCs w:val="18"/>
                          </w:rPr>
                          <w:t>"</w:t>
                        </w:r>
                        <w:r>
                          <w:rPr>
                            <w:rFonts w:ascii="宋体" w:hAnsi="宋体" w:cs="宋体" w:eastAsia="宋体" w:hint="default"/>
                            <w:sz w:val="18"/>
                            <w:szCs w:val="18"/>
                          </w:rPr>
                          <w:t>网络物流</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94"/>
                          <w:jc w:val="left"/>
                          <w:rPr>
                            <w:rFonts w:ascii="宋体" w:hAnsi="宋体" w:cs="宋体" w:eastAsia="宋体" w:hint="default"/>
                            <w:sz w:val="18"/>
                            <w:szCs w:val="18"/>
                          </w:rPr>
                        </w:pPr>
                        <w:r>
                          <w:rPr>
                            <w:rFonts w:ascii="宋体" w:hAnsi="宋体" w:cs="宋体" w:eastAsia="宋体" w:hint="default"/>
                            <w:sz w:val="18"/>
                            <w:szCs w:val="18"/>
                          </w:rPr>
                          <w:t>中远海运科技（北京）有限公司（前称</w:t>
                        </w:r>
                        <w:r>
                          <w:rPr>
                            <w:rFonts w:ascii="Times New Roman" w:hAnsi="Times New Roman" w:cs="Times New Roman" w:eastAsia="Times New Roman" w:hint="default"/>
                            <w:sz w:val="18"/>
                            <w:szCs w:val="18"/>
                          </w:rPr>
                          <w:t>"</w:t>
                        </w:r>
                        <w:r>
                          <w:rPr>
                            <w:rFonts w:ascii="宋体" w:hAnsi="宋体" w:cs="宋体" w:eastAsia="宋体" w:hint="default"/>
                            <w:sz w:val="18"/>
                            <w:szCs w:val="18"/>
                          </w:rPr>
                          <w:t>中远网络物流信息科技有限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北京数字科技</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89"/>
                          <w:jc w:val="left"/>
                          <w:rPr>
                            <w:rFonts w:ascii="宋体" w:hAnsi="宋体" w:cs="宋体" w:eastAsia="宋体" w:hint="default"/>
                            <w:sz w:val="18"/>
                            <w:szCs w:val="18"/>
                          </w:rPr>
                        </w:pPr>
                        <w:r>
                          <w:rPr>
                            <w:rFonts w:ascii="宋体" w:hAnsi="宋体" w:cs="宋体" w:eastAsia="宋体" w:hint="default"/>
                            <w:sz w:val="18"/>
                            <w:szCs w:val="18"/>
                          </w:rPr>
                          <w:t>北京中远海运数字科技有限公司（前称</w:t>
                        </w:r>
                        <w:r>
                          <w:rPr>
                            <w:rFonts w:ascii="Times New Roman" w:hAnsi="Times New Roman" w:cs="Times New Roman" w:eastAsia="Times New Roman" w:hint="default"/>
                            <w:sz w:val="18"/>
                            <w:szCs w:val="18"/>
                          </w:rPr>
                          <w:t>“</w:t>
                        </w:r>
                        <w:r>
                          <w:rPr>
                            <w:rFonts w:ascii="宋体" w:hAnsi="宋体" w:cs="宋体" w:eastAsia="宋体" w:hint="default"/>
                            <w:sz w:val="18"/>
                            <w:szCs w:val="18"/>
                          </w:rPr>
                          <w:t>北京数字中远网络技术服务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网络航科</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中远网络航海科技有限公司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贵州新思维</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贵州新思维科技有限责任公司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贵州中南交科</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贵州中南交通科技有限公司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深圳一海通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深圳一海通全球供应链管理有限公司</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中远海运资讯（前称</w:t>
                        </w:r>
                        <w:r>
                          <w:rPr>
                            <w:rFonts w:ascii="Times New Roman" w:hAnsi="Times New Roman" w:cs="Times New Roman" w:eastAsia="Times New Roman" w:hint="default"/>
                            <w:sz w:val="18"/>
                            <w:szCs w:val="18"/>
                          </w:rPr>
                          <w:t>"</w:t>
                        </w:r>
                        <w:r>
                          <w:rPr>
                            <w:rFonts w:ascii="宋体" w:hAnsi="宋体" w:cs="宋体" w:eastAsia="宋体" w:hint="default"/>
                            <w:sz w:val="18"/>
                            <w:szCs w:val="18"/>
                          </w:rPr>
                          <w:t>中远资讯</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上海中远海运资讯科技有限公</w:t>
                        </w:r>
                        <w:r>
                          <w:rPr>
                            <w:rFonts w:ascii="宋体" w:hAnsi="宋体" w:cs="宋体" w:eastAsia="宋体" w:hint="default"/>
                            <w:spacing w:val="-89"/>
                            <w:sz w:val="18"/>
                            <w:szCs w:val="18"/>
                          </w:rPr>
                          <w:t>司</w:t>
                        </w:r>
                        <w:r>
                          <w:rPr>
                            <w:rFonts w:ascii="宋体" w:hAnsi="宋体" w:cs="宋体" w:eastAsia="宋体" w:hint="default"/>
                            <w:sz w:val="18"/>
                            <w:szCs w:val="18"/>
                          </w:rPr>
                          <w:t>（前称</w:t>
                        </w:r>
                        <w:r>
                          <w:rPr>
                            <w:rFonts w:ascii="Times New Roman" w:hAnsi="Times New Roman" w:cs="Times New Roman" w:eastAsia="Times New Roman" w:hint="default"/>
                            <w:spacing w:val="-2"/>
                            <w:w w:val="99"/>
                            <w:sz w:val="18"/>
                            <w:szCs w:val="18"/>
                          </w:rPr>
                          <w:t>"</w:t>
                        </w:r>
                        <w:r>
                          <w:rPr>
                            <w:rFonts w:ascii="宋体" w:hAnsi="宋体" w:cs="宋体" w:eastAsia="宋体" w:hint="default"/>
                            <w:sz w:val="18"/>
                            <w:szCs w:val="18"/>
                          </w:rPr>
                          <w:t>上海中远资讯科技</w:t>
                        </w:r>
                        <w:r>
                          <w:rPr>
                            <w:rFonts w:ascii="宋体" w:hAnsi="宋体" w:cs="宋体" w:eastAsia="宋体" w:hint="default"/>
                            <w:spacing w:val="2"/>
                            <w:sz w:val="18"/>
                            <w:szCs w:val="18"/>
                          </w:rPr>
                          <w:t>有</w:t>
                        </w:r>
                        <w:r>
                          <w:rPr>
                            <w:rFonts w:ascii="宋体" w:hAnsi="宋体" w:cs="宋体" w:eastAsia="宋体" w:hint="default"/>
                            <w:sz w:val="18"/>
                            <w:szCs w:val="18"/>
                          </w:rPr>
                          <w:t>限公司</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z w:val="18"/>
                            <w:szCs w:val="18"/>
                          </w:rPr>
                        </w:r>
                      </w:p>
                    </w:tc>
                  </w:tr>
                  <w:tr>
                    <w:trPr>
                      <w:trHeight w:val="1253"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宋体" w:hAnsi="宋体" w:cs="宋体" w:eastAsia="宋体" w:hint="default"/>
                            <w:sz w:val="18"/>
                            <w:szCs w:val="18"/>
                          </w:rPr>
                          <w:t>股权收购项目</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9" w:lineRule="auto" w:before="49"/>
                          <w:ind w:left="28" w:right="32"/>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日，公司召开</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年第一次临时股东大会审议通过 </w:t>
                        </w:r>
                        <w:r>
                          <w:rPr>
                            <w:rFonts w:ascii="宋体" w:hAnsi="宋体" w:cs="宋体" w:eastAsia="宋体" w:hint="default"/>
                            <w:spacing w:val="-3"/>
                            <w:sz w:val="18"/>
                            <w:szCs w:val="18"/>
                          </w:rPr>
                          <w:t>了《关于以现金方式收购股权的关联交易议案》，公司以现金方式收</w:t>
                        </w:r>
                        <w:r>
                          <w:rPr>
                            <w:rFonts w:ascii="宋体" w:hAnsi="宋体" w:cs="宋体" w:eastAsia="宋体" w:hint="default"/>
                            <w:sz w:val="18"/>
                            <w:szCs w:val="18"/>
                          </w:rPr>
                          <w:t> 购中远海运网络有限公司、中远信息科技有限公司持有的中远网络</w:t>
                        </w:r>
                      </w:p>
                      <w:p>
                        <w:pPr>
                          <w:pStyle w:val="TableParagraph"/>
                          <w:spacing w:line="304" w:lineRule="auto" w:before="24"/>
                          <w:ind w:left="28" w:right="62"/>
                          <w:jc w:val="left"/>
                          <w:rPr>
                            <w:rFonts w:ascii="宋体" w:hAnsi="宋体" w:cs="宋体" w:eastAsia="宋体" w:hint="default"/>
                            <w:sz w:val="18"/>
                            <w:szCs w:val="18"/>
                          </w:rPr>
                        </w:pPr>
                        <w:r>
                          <w:rPr>
                            <w:rFonts w:ascii="宋体" w:hAnsi="宋体" w:cs="宋体" w:eastAsia="宋体" w:hint="default"/>
                            <w:sz w:val="18"/>
                            <w:szCs w:val="18"/>
                          </w:rPr>
                          <w:t>（北京）有限公司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的股权，中远海运网络有限公司、中远信息 科技有限公司持有的中远网络物流信息科技有限公司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 中远海运网络有限公司持有的北京数字中远网络技术服务有限公司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的股权、中远海运网络有限公司持有的中远网络航海科技有限 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的股权，中远资讯科技香港有限公司持有的上海中远资讯 科技有限公司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的股权。</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253"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227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贵州罗望项目</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年参与了贵州省余庆至安龙高速公路罗甸至望谟段机电 工程（隧道机电</w:t>
            </w:r>
            <w:r>
              <w:rPr>
                <w:rFonts w:ascii="Times New Roman" w:hAnsi="Times New Roman" w:cs="Times New Roman" w:eastAsia="Times New Roman" w:hint="default"/>
                <w:sz w:val="18"/>
                <w:szCs w:val="18"/>
              </w:rPr>
              <w:t>)</w:t>
            </w:r>
            <w:r>
              <w:rPr>
                <w:rFonts w:ascii="宋体" w:hAnsi="宋体" w:cs="宋体" w:eastAsia="宋体" w:hint="default"/>
                <w:sz w:val="18"/>
                <w:szCs w:val="18"/>
              </w:rPr>
              <w:t>施工总承包项目的公开招标并中标，发包人为贵州 </w:t>
            </w:r>
            <w:r>
              <w:rPr>
                <w:rFonts w:ascii="宋体" w:hAnsi="宋体" w:cs="宋体" w:eastAsia="宋体" w:hint="default"/>
                <w:spacing w:val="-2"/>
                <w:sz w:val="18"/>
                <w:szCs w:val="18"/>
              </w:rPr>
              <w:t>高速公路集团有限公司。公司与发包人签订了《贵州省余庆至安龙高</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3"/>
                <w:sz w:val="18"/>
                <w:szCs w:val="18"/>
              </w:rPr>
              <w:t>速公路罗甸至望谟段机电工程（隧道机电</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施工总承包合同》，合同约</w:t>
            </w:r>
            <w:r>
              <w:rPr>
                <w:rFonts w:ascii="宋体" w:hAnsi="宋体" w:cs="宋体" w:eastAsia="宋体" w:hint="default"/>
                <w:sz w:val="18"/>
                <w:szCs w:val="18"/>
              </w:rPr>
              <w:t> 定由公司承担余庆至安龙高速公路罗甸至望谟段全线交通机电（监 控、通信、收费）三大系统项目、隧道机电</w:t>
            </w:r>
            <w:r>
              <w:rPr>
                <w:rFonts w:ascii="Times New Roman" w:hAnsi="Times New Roman" w:cs="Times New Roman" w:eastAsia="Times New Roman" w:hint="default"/>
                <w:sz w:val="18"/>
                <w:szCs w:val="18"/>
              </w:rPr>
              <w:t>(</w:t>
            </w:r>
            <w:r>
              <w:rPr>
                <w:rFonts w:ascii="宋体" w:hAnsi="宋体" w:cs="宋体" w:eastAsia="宋体" w:hint="default"/>
                <w:sz w:val="18"/>
                <w:szCs w:val="18"/>
              </w:rPr>
              <w:t>含消防，隧道</w:t>
            </w:r>
            <w:r>
              <w:rPr>
                <w:rFonts w:ascii="Times New Roman" w:hAnsi="Times New Roman" w:cs="Times New Roman" w:eastAsia="Times New Roman" w:hint="default"/>
                <w:sz w:val="18"/>
                <w:szCs w:val="18"/>
              </w:rPr>
              <w:t>)</w:t>
            </w:r>
            <w:r>
              <w:rPr>
                <w:rFonts w:ascii="宋体" w:hAnsi="宋体" w:cs="宋体" w:eastAsia="宋体" w:hint="default"/>
                <w:sz w:val="18"/>
                <w:szCs w:val="18"/>
              </w:rPr>
              <w:t>施工，合 同金额为人民币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349,860,000 </w:t>
            </w:r>
            <w:r>
              <w:rPr>
                <w:rFonts w:ascii="宋体" w:hAnsi="宋体" w:cs="宋体" w:eastAsia="宋体" w:hint="default"/>
                <w:spacing w:val="-3"/>
                <w:sz w:val="18"/>
                <w:szCs w:val="18"/>
              </w:rPr>
              <w:t>元。</w:t>
            </w:r>
            <w:r>
              <w:rPr>
                <w:rFonts w:ascii="宋体" w:hAnsi="宋体" w:cs="宋体" w:eastAsia="宋体" w:hint="default"/>
                <w:sz w:val="18"/>
                <w:szCs w:val="18"/>
              </w:rPr>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报告期或本报告期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报告期初或期初</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报告期末或期末</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72.339996pt;margin-top:272.809998pt;width:361.55pt;height:19.6pt;mso-position-horizontal-relative:page;mso-position-vertical-relative:page;z-index:-969472" coordorigin="3447,5456" coordsize="7231,392">
            <v:shape style="position:absolute;left:3447;top:5456;width:7231;height:392" coordorigin="3447,5456" coordsize="7231,392" path="m3447,5847l10677,5847,10677,5456,3447,5456,3447,5847xe" filled="true" fillcolor="#ffffff" stroked="false">
              <v:path arrowok="t"/>
              <v:fill type="solid"/>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2723" w:right="1133"/>
        <w:jc w:val="left"/>
        <w:rPr>
          <w:b w:val="0"/>
          <w:bCs w:val="0"/>
        </w:rPr>
      </w:pPr>
      <w:bookmarkStart w:name="_bookmark1" w:id="2"/>
      <w:bookmarkEnd w:id="2"/>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1133"/>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54"/>
        <w:gridCol w:w="2177"/>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中远海科</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002401</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中远海科</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COSCO SHIPPING Technology Co.,</w:t>
            </w:r>
            <w:r>
              <w:rPr>
                <w:rFonts w:ascii="Times New Roman"/>
                <w:spacing w:val="-22"/>
                <w:sz w:val="18"/>
              </w:rPr>
              <w:t> </w:t>
            </w:r>
            <w:r>
              <w:rPr>
                <w:rFonts w:ascii="Times New Roman"/>
                <w:sz w:val="18"/>
              </w:rPr>
              <w:t>Ltd.</w:t>
            </w:r>
          </w:p>
        </w:tc>
      </w:tr>
      <w:tr>
        <w:trPr>
          <w:trHeight w:val="401"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COSCO SHIP</w:t>
            </w:r>
            <w:r>
              <w:rPr>
                <w:rFonts w:ascii="Times New Roman"/>
                <w:spacing w:val="-11"/>
                <w:sz w:val="18"/>
              </w:rPr>
              <w:t> </w:t>
            </w:r>
            <w:r>
              <w:rPr>
                <w:rFonts w:ascii="Times New Roman"/>
                <w:sz w:val="18"/>
              </w:rPr>
              <w:t>TECH</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蔡惠星</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中国（上海）自由贸易试验区民生路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600 </w:t>
            </w:r>
            <w:r>
              <w:rPr>
                <w:rFonts w:ascii="宋体" w:hAnsi="宋体" w:cs="宋体" w:eastAsia="宋体" w:hint="default"/>
                <w:sz w:val="18"/>
                <w:szCs w:val="18"/>
              </w:rPr>
              <w:t>号</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200135</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上海市浦东新区民生路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600 </w:t>
            </w:r>
            <w:r>
              <w:rPr>
                <w:rFonts w:ascii="宋体" w:hAnsi="宋体" w:cs="宋体" w:eastAsia="宋体" w:hint="default"/>
                <w:sz w:val="18"/>
                <w:szCs w:val="18"/>
              </w:rPr>
              <w:t>号</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200135</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http://tech.coscoshipping.com</w:t>
              </w:r>
            </w:hyperlink>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ir.tech@coscoshipping.com</w:t>
              </w:r>
            </w:hyperlink>
          </w:p>
        </w:tc>
      </w:tr>
    </w:tbl>
    <w:p>
      <w:pPr>
        <w:spacing w:line="240" w:lineRule="auto" w:before="1"/>
        <w:rPr>
          <w:rFonts w:ascii="宋体" w:hAnsi="宋体" w:cs="宋体" w:eastAsia="宋体" w:hint="default"/>
          <w:b/>
          <w:bCs/>
          <w:sz w:val="18"/>
          <w:szCs w:val="18"/>
        </w:rPr>
      </w:pPr>
    </w:p>
    <w:p>
      <w:pPr>
        <w:pStyle w:val="Heading3"/>
        <w:spacing w:line="240" w:lineRule="auto" w:before="26"/>
        <w:ind w:right="1133"/>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戴静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马驰</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上海市浦东新区民生路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上海市浦东新区民生路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600 </w:t>
            </w:r>
            <w:r>
              <w:rPr>
                <w:rFonts w:ascii="宋体" w:hAnsi="宋体" w:cs="宋体" w:eastAsia="宋体" w:hint="default"/>
                <w:sz w:val="18"/>
                <w:szCs w:val="18"/>
              </w:rPr>
              <w:t>号</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021-58211308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021-58211308</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021-58210704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021-58210704</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dai.jing@coscoshipping.com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ma.chi@coscoshipping.com</w:t>
              </w:r>
            </w:hyperlink>
          </w:p>
        </w:tc>
      </w:tr>
    </w:tbl>
    <w:p>
      <w:pPr>
        <w:spacing w:line="240" w:lineRule="auto" w:before="1"/>
        <w:rPr>
          <w:rFonts w:ascii="宋体" w:hAnsi="宋体" w:cs="宋体" w:eastAsia="宋体" w:hint="default"/>
          <w:b/>
          <w:bCs/>
          <w:sz w:val="18"/>
          <w:szCs w:val="18"/>
        </w:rPr>
      </w:pPr>
    </w:p>
    <w:p>
      <w:pPr>
        <w:pStyle w:val="Heading3"/>
        <w:spacing w:line="240" w:lineRule="auto" w:before="26"/>
        <w:ind w:right="1133"/>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公司证券事务部</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8"/>
        <w:rPr>
          <w:rFonts w:ascii="宋体" w:hAnsi="宋体" w:cs="宋体" w:eastAsia="宋体" w:hint="default"/>
          <w:b/>
          <w:bCs/>
          <w:sz w:val="23"/>
          <w:szCs w:val="23"/>
        </w:rPr>
      </w:pPr>
    </w:p>
    <w:p>
      <w:pPr>
        <w:pStyle w:val="Heading3"/>
        <w:spacing w:line="240" w:lineRule="auto" w:before="26"/>
        <w:ind w:right="1133"/>
        <w:jc w:val="left"/>
        <w:rPr>
          <w:b w:val="0"/>
          <w:bCs w:val="0"/>
        </w:rPr>
      </w:pPr>
      <w:r>
        <w:rPr/>
        <w:t>四、注册变更情况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638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91310000132226263L</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
        <w:rPr>
          <w:rFonts w:ascii="宋体" w:hAnsi="宋体" w:cs="宋体" w:eastAsia="宋体" w:hint="default"/>
          <w:b/>
          <w:bCs/>
          <w:sz w:val="18"/>
          <w:szCs w:val="18"/>
        </w:rPr>
      </w:pPr>
    </w:p>
    <w:p>
      <w:pPr>
        <w:pStyle w:val="Heading3"/>
        <w:spacing w:line="240" w:lineRule="auto" w:before="26"/>
        <w:ind w:right="1133"/>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北京市东城区朝阳门北大街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号富华大厦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王辉、朱小伟</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5"/>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国融证券股份有限公司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北京市西城区闹市口大街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长安兴融中心西楼</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刘元高、汪刚友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7"/>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1133"/>
        <w:jc w:val="left"/>
        <w:rPr>
          <w:b w:val="0"/>
          <w:bCs w:val="0"/>
        </w:rPr>
      </w:pPr>
      <w:r>
        <w:rPr/>
        <w:t>六、主要会计数据和财务指标</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7"/>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9"/>
        <w:gridCol w:w="1748"/>
        <w:gridCol w:w="1738"/>
        <w:gridCol w:w="1738"/>
        <w:gridCol w:w="1735"/>
      </w:tblGrid>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1,203,712,101.71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980,054,007.48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917,006,880.25</w:t>
            </w:r>
          </w:p>
        </w:tc>
      </w:tr>
      <w:tr>
        <w:trPr>
          <w:trHeight w:val="716"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96,640,953.70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83,190,054.62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16.17%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75,950,988.59</w:t>
            </w:r>
          </w:p>
        </w:tc>
      </w:tr>
      <w:tr>
        <w:trPr>
          <w:trHeight w:val="71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78,210,035.34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55,471,909.91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40.99%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50,419,302.96</w:t>
            </w:r>
          </w:p>
        </w:tc>
      </w:tr>
      <w:tr>
        <w:trPr>
          <w:trHeight w:val="715"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395,146,017.20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167,269,305.69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136.23%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142,487,334.24</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0.3187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0.2743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0.2505</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0.3187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0.2743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16.17%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0.2505</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10.57%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0.66%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7.95%</w:t>
            </w:r>
          </w:p>
        </w:tc>
      </w:tr>
      <w:tr>
        <w:trPr>
          <w:trHeight w:val="404"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3,317,210,380.82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2,162,147,907.57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53.42%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1,922,540,498.07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1"/>
        <w:gridCol w:w="1738"/>
        <w:gridCol w:w="1738"/>
        <w:gridCol w:w="1738"/>
        <w:gridCol w:w="1735"/>
      </w:tblGrid>
      <w:tr>
        <w:trPr>
          <w:trHeight w:val="716"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0" w:right="0"/>
              <w:jc w:val="left"/>
              <w:rPr>
                <w:rFonts w:ascii="Times New Roman" w:hAnsi="Times New Roman" w:cs="Times New Roman" w:eastAsia="Times New Roman" w:hint="default"/>
                <w:sz w:val="18"/>
                <w:szCs w:val="18"/>
              </w:rPr>
            </w:pPr>
            <w:r>
              <w:rPr>
                <w:rFonts w:ascii="Times New Roman"/>
                <w:sz w:val="18"/>
              </w:rPr>
              <w:t>955,225,283.27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8" w:right="0"/>
              <w:jc w:val="left"/>
              <w:rPr>
                <w:rFonts w:ascii="Times New Roman" w:hAnsi="Times New Roman" w:cs="Times New Roman" w:eastAsia="Times New Roman" w:hint="default"/>
                <w:sz w:val="18"/>
                <w:szCs w:val="18"/>
              </w:rPr>
            </w:pPr>
            <w:r>
              <w:rPr>
                <w:rFonts w:ascii="Times New Roman"/>
                <w:sz w:val="18"/>
              </w:rPr>
              <w:t>873,427,172.08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9.37%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5" w:right="0"/>
              <w:jc w:val="left"/>
              <w:rPr>
                <w:rFonts w:ascii="Times New Roman" w:hAnsi="Times New Roman" w:cs="Times New Roman" w:eastAsia="Times New Roman" w:hint="default"/>
                <w:sz w:val="18"/>
                <w:szCs w:val="18"/>
              </w:rPr>
            </w:pPr>
            <w:r>
              <w:rPr>
                <w:rFonts w:ascii="Times New Roman"/>
                <w:sz w:val="18"/>
              </w:rPr>
              <w:t>805,399,117.46</w:t>
            </w:r>
          </w:p>
        </w:tc>
      </w:tr>
    </w:tbl>
    <w:p>
      <w:pPr>
        <w:spacing w:line="240" w:lineRule="auto" w:before="1"/>
        <w:rPr>
          <w:rFonts w:ascii="宋体" w:hAnsi="宋体" w:cs="宋体" w:eastAsia="宋体" w:hint="default"/>
          <w:sz w:val="18"/>
          <w:szCs w:val="18"/>
        </w:rPr>
      </w:pPr>
    </w:p>
    <w:p>
      <w:pPr>
        <w:pStyle w:val="Heading3"/>
        <w:spacing w:line="240" w:lineRule="auto" w:before="26"/>
        <w:ind w:right="1133"/>
        <w:jc w:val="left"/>
        <w:rPr>
          <w:b w:val="0"/>
          <w:bCs w:val="0"/>
        </w:rPr>
      </w:pP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、同时按照国际会计准则与按照中国会计准则披露的财务报告中净利润和净资产差异情况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38" w:lineRule="auto" w:before="0"/>
        <w:ind w:left="152" w:right="18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8"/>
        <w:rPr>
          <w:rFonts w:ascii="宋体" w:hAnsi="宋体" w:cs="宋体" w:eastAsia="宋体" w:hint="default"/>
          <w:sz w:val="21"/>
          <w:szCs w:val="21"/>
        </w:rPr>
      </w:pPr>
    </w:p>
    <w:p>
      <w:pPr>
        <w:spacing w:before="0"/>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、同时按照境外会计准则与按照中国会计准则披露的财务报告中净利润和净资产差异情况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40" w:lineRule="auto" w:before="0"/>
        <w:ind w:left="152" w:right="26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3"/>
        <w:spacing w:line="240" w:lineRule="auto"/>
        <w:ind w:right="1133"/>
        <w:jc w:val="left"/>
        <w:rPr>
          <w:b w:val="0"/>
          <w:bCs w:val="0"/>
        </w:rPr>
      </w:pPr>
      <w:r>
        <w:rPr/>
        <w:t>八、分季度主要财务指标</w:t>
      </w:r>
      <w:r>
        <w:rPr>
          <w:b w:val="0"/>
          <w:bCs w:val="0"/>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9"/>
        <w:gridCol w:w="1751"/>
        <w:gridCol w:w="1740"/>
        <w:gridCol w:w="1738"/>
        <w:gridCol w:w="1730"/>
      </w:tblGrid>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256,378,526.65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264,969,678.43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282,659,880.67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399,704,015.96</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25,843,946.95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23,733,621.02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23,808,095.66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23,255,290.07</w:t>
            </w:r>
          </w:p>
        </w:tc>
      </w:tr>
      <w:tr>
        <w:trPr>
          <w:trHeight w:val="715"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22,532,457.68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21,799,065.43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20,254,790.23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13,623,722.00</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-164,989,231.61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134,295,963.21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-95,956,371.06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521,795,656.66</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24"/>
          <w:szCs w:val="24"/>
        </w:rPr>
      </w:pPr>
    </w:p>
    <w:p>
      <w:pPr>
        <w:pStyle w:val="Heading3"/>
        <w:spacing w:line="240" w:lineRule="auto"/>
        <w:ind w:right="1133"/>
        <w:jc w:val="left"/>
        <w:rPr>
          <w:b w:val="0"/>
          <w:bCs w:val="0"/>
        </w:rPr>
      </w:pPr>
      <w:r>
        <w:rPr/>
        <w:t>九、非经常性损益项目及金额</w:t>
      </w:r>
      <w:r>
        <w:rPr>
          <w:b w:val="0"/>
          <w:bCs w:val="0"/>
        </w:rPr>
      </w:r>
    </w:p>
    <w:p>
      <w:pPr>
        <w:spacing w:line="240" w:lineRule="auto" w:before="2"/>
        <w:rPr>
          <w:rFonts w:ascii="宋体" w:hAnsi="宋体" w:cs="宋体" w:eastAsia="宋体" w:hint="default"/>
          <w:b/>
          <w:bCs/>
          <w:sz w:val="23"/>
          <w:szCs w:val="23"/>
        </w:rPr>
      </w:pPr>
    </w:p>
    <w:p>
      <w:pPr>
        <w:spacing w:before="4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-3,644,122.57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-8,335.74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-45,529.06</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固定资产处置损失</w:t>
            </w: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14,409,093.22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19,346,446.73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14,639,000.00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55"/>
              <w:jc w:val="left"/>
              <w:rPr>
                <w:rFonts w:ascii="宋体" w:hAnsi="宋体" w:cs="宋体" w:eastAsia="宋体" w:hint="default"/>
                <w:sz w:val="18"/>
                <w:szCs w:val="18"/>
              </w:rPr>
            </w:pPr>
            <w:r>
              <w:rPr>
                <w:rFonts w:ascii="宋体" w:hAnsi="宋体" w:cs="宋体" w:eastAsia="宋体" w:hint="default"/>
                <w:sz w:val="18"/>
                <w:szCs w:val="18"/>
              </w:rPr>
              <w:t>科研项目补贴和其他 政府补助</w:t>
            </w:r>
          </w:p>
        </w:tc>
      </w:tr>
      <w:tr>
        <w:trPr>
          <w:trHeight w:val="71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12,765,928.71</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14,345,537.30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12,971,698.16</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对母公司的托管收入</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2"/>
        <w:gridCol w:w="1711"/>
      </w:tblGrid>
      <w:tr>
        <w:trPr>
          <w:trHeight w:val="71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-3,225,798.93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435,622.74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441,608.74</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5"/>
              <w:jc w:val="left"/>
              <w:rPr>
                <w:rFonts w:ascii="宋体" w:hAnsi="宋体" w:cs="宋体" w:eastAsia="宋体" w:hint="default"/>
                <w:sz w:val="18"/>
                <w:szCs w:val="18"/>
              </w:rPr>
            </w:pPr>
            <w:r>
              <w:rPr>
                <w:rFonts w:ascii="宋体" w:hAnsi="宋体" w:cs="宋体" w:eastAsia="宋体" w:hint="default"/>
                <w:sz w:val="18"/>
                <w:szCs w:val="18"/>
              </w:rPr>
              <w:t>捐赠支出和统筹外费 用</w:t>
            </w: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3,306,498.02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4,924,714.72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2,255,261.95</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147,292.64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102,572.46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14,060.81</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18,430,918.36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27,718,144.71</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25,531,685.63</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52" w:right="111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00" w:lineRule="auto" w:before="104"/>
        <w:ind w:left="152" w:right="1117"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781" w:right="3764"/>
        <w:jc w:val="center"/>
        <w:rPr>
          <w:b w:val="0"/>
          <w:bCs w:val="0"/>
        </w:rPr>
      </w:pPr>
      <w:bookmarkStart w:name="_bookmark2" w:id="3"/>
      <w:bookmarkEnd w:id="3"/>
      <w:r>
        <w:rPr>
          <w:b w:val="0"/>
          <w:bCs w:val="0"/>
        </w:rPr>
      </w:r>
      <w:r>
        <w:rPr/>
        <w:t>第三节公司业务概要</w:t>
      </w:r>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1133"/>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pStyle w:val="BodyText"/>
        <w:spacing w:line="292" w:lineRule="auto" w:before="73"/>
        <w:ind w:left="592" w:right="1133"/>
        <w:jc w:val="left"/>
      </w:pPr>
      <w:r>
        <w:rPr/>
        <w:t>（一）主要业务</w:t>
      </w:r>
      <w:r>
        <w:rPr>
          <w:spacing w:val="-108"/>
        </w:rPr>
        <w:t> </w:t>
      </w:r>
      <w:r>
        <w:rPr>
          <w:spacing w:val="-108"/>
        </w:rPr>
      </w:r>
      <w:r>
        <w:rPr>
          <w:spacing w:val="-2"/>
        </w:rPr>
        <w:t>公司主要从事智慧交通、智慧航运、智慧物流、智慧安防等领域的业务，在上述各领域拥有规划</w:t>
      </w:r>
    </w:p>
    <w:p>
      <w:pPr>
        <w:pStyle w:val="BodyText"/>
        <w:spacing w:line="264" w:lineRule="exact"/>
        <w:ind w:right="0"/>
        <w:jc w:val="left"/>
      </w:pPr>
      <w:r>
        <w:rPr/>
        <w:t>咨询、系统集成、应用软件开发、产品研制、数据管理、系统运维服务等全方位的综合服务能力。报</w:t>
      </w:r>
    </w:p>
    <w:p>
      <w:pPr>
        <w:pStyle w:val="BodyText"/>
        <w:spacing w:line="295" w:lineRule="auto" w:before="24"/>
        <w:ind w:left="592" w:right="6474" w:hanging="440"/>
        <w:jc w:val="left"/>
        <w:rPr>
          <w:rFonts w:ascii="宋体" w:hAnsi="宋体" w:cs="宋体" w:eastAsia="宋体" w:hint="default"/>
        </w:rPr>
      </w:pPr>
      <w:r>
        <w:rPr/>
        <w:t>告期内，公司的主要业务未发生重大变化。</w:t>
      </w:r>
      <w:r>
        <w:rPr>
          <w:rFonts w:ascii="宋体" w:hAnsi="宋体" w:cs="宋体" w:eastAsia="宋体" w:hint="default"/>
          <w:w w:val="100"/>
        </w:rPr>
        <w:t> </w:t>
      </w:r>
      <w:r>
        <w:rPr>
          <w:rFonts w:ascii="宋体" w:hAnsi="宋体" w:cs="宋体" w:eastAsia="宋体" w:hint="default"/>
        </w:rPr>
        <w:t>1</w:t>
      </w:r>
      <w:r>
        <w:rPr/>
        <w:t>、智慧交通业务</w:t>
      </w:r>
      <w:r>
        <w:rPr>
          <w:rFonts w:ascii="宋体" w:hAnsi="宋体" w:cs="宋体" w:eastAsia="宋体" w:hint="default"/>
        </w:rPr>
        <w:t> </w:t>
      </w:r>
    </w:p>
    <w:p>
      <w:pPr>
        <w:pStyle w:val="BodyText"/>
        <w:spacing w:line="259" w:lineRule="auto" w:before="14"/>
        <w:ind w:right="1128" w:firstLine="439"/>
        <w:jc w:val="both"/>
        <w:rPr>
          <w:rFonts w:ascii="宋体" w:hAnsi="宋体" w:cs="宋体" w:eastAsia="宋体" w:hint="default"/>
        </w:rPr>
      </w:pPr>
      <w:r>
        <w:rPr>
          <w:spacing w:val="-2"/>
        </w:rPr>
        <w:t>公司是国内较早开展智能交通业务的企业，在高速公路信息化和智能化领域具有领先优势，同时</w:t>
      </w:r>
      <w:r>
        <w:rPr>
          <w:w w:val="100"/>
        </w:rPr>
        <w:t> </w:t>
      </w:r>
      <w:r>
        <w:rPr>
          <w:spacing w:val="-2"/>
        </w:rPr>
        <w:t>也积极开拓城市智能交通市场。在该领域，公司围绕智慧交通综合解决方案，提供规划设计、软件开</w:t>
      </w:r>
      <w:r>
        <w:rPr>
          <w:spacing w:val="-67"/>
        </w:rPr>
        <w:t> </w:t>
      </w:r>
      <w:r>
        <w:rPr>
          <w:spacing w:val="-67"/>
        </w:rPr>
      </w:r>
      <w:r>
        <w:rPr>
          <w:spacing w:val="-2"/>
        </w:rPr>
        <w:t>发、产品研制、系统集成、系统运维等全方位、全周期服务，形成了完整的业务链和较强的综合竞争</w:t>
      </w:r>
      <w:r>
        <w:rPr>
          <w:spacing w:val="-73"/>
        </w:rPr>
        <w:t> </w:t>
      </w:r>
      <w:r>
        <w:rPr>
          <w:spacing w:val="-73"/>
        </w:rPr>
      </w:r>
      <w:r>
        <w:rPr>
          <w:spacing w:val="-2"/>
        </w:rPr>
        <w:t>优势，其中高速公路联网收费平台软件市场份额全国领先。公司智慧交通业务覆盖全国二十多个省区</w:t>
      </w:r>
      <w:r>
        <w:rPr>
          <w:spacing w:val="-70"/>
        </w:rPr>
        <w:t> </w:t>
      </w:r>
      <w:r>
        <w:rPr>
          <w:spacing w:val="-70"/>
        </w:rPr>
      </w:r>
      <w:r>
        <w:rPr/>
        <w:t>市，主要客户为各省市交通管理部门和高速公路建设运营企业，主要通过投标方式获取项目。</w:t>
      </w:r>
      <w:r>
        <w:rPr>
          <w:rFonts w:ascii="宋体" w:hAnsi="宋体" w:cs="宋体" w:eastAsia="宋体" w:hint="default"/>
        </w:rPr>
        <w:t> </w:t>
      </w:r>
    </w:p>
    <w:p>
      <w:pPr>
        <w:pStyle w:val="BodyText"/>
        <w:spacing w:line="295" w:lineRule="auto" w:before="45"/>
        <w:ind w:left="592" w:right="1133"/>
        <w:jc w:val="left"/>
      </w:pPr>
      <w:r>
        <w:rPr>
          <w:rFonts w:ascii="宋体" w:hAnsi="宋体" w:cs="宋体" w:eastAsia="宋体" w:hint="default"/>
        </w:rPr>
        <w:t>2</w:t>
      </w:r>
      <w:r>
        <w:rPr/>
        <w:t>、智慧航运业务</w:t>
      </w:r>
      <w:r>
        <w:rPr>
          <w:rFonts w:ascii="宋体" w:hAnsi="宋体" w:cs="宋体" w:eastAsia="宋体" w:hint="default"/>
          <w:w w:val="100"/>
        </w:rPr>
        <w:t> </w:t>
      </w:r>
      <w:r>
        <w:rPr>
          <w:spacing w:val="-3"/>
        </w:rPr>
        <w:t>公司基于多年行业积累的经验，逐步构建起覆盖航运物流信息化各领域的解决方案。包括：集团</w:t>
      </w:r>
      <w:r>
        <w:rPr/>
      </w:r>
    </w:p>
    <w:p>
      <w:pPr>
        <w:pStyle w:val="BodyText"/>
        <w:spacing w:line="261" w:lineRule="exact"/>
        <w:ind w:right="0"/>
        <w:jc w:val="left"/>
      </w:pPr>
      <w:r>
        <w:rPr/>
        <w:t>总部管理、散货运输、油气运输、物流仓储、码头运营、船舶管理、船员管理等，公司可为航运企业</w:t>
      </w:r>
    </w:p>
    <w:p>
      <w:pPr>
        <w:pStyle w:val="BodyText"/>
        <w:spacing w:line="259" w:lineRule="auto" w:before="24"/>
        <w:ind w:right="0"/>
        <w:jc w:val="left"/>
        <w:rPr>
          <w:rFonts w:ascii="宋体" w:hAnsi="宋体" w:cs="宋体" w:eastAsia="宋体" w:hint="default"/>
        </w:rPr>
      </w:pPr>
      <w:r>
        <w:rPr/>
        <w:t>提供信息化规划咨询、项目实施、数据管理和系统运维服务等全周期服务，公司同时大力开拓港航自</w:t>
      </w:r>
      <w:r>
        <w:rPr>
          <w:w w:val="100"/>
        </w:rPr>
        <w:t> </w:t>
      </w:r>
      <w:r>
        <w:rPr>
          <w:spacing w:val="-5"/>
        </w:rPr>
        <w:t>动化和船舶岸电业务。报告期内，公司依托大数据、人工智能、云计算、物联网、区块链等新兴技术，</w:t>
      </w:r>
      <w:r>
        <w:rPr>
          <w:spacing w:val="-43"/>
        </w:rPr>
        <w:t> </w:t>
      </w:r>
      <w:r>
        <w:rPr>
          <w:spacing w:val="-43"/>
        </w:rPr>
      </w:r>
      <w:r>
        <w:rPr/>
        <w:t>围绕航运物流产业，积极开展技术创新和商业模式创新，为航运物流企业实现数字化赋能。公司在该</w:t>
      </w:r>
      <w:r>
        <w:rPr>
          <w:w w:val="100"/>
        </w:rPr>
        <w:t> </w:t>
      </w:r>
      <w:r>
        <w:rPr/>
        <w:t>领域的主要客户为中远海运集团及其下属单位，同时积极开拓行业市场。</w:t>
      </w:r>
      <w:r>
        <w:rPr>
          <w:rFonts w:ascii="宋体" w:hAnsi="宋体" w:cs="宋体" w:eastAsia="宋体" w:hint="default"/>
        </w:rPr>
        <w:t> </w:t>
      </w:r>
    </w:p>
    <w:p>
      <w:pPr>
        <w:pStyle w:val="BodyText"/>
        <w:spacing w:line="292" w:lineRule="auto" w:before="47"/>
        <w:ind w:left="592" w:right="1133"/>
        <w:jc w:val="left"/>
      </w:pPr>
      <w:r>
        <w:rPr>
          <w:rFonts w:ascii="宋体" w:hAnsi="宋体" w:cs="宋体" w:eastAsia="宋体" w:hint="default"/>
        </w:rPr>
        <w:t>3</w:t>
      </w:r>
      <w:r>
        <w:rPr/>
        <w:t>、智慧物流业务</w:t>
      </w:r>
      <w:r>
        <w:rPr>
          <w:rFonts w:ascii="宋体" w:hAnsi="宋体" w:cs="宋体" w:eastAsia="宋体" w:hint="default"/>
          <w:w w:val="100"/>
        </w:rPr>
        <w:t> </w:t>
      </w:r>
      <w:r>
        <w:rPr>
          <w:spacing w:val="-3"/>
        </w:rPr>
        <w:t>公司主要为交通运输、生产制造、第三方物流、零售、建筑、电信等行业提供物流供应链信息化</w:t>
      </w:r>
    </w:p>
    <w:p>
      <w:pPr>
        <w:pStyle w:val="BodyText"/>
        <w:spacing w:line="264" w:lineRule="exact"/>
        <w:ind w:right="0"/>
        <w:jc w:val="left"/>
      </w:pPr>
      <w:r>
        <w:rPr/>
        <w:t>解决方案。公司在多年的探索和实践中，形成了包括物流综合管理平台、数字化仓储信息系统、智能</w:t>
      </w:r>
    </w:p>
    <w:p>
      <w:pPr>
        <w:pStyle w:val="BodyText"/>
        <w:spacing w:line="259" w:lineRule="auto" w:before="24"/>
        <w:ind w:right="1133"/>
        <w:jc w:val="left"/>
        <w:rPr>
          <w:rFonts w:ascii="宋体" w:hAnsi="宋体" w:cs="宋体" w:eastAsia="宋体" w:hint="default"/>
        </w:rPr>
      </w:pPr>
      <w:r>
        <w:rPr>
          <w:spacing w:val="-2"/>
        </w:rPr>
        <w:t>运输管理系统、物流大数据平台、第三方支付平台、供应链金融管理系统、理货管理信息系统、在途</w:t>
      </w:r>
      <w:r>
        <w:rPr>
          <w:spacing w:val="-70"/>
        </w:rPr>
        <w:t> </w:t>
      </w:r>
      <w:r>
        <w:rPr>
          <w:spacing w:val="-70"/>
        </w:rPr>
      </w:r>
      <w:r>
        <w:rPr/>
        <w:t>运输监控信息系统、船舶代理管理系统等丰富的物流供应链信息化产品链。</w:t>
      </w:r>
      <w:r>
        <w:rPr>
          <w:rFonts w:ascii="宋体" w:hAnsi="宋体" w:cs="宋体" w:eastAsia="宋体" w:hint="default"/>
        </w:rPr>
        <w:t> </w:t>
      </w:r>
    </w:p>
    <w:p>
      <w:pPr>
        <w:pStyle w:val="BodyText"/>
        <w:spacing w:line="295" w:lineRule="auto" w:before="47"/>
        <w:ind w:left="592" w:right="1133"/>
        <w:jc w:val="left"/>
      </w:pPr>
      <w:r>
        <w:rPr>
          <w:rFonts w:ascii="宋体" w:hAnsi="宋体" w:cs="宋体" w:eastAsia="宋体" w:hint="default"/>
        </w:rPr>
        <w:t>4</w:t>
      </w:r>
      <w:r>
        <w:rPr/>
        <w:t>、智慧安防业务</w:t>
      </w:r>
      <w:r>
        <w:rPr>
          <w:rFonts w:ascii="宋体" w:hAnsi="宋体" w:cs="宋体" w:eastAsia="宋体" w:hint="default"/>
          <w:w w:val="100"/>
        </w:rPr>
        <w:t> </w:t>
      </w:r>
      <w:r>
        <w:rPr>
          <w:spacing w:val="-2"/>
        </w:rPr>
        <w:t>公司主要为公安部门提供视频监控解决方案及设计咨询、系统集成和运营维护服务，主要包括公</w:t>
      </w:r>
    </w:p>
    <w:p>
      <w:pPr>
        <w:pStyle w:val="BodyText"/>
        <w:spacing w:line="261" w:lineRule="exact"/>
        <w:ind w:right="0"/>
        <w:jc w:val="left"/>
      </w:pPr>
      <w:r>
        <w:rPr/>
        <w:t>安视频监控平台建设、公安智能卡口和电子警察建设、公安指挥中心智能系统建设、公安平安城市图</w:t>
      </w:r>
    </w:p>
    <w:p>
      <w:pPr>
        <w:pStyle w:val="BodyText"/>
        <w:spacing w:line="240" w:lineRule="auto" w:before="24"/>
        <w:ind w:right="1133"/>
        <w:jc w:val="left"/>
        <w:rPr>
          <w:rFonts w:ascii="宋体" w:hAnsi="宋体" w:cs="宋体" w:eastAsia="宋体" w:hint="default"/>
        </w:rPr>
      </w:pPr>
      <w:r>
        <w:rPr/>
        <w:t>像监控系统运维保障服务以及图像相关的各类智能应用等业务。公司主要通过投标方式获取项目。</w:t>
      </w:r>
      <w:r>
        <w:rPr>
          <w:rFonts w:ascii="宋体" w:hAnsi="宋体" w:cs="宋体" w:eastAsia="宋体" w:hint="default"/>
        </w:rPr>
        <w:t> </w:t>
      </w:r>
    </w:p>
    <w:p>
      <w:pPr>
        <w:pStyle w:val="BodyText"/>
        <w:spacing w:line="295" w:lineRule="auto" w:before="62"/>
        <w:ind w:left="592" w:right="1133"/>
        <w:jc w:val="left"/>
      </w:pPr>
      <w:r>
        <w:rPr/>
        <w:t>（二）行业发展情况</w:t>
      </w:r>
      <w:r>
        <w:rPr>
          <w:w w:val="100"/>
        </w:rPr>
        <w:t> </w:t>
      </w:r>
      <w:r>
        <w:rPr>
          <w:spacing w:val="-2"/>
        </w:rPr>
        <w:t>智慧交通：近年来，我国交通运输行业快速发展，综合交通运输网络加快完善，现代信息技术与</w:t>
      </w:r>
    </w:p>
    <w:p>
      <w:pPr>
        <w:pStyle w:val="BodyText"/>
        <w:spacing w:line="278" w:lineRule="exact"/>
        <w:ind w:right="1133"/>
        <w:jc w:val="left"/>
      </w:pPr>
      <w:r>
        <w:rPr/>
        <w:t>交通运输深度融合，</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便捷交通、智慧交通等统筹推进。交通运输部先后发布了《交通运输</w:t>
      </w:r>
    </w:p>
    <w:p>
      <w:pPr>
        <w:pStyle w:val="BodyText"/>
        <w:spacing w:line="254" w:lineRule="auto" w:before="7"/>
        <w:ind w:right="0"/>
        <w:jc w:val="left"/>
      </w:pPr>
      <w:r>
        <w:rPr>
          <w:spacing w:val="-3"/>
        </w:rPr>
        <w:t>信息化</w:t>
      </w:r>
      <w:r>
        <w:rPr>
          <w:rFonts w:ascii="Times New Roman" w:hAnsi="Times New Roman" w:cs="Times New Roman" w:eastAsia="Times New Roman" w:hint="default"/>
          <w:spacing w:val="-3"/>
        </w:rPr>
        <w:t>“</w:t>
      </w:r>
      <w:r>
        <w:rPr>
          <w:spacing w:val="-3"/>
        </w:rPr>
        <w:t>十三五</w:t>
      </w:r>
      <w:r>
        <w:rPr>
          <w:rFonts w:ascii="Times New Roman" w:hAnsi="Times New Roman" w:cs="Times New Roman" w:eastAsia="Times New Roman" w:hint="default"/>
          <w:spacing w:val="-3"/>
        </w:rPr>
        <w:t>”</w:t>
      </w:r>
      <w:r>
        <w:rPr>
          <w:spacing w:val="-3"/>
        </w:rPr>
        <w:t>发展规划》、《推进智慧交通发展行动计划（</w:t>
      </w:r>
      <w:r>
        <w:rPr>
          <w:rFonts w:ascii="Times New Roman" w:hAnsi="Times New Roman" w:cs="Times New Roman" w:eastAsia="Times New Roman" w:hint="default"/>
          <w:spacing w:val="-3"/>
        </w:rPr>
        <w:t>2017-2020</w:t>
      </w:r>
      <w:r>
        <w:rPr>
          <w:spacing w:val="-3"/>
        </w:rPr>
        <w:t>年）》、《数字交通发展规划</w:t>
      </w:r>
      <w:r>
        <w:rPr>
          <w:spacing w:val="-56"/>
        </w:rPr>
        <w:t> </w:t>
      </w:r>
      <w:r>
        <w:rPr>
          <w:spacing w:val="-56"/>
        </w:rPr>
      </w:r>
      <w:r>
        <w:rPr>
          <w:spacing w:val="-7"/>
        </w:rPr>
        <w:t>纲要》等，致力于构建安全、便捷、高效、绿色、经济的现代化交通体系。尤其</w:t>
      </w:r>
      <w:r>
        <w:rPr>
          <w:rFonts w:ascii="Times New Roman" w:hAnsi="Times New Roman" w:cs="Times New Roman" w:eastAsia="Times New Roman" w:hint="default"/>
          <w:spacing w:val="-7"/>
        </w:rPr>
        <w:t>2019</w:t>
      </w:r>
      <w:r>
        <w:rPr>
          <w:spacing w:val="-7"/>
        </w:rPr>
        <w:t>年国家出台了《交</w:t>
      </w:r>
      <w:r>
        <w:rPr>
          <w:spacing w:val="-49"/>
        </w:rPr>
        <w:t> </w:t>
      </w:r>
      <w:r>
        <w:rPr>
          <w:spacing w:val="-49"/>
        </w:rPr>
      </w:r>
      <w:r>
        <w:rPr/>
        <w:t>通强国建设纲要》、《深化收费公路制度改革取消高速公路省界收费站实施方案》、《加快推进高速</w:t>
      </w:r>
      <w:r>
        <w:rPr>
          <w:w w:val="100"/>
        </w:rPr>
        <w:t> </w:t>
      </w:r>
      <w:r>
        <w:rPr>
          <w:spacing w:val="-5"/>
        </w:rPr>
        <w:t>公路电子不停车快捷收费应用服务实施方案》，大力发展智慧交通，推动大数据、互联网、人工智能、</w:t>
      </w:r>
      <w:r>
        <w:rPr>
          <w:spacing w:val="-45"/>
        </w:rPr>
        <w:t> </w:t>
      </w:r>
      <w:r>
        <w:rPr>
          <w:spacing w:val="-45"/>
        </w:rPr>
      </w:r>
      <w:r>
        <w:rPr/>
        <w:t>区块链、超级计算等新技术与交通行业深度融合，加快推进取消全国高速公路省界收费站，实现不停</w:t>
      </w:r>
      <w:r>
        <w:rPr>
          <w:w w:val="100"/>
        </w:rPr>
        <w:t> </w:t>
      </w:r>
      <w:r>
        <w:rPr/>
        <w:t>车快捷收费，为智慧交通和交通信息化带了较大的机遇。</w:t>
      </w:r>
    </w:p>
    <w:p>
      <w:pPr>
        <w:spacing w:after="0" w:line="254" w:lineRule="auto"/>
        <w:jc w:val="left"/>
        <w:sectPr>
          <w:pgSz w:w="11910" w:h="16840"/>
          <w:pgMar w:header="745" w:footer="979" w:top="1060" w:bottom="1160" w:left="980" w:right="0"/>
        </w:sectPr>
      </w:pPr>
    </w:p>
    <w:p>
      <w:pPr>
        <w:spacing w:line="240" w:lineRule="auto" w:before="5"/>
        <w:rPr>
          <w:rFonts w:ascii="宋体" w:hAnsi="宋体" w:cs="宋体" w:eastAsia="宋体" w:hint="default"/>
          <w:sz w:val="24"/>
          <w:szCs w:val="24"/>
        </w:rPr>
      </w:pPr>
    </w:p>
    <w:p>
      <w:pPr>
        <w:pStyle w:val="BodyText"/>
        <w:spacing w:line="256" w:lineRule="auto" w:before="32"/>
        <w:ind w:right="0" w:firstLine="439"/>
        <w:jc w:val="left"/>
      </w:pPr>
      <w:r>
        <w:rPr>
          <w:spacing w:val="-2"/>
        </w:rPr>
        <w:t>智慧航运：近年来，我国的航运业保持了健康持续发展的良好态势，海运量保持平稳增长，现代</w:t>
      </w:r>
      <w:r>
        <w:rPr>
          <w:w w:val="100"/>
        </w:rPr>
        <w:t> </w:t>
      </w:r>
      <w:r>
        <w:rPr>
          <w:spacing w:val="-2"/>
        </w:rPr>
        <w:t>港口服务功能得到较好拓展。国家先后出台了《智能航运发展指导意见》、《关于推进长江航运高质</w:t>
      </w:r>
      <w:r>
        <w:rPr>
          <w:spacing w:val="-73"/>
        </w:rPr>
        <w:t> </w:t>
      </w:r>
      <w:r>
        <w:rPr>
          <w:spacing w:val="-73"/>
        </w:rPr>
      </w:r>
      <w:r>
        <w:rPr>
          <w:spacing w:val="-1"/>
        </w:rPr>
        <w:t>量发展的意见》等相关文件，在互联网、大数据、云计算等新技术的推动下，航运业正在向全流程、</w:t>
      </w:r>
      <w:r>
        <w:rPr>
          <w:spacing w:val="-73"/>
        </w:rPr>
        <w:t> </w:t>
      </w:r>
      <w:r>
        <w:rPr>
          <w:spacing w:val="-73"/>
        </w:rPr>
      </w:r>
      <w:r>
        <w:rPr>
          <w:spacing w:val="-5"/>
        </w:rPr>
        <w:t>高效率的综合服务商模式转型。虽然受中美贸易摩擦影响，但</w:t>
      </w:r>
      <w:r>
        <w:rPr>
          <w:rFonts w:ascii="Times New Roman" w:hAnsi="Times New Roman" w:cs="Times New Roman" w:eastAsia="Times New Roman" w:hint="default"/>
          <w:spacing w:val="-5"/>
        </w:rPr>
        <w:t>“</w:t>
      </w:r>
      <w:r>
        <w:rPr>
          <w:spacing w:val="-5"/>
        </w:rPr>
        <w:t>一带一路</w:t>
      </w:r>
      <w:r>
        <w:rPr>
          <w:rFonts w:ascii="Times New Roman" w:hAnsi="Times New Roman" w:cs="Times New Roman" w:eastAsia="Times New Roman" w:hint="default"/>
          <w:spacing w:val="-5"/>
        </w:rPr>
        <w:t>”</w:t>
      </w:r>
      <w:r>
        <w:rPr>
          <w:spacing w:val="-5"/>
        </w:rPr>
        <w:t>、</w:t>
      </w:r>
      <w:r>
        <w:rPr>
          <w:rFonts w:ascii="Times New Roman" w:hAnsi="Times New Roman" w:cs="Times New Roman" w:eastAsia="Times New Roman" w:hint="default"/>
          <w:spacing w:val="-5"/>
        </w:rPr>
        <w:t>“</w:t>
      </w:r>
      <w:r>
        <w:rPr>
          <w:spacing w:val="-5"/>
        </w:rPr>
        <w:t>长江经济带</w:t>
      </w:r>
      <w:r>
        <w:rPr>
          <w:rFonts w:ascii="Times New Roman" w:hAnsi="Times New Roman" w:cs="Times New Roman" w:eastAsia="Times New Roman" w:hint="default"/>
          <w:spacing w:val="-5"/>
        </w:rPr>
        <w:t>”</w:t>
      </w:r>
      <w:r>
        <w:rPr>
          <w:spacing w:val="-5"/>
        </w:rPr>
        <w:t>、</w:t>
      </w:r>
      <w:r>
        <w:rPr>
          <w:rFonts w:ascii="Times New Roman" w:hAnsi="Times New Roman" w:cs="Times New Roman" w:eastAsia="Times New Roman" w:hint="default"/>
          <w:spacing w:val="-5"/>
        </w:rPr>
        <w:t>“</w:t>
      </w:r>
      <w:r>
        <w:rPr>
          <w:spacing w:val="-5"/>
        </w:rPr>
        <w:t>海运强国</w:t>
      </w:r>
      <w:r>
        <w:rPr>
          <w:rFonts w:ascii="Times New Roman" w:hAnsi="Times New Roman" w:cs="Times New Roman" w:eastAsia="Times New Roman" w:hint="default"/>
          <w:spacing w:val="-5"/>
        </w:rPr>
        <w:t>”</w:t>
      </w:r>
      <w:r>
        <w:rPr>
          <w:rFonts w:ascii="Times New Roman" w:hAnsi="Times New Roman" w:cs="Times New Roman" w:eastAsia="Times New Roman" w:hint="default"/>
          <w:spacing w:val="-8"/>
        </w:rPr>
        <w:t> </w:t>
      </w:r>
      <w:r>
        <w:rPr/>
        <w:t>等一系列国家战略的实施将促进航运资源要素集聚，新一代信息化与传统航运行业融合发展形成的</w:t>
      </w:r>
      <w:r>
        <w:rPr>
          <w:w w:val="100"/>
        </w:rPr>
        <w:t> </w:t>
      </w:r>
      <w:r>
        <w:rPr>
          <w:rFonts w:ascii="Times New Roman" w:hAnsi="Times New Roman" w:cs="Times New Roman" w:eastAsia="Times New Roman" w:hint="default"/>
        </w:rPr>
        <w:t>“</w:t>
      </w:r>
      <w:r>
        <w:rPr/>
        <w:t>智慧航运</w:t>
      </w:r>
      <w:r>
        <w:rPr>
          <w:rFonts w:ascii="Times New Roman" w:hAnsi="Times New Roman" w:cs="Times New Roman" w:eastAsia="Times New Roman" w:hint="default"/>
        </w:rPr>
        <w:t>”</w:t>
      </w:r>
      <w:r>
        <w:rPr/>
        <w:t>将成为航运产业转型发展的重要动力和技术保障。</w:t>
      </w:r>
    </w:p>
    <w:p>
      <w:pPr>
        <w:pStyle w:val="BodyText"/>
        <w:spacing w:line="252" w:lineRule="auto" w:before="31"/>
        <w:ind w:right="1133" w:firstLine="439"/>
        <w:jc w:val="left"/>
      </w:pPr>
      <w:r>
        <w:rPr>
          <w:spacing w:val="-2"/>
        </w:rPr>
        <w:t>智慧物流：近年来，我国物流业实现较快发展，在国民经济中的基础性、战略性、先导性作用显</w:t>
      </w:r>
      <w:r>
        <w:rPr>
          <w:w w:val="100"/>
        </w:rPr>
        <w:t> </w:t>
      </w:r>
      <w:r>
        <w:rPr/>
        <w:t>著增强。国家先后出台《</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高效物流实施意见》、《国家物流枢纽布局和建设规划》等政策</w:t>
      </w:r>
      <w:r>
        <w:rPr>
          <w:w w:val="100"/>
        </w:rPr>
        <w:t> </w:t>
      </w:r>
      <w:r>
        <w:rPr/>
        <w:t>文件，大力支持发展</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高效物流新模式、新业态，加快实现物流活动全过程的数字化，提供</w:t>
      </w:r>
      <w:r>
        <w:rPr>
          <w:w w:val="100"/>
        </w:rPr>
        <w:t> </w:t>
      </w:r>
      <w:r>
        <w:rPr>
          <w:spacing w:val="-2"/>
        </w:rPr>
        <w:t>全程可监测、可追溯的</w:t>
      </w:r>
      <w:r>
        <w:rPr>
          <w:rFonts w:ascii="Times New Roman" w:hAnsi="Times New Roman" w:cs="Times New Roman" w:eastAsia="Times New Roman" w:hint="default"/>
          <w:spacing w:val="-2"/>
        </w:rPr>
        <w:t>“</w:t>
      </w:r>
      <w:r>
        <w:rPr>
          <w:spacing w:val="-2"/>
        </w:rPr>
        <w:t>一站式</w:t>
      </w:r>
      <w:r>
        <w:rPr>
          <w:rFonts w:ascii="Times New Roman" w:hAnsi="Times New Roman" w:cs="Times New Roman" w:eastAsia="Times New Roman" w:hint="default"/>
          <w:spacing w:val="-2"/>
        </w:rPr>
        <w:t>”</w:t>
      </w:r>
      <w:r>
        <w:rPr>
          <w:spacing w:val="-2"/>
        </w:rPr>
        <w:t>物流服务。鼓励各类企业加快物流信息平台差异化发展，推进城市物</w:t>
      </w:r>
      <w:r>
        <w:rPr>
          <w:spacing w:val="-48"/>
        </w:rPr>
        <w:t> </w:t>
      </w:r>
      <w:r>
        <w:rPr>
          <w:spacing w:val="-48"/>
        </w:rPr>
      </w:r>
      <w:r>
        <w:rPr>
          <w:spacing w:val="-2"/>
        </w:rPr>
        <w:t>流配送全链条信息共享，完善农村物流末端信息网络。依托各类信息平台，构建综合交通运输物流数</w:t>
      </w:r>
      <w:r>
        <w:rPr>
          <w:spacing w:val="-68"/>
        </w:rPr>
        <w:t> </w:t>
      </w:r>
      <w:r>
        <w:rPr>
          <w:spacing w:val="-68"/>
        </w:rPr>
      </w:r>
      <w:r>
        <w:rPr/>
        <w:t>据资源开放共享机制，以平台整合、供应链融合为特征智慧物流模式加快发展。</w:t>
      </w:r>
    </w:p>
    <w:p>
      <w:pPr>
        <w:pStyle w:val="BodyText"/>
        <w:spacing w:line="244" w:lineRule="auto" w:before="51"/>
        <w:ind w:right="1011" w:firstLine="439"/>
        <w:jc w:val="left"/>
      </w:pPr>
      <w:r>
        <w:rPr/>
        <w:t>智慧安防：近年来，在</w:t>
      </w:r>
      <w:r>
        <w:rPr>
          <w:rFonts w:ascii="Times New Roman" w:hAnsi="Times New Roman" w:cs="Times New Roman" w:eastAsia="Times New Roman" w:hint="default"/>
        </w:rPr>
        <w:t>“</w:t>
      </w:r>
      <w:r>
        <w:rPr/>
        <w:t>智慧城市</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科技强警</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雪亮工程</w:t>
      </w:r>
      <w:r>
        <w:rPr>
          <w:rFonts w:ascii="Times New Roman" w:hAnsi="Times New Roman" w:cs="Times New Roman" w:eastAsia="Times New Roman" w:hint="default"/>
        </w:rPr>
        <w:t>”</w:t>
      </w:r>
      <w:r>
        <w:rPr/>
        <w:t>等战略推动下，安防行业处于重要</w:t>
      </w:r>
      <w:r>
        <w:rPr>
          <w:w w:val="100"/>
        </w:rPr>
        <w:t> </w:t>
      </w:r>
      <w:r>
        <w:rPr>
          <w:spacing w:val="-9"/>
          <w:w w:val="100"/>
        </w:rPr>
        <w:t>机遇期。国家先后颁布《关于加强社会治安防控体系建设的意见》、《关于推进城市安全发展的意见》、</w:t>
      </w:r>
    </w:p>
    <w:p>
      <w:pPr>
        <w:pStyle w:val="BodyText"/>
        <w:spacing w:line="252" w:lineRule="auto" w:before="19"/>
        <w:ind w:right="1130"/>
        <w:jc w:val="both"/>
      </w:pPr>
      <w:r>
        <w:rPr>
          <w:spacing w:val="-2"/>
        </w:rPr>
        <w:t>《超高清视频产业发展行动计划（</w:t>
      </w:r>
      <w:r>
        <w:rPr>
          <w:rFonts w:ascii="Times New Roman" w:hAnsi="Times New Roman" w:cs="Times New Roman" w:eastAsia="Times New Roman" w:hint="default"/>
          <w:spacing w:val="-2"/>
        </w:rPr>
        <w:t>2019</w:t>
      </w:r>
      <w:r>
        <w:rPr>
          <w:spacing w:val="-2"/>
        </w:rPr>
        <w:t>－</w:t>
      </w:r>
      <w:r>
        <w:rPr>
          <w:rFonts w:ascii="Times New Roman" w:hAnsi="Times New Roman" w:cs="Times New Roman" w:eastAsia="Times New Roman" w:hint="default"/>
          <w:spacing w:val="-2"/>
        </w:rPr>
        <w:t>2022</w:t>
      </w:r>
      <w:r>
        <w:rPr>
          <w:spacing w:val="-2"/>
        </w:rPr>
        <w:t>年）》等政策意见。在国家政策号召下，也出于管理需</w:t>
      </w:r>
      <w:r>
        <w:rPr>
          <w:spacing w:val="-65"/>
        </w:rPr>
        <w:t> </w:t>
      </w:r>
      <w:r>
        <w:rPr>
          <w:spacing w:val="-65"/>
        </w:rPr>
      </w:r>
      <w:r>
        <w:rPr>
          <w:spacing w:val="-2"/>
        </w:rPr>
        <w:t>要，社会各领域用户的安防意识提升，带动了安防市场的增长。政策扶植叠加市场需求，双轮驱动安</w:t>
      </w:r>
      <w:r>
        <w:rPr>
          <w:spacing w:val="-69"/>
        </w:rPr>
        <w:t> </w:t>
      </w:r>
      <w:r>
        <w:rPr>
          <w:spacing w:val="-69"/>
        </w:rPr>
      </w:r>
      <w:r>
        <w:rPr/>
        <w:t>防市场持续发展。</w:t>
      </w:r>
    </w:p>
    <w:p>
      <w:pPr>
        <w:pStyle w:val="BodyText"/>
        <w:spacing w:line="259" w:lineRule="auto" w:before="54"/>
        <w:ind w:right="0" w:firstLine="439"/>
        <w:jc w:val="left"/>
      </w:pPr>
      <w:r>
        <w:rPr/>
        <w:t>综上，公司所处的行业有着较好的发展前景，公司同时也面临着激烈的市场竞争压力，公司将充</w:t>
      </w:r>
      <w:r>
        <w:rPr>
          <w:w w:val="100"/>
        </w:rPr>
        <w:t> </w:t>
      </w:r>
      <w:r>
        <w:rPr>
          <w:spacing w:val="-5"/>
        </w:rPr>
        <w:t>分利用好发展机遇，加大研发和创新投入，加强市场开拓力度，持续提升公司市场竞争力和行业地位。</w:t>
      </w:r>
    </w:p>
    <w:p>
      <w:pPr>
        <w:spacing w:line="240" w:lineRule="auto" w:before="2"/>
        <w:rPr>
          <w:rFonts w:ascii="宋体" w:hAnsi="宋体" w:cs="宋体" w:eastAsia="宋体" w:hint="default"/>
          <w:sz w:val="22"/>
          <w:szCs w:val="22"/>
        </w:rPr>
      </w:pPr>
    </w:p>
    <w:p>
      <w:pPr>
        <w:pStyle w:val="Heading3"/>
        <w:spacing w:line="240" w:lineRule="auto"/>
        <w:ind w:right="0"/>
        <w:jc w:val="both"/>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、主要资产重大变化情况</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29"/>
        <w:gridCol w:w="6530"/>
      </w:tblGrid>
      <w:tr>
        <w:trPr>
          <w:trHeight w:val="187" w:hRule="exact"/>
        </w:trPr>
        <w:tc>
          <w:tcPr>
            <w:tcW w:w="302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本期投资宁夏交投科技发展有限公司，股权比例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w:t>
            </w:r>
          </w:p>
        </w:tc>
      </w:tr>
      <w:tr>
        <w:trPr>
          <w:trHeight w:val="401"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4"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bl>
    <w:p>
      <w:pPr>
        <w:spacing w:line="240" w:lineRule="auto" w:before="3"/>
        <w:rPr>
          <w:rFonts w:ascii="宋体" w:hAnsi="宋体" w:cs="宋体" w:eastAsia="宋体" w:hint="default"/>
          <w:b/>
          <w:bCs/>
          <w:sz w:val="19"/>
          <w:szCs w:val="19"/>
        </w:rPr>
      </w:pPr>
    </w:p>
    <w:p>
      <w:pPr>
        <w:spacing w:before="36"/>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、主要境外资产情况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1133"/>
        <w:jc w:val="left"/>
        <w:rPr>
          <w:b w:val="0"/>
          <w:bCs w:val="0"/>
        </w:rPr>
      </w:pPr>
      <w:r>
        <w:rPr/>
        <w:t>三、核心竞争力分析</w:t>
      </w:r>
      <w:r>
        <w:rPr>
          <w:b w:val="0"/>
          <w:bCs w:val="0"/>
        </w:rPr>
      </w:r>
    </w:p>
    <w:p>
      <w:pPr>
        <w:spacing w:line="240" w:lineRule="auto" w:before="2"/>
        <w:rPr>
          <w:rFonts w:ascii="宋体" w:hAnsi="宋体" w:cs="宋体" w:eastAsia="宋体" w:hint="default"/>
          <w:b/>
          <w:bCs/>
          <w:sz w:val="24"/>
          <w:szCs w:val="24"/>
        </w:rPr>
      </w:pPr>
    </w:p>
    <w:p>
      <w:pPr>
        <w:pStyle w:val="BodyText"/>
        <w:spacing w:line="259" w:lineRule="auto"/>
        <w:ind w:right="1129" w:firstLine="439"/>
        <w:jc w:val="both"/>
      </w:pPr>
      <w:r>
        <w:rPr>
          <w:spacing w:val="-2"/>
        </w:rPr>
        <w:t>公司自成立以来，长期致力于我国交通运输行业的现代化、信息化和智能化，是智慧交通、智慧</w:t>
      </w:r>
      <w:r>
        <w:rPr>
          <w:w w:val="100"/>
        </w:rPr>
        <w:t> </w:t>
      </w:r>
      <w:r>
        <w:rPr>
          <w:spacing w:val="-2"/>
        </w:rPr>
        <w:t>航运等领域的领军企业。公司通过整合中远海运集团下属信息化业务，成为中远海运集团科技和信息</w:t>
      </w:r>
      <w:r>
        <w:rPr>
          <w:spacing w:val="-68"/>
        </w:rPr>
        <w:t> </w:t>
      </w:r>
      <w:r>
        <w:rPr>
          <w:spacing w:val="-68"/>
        </w:rPr>
      </w:r>
      <w:r>
        <w:rPr>
          <w:spacing w:val="-2"/>
        </w:rPr>
        <w:t>化平台。凭借良好的品牌声誉、稳定的客户资源、丰富的技术经验、完整的业务结构和雄厚的企业背</w:t>
      </w:r>
      <w:r>
        <w:rPr>
          <w:spacing w:val="-69"/>
        </w:rPr>
        <w:t> </w:t>
      </w:r>
      <w:r>
        <w:rPr>
          <w:spacing w:val="-69"/>
        </w:rPr>
      </w:r>
      <w:r>
        <w:rPr/>
        <w:t>景，推动公司进入良性的发展轨道。报告期内，公司核心竞争力未发生重大变化。</w:t>
      </w:r>
    </w:p>
    <w:p>
      <w:pPr>
        <w:pStyle w:val="BodyText"/>
        <w:spacing w:line="240" w:lineRule="auto" w:before="45"/>
        <w:ind w:left="592" w:right="1133"/>
        <w:jc w:val="left"/>
      </w:pPr>
      <w:r>
        <w:rPr/>
        <w:t>（</w:t>
      </w:r>
      <w:r>
        <w:rPr>
          <w:rFonts w:ascii="Times New Roman" w:hAnsi="Times New Roman" w:cs="Times New Roman" w:eastAsia="Times New Roman" w:hint="default"/>
        </w:rPr>
        <w:t>1</w:t>
      </w:r>
      <w:r>
        <w:rPr/>
        <w:t>）品牌声誉良好</w:t>
      </w:r>
    </w:p>
    <w:p>
      <w:pPr>
        <w:spacing w:after="0" w:line="240" w:lineRule="auto"/>
        <w:jc w:val="left"/>
        <w:sectPr>
          <w:pgSz w:w="11910" w:h="16840"/>
          <w:pgMar w:header="745" w:footer="979" w:top="1060" w:bottom="1160" w:left="980" w:right="0"/>
        </w:sectPr>
      </w:pPr>
    </w:p>
    <w:p>
      <w:pPr>
        <w:spacing w:line="240" w:lineRule="auto" w:before="5"/>
        <w:rPr>
          <w:rFonts w:ascii="宋体" w:hAnsi="宋体" w:cs="宋体" w:eastAsia="宋体" w:hint="default"/>
          <w:sz w:val="24"/>
          <w:szCs w:val="24"/>
        </w:rPr>
      </w:pPr>
    </w:p>
    <w:p>
      <w:pPr>
        <w:pStyle w:val="BodyText"/>
        <w:spacing w:line="259" w:lineRule="auto" w:before="32"/>
        <w:ind w:right="0" w:firstLine="439"/>
        <w:jc w:val="left"/>
      </w:pPr>
      <w:r>
        <w:rPr/>
        <w:t>公司是国内最早从事智能交通业务的企业之一，公司承建了一大批在国内有影响的大型重点项</w:t>
      </w:r>
      <w:r>
        <w:rPr>
          <w:w w:val="100"/>
        </w:rPr>
        <w:t> </w:t>
      </w:r>
      <w:r>
        <w:rPr/>
        <w:t>目，荣获多项国家级和省部级奖项，业务覆盖全国二十多个省、自治区、直辖市，公司以服务质量可</w:t>
      </w:r>
      <w:r>
        <w:rPr>
          <w:w w:val="100"/>
        </w:rPr>
        <w:t> </w:t>
      </w:r>
      <w:r>
        <w:rPr>
          <w:spacing w:val="-5"/>
        </w:rPr>
        <w:t>靠著称，在智慧交通行业内具有较高的知名度。近年来，公司在智慧物流、智慧安防领域服务于公安、</w:t>
      </w:r>
      <w:r>
        <w:rPr>
          <w:spacing w:val="-42"/>
        </w:rPr>
        <w:t> </w:t>
      </w:r>
      <w:r>
        <w:rPr>
          <w:spacing w:val="-42"/>
        </w:rPr>
      </w:r>
      <w:r>
        <w:rPr/>
        <w:t>烟草等行业客户，也积累了良好的品牌声誉。</w:t>
      </w:r>
    </w:p>
    <w:p>
      <w:pPr>
        <w:pStyle w:val="BodyText"/>
        <w:spacing w:line="276" w:lineRule="auto" w:before="47"/>
        <w:ind w:left="592" w:right="1133"/>
        <w:jc w:val="left"/>
      </w:pPr>
      <w:r>
        <w:rPr/>
        <w:t>（</w:t>
      </w:r>
      <w:r>
        <w:rPr>
          <w:rFonts w:ascii="Times New Roman" w:hAnsi="Times New Roman" w:cs="Times New Roman" w:eastAsia="Times New Roman" w:hint="default"/>
        </w:rPr>
        <w:t>2</w:t>
      </w:r>
      <w:r>
        <w:rPr/>
        <w:t>）客户资源稳定</w:t>
      </w:r>
      <w:r>
        <w:rPr>
          <w:w w:val="100"/>
        </w:rPr>
        <w:t> </w:t>
      </w:r>
      <w:r>
        <w:rPr>
          <w:spacing w:val="-3"/>
        </w:rPr>
        <w:t>通过公司一以贯之地为客户提供优质可靠的服务，公司与上海、贵州、云南、四川、重庆、宁夏</w:t>
      </w:r>
    </w:p>
    <w:p>
      <w:pPr>
        <w:pStyle w:val="BodyText"/>
        <w:spacing w:line="259" w:lineRule="auto"/>
        <w:ind w:right="1129"/>
        <w:jc w:val="both"/>
      </w:pPr>
      <w:r>
        <w:rPr>
          <w:spacing w:val="-2"/>
        </w:rPr>
        <w:t>等地交通运输管理部门、高速公路投资建设单位建立了良好的合作关系，使这些地区成为公司智慧交</w:t>
      </w:r>
      <w:r>
        <w:rPr>
          <w:spacing w:val="-70"/>
        </w:rPr>
        <w:t> </w:t>
      </w:r>
      <w:r>
        <w:rPr>
          <w:spacing w:val="-70"/>
        </w:rPr>
      </w:r>
      <w:r>
        <w:rPr>
          <w:spacing w:val="-2"/>
        </w:rPr>
        <w:t>通业务较为稳固的市场基地，尤其报告期内公司作为联合体牵头人承接了青海、宁夏全省（区）取消</w:t>
      </w:r>
      <w:r>
        <w:rPr>
          <w:spacing w:val="-75"/>
        </w:rPr>
        <w:t> </w:t>
      </w:r>
      <w:r>
        <w:rPr>
          <w:spacing w:val="-75"/>
        </w:rPr>
      </w:r>
      <w:r>
        <w:rPr>
          <w:spacing w:val="-2"/>
        </w:rPr>
        <w:t>高速公路省界收费站设计施工总承包项目，全面参与高速公路相关业务。作为中远海运集团的信息化</w:t>
      </w:r>
      <w:r>
        <w:rPr>
          <w:spacing w:val="-69"/>
        </w:rPr>
        <w:t> </w:t>
      </w:r>
      <w:r>
        <w:rPr>
          <w:spacing w:val="-69"/>
        </w:rPr>
      </w:r>
      <w:r>
        <w:rPr>
          <w:spacing w:val="-2"/>
        </w:rPr>
        <w:t>业务平台，依托于中远海运集团及下属单位持续的信息化建设和创新发展需求，公司的信息化业务拥</w:t>
      </w:r>
      <w:r>
        <w:rPr>
          <w:spacing w:val="-70"/>
        </w:rPr>
        <w:t> </w:t>
      </w:r>
      <w:r>
        <w:rPr>
          <w:spacing w:val="-70"/>
        </w:rPr>
      </w:r>
      <w:r>
        <w:rPr/>
        <w:t>有稳定的客户资源。</w:t>
      </w:r>
    </w:p>
    <w:p>
      <w:pPr>
        <w:pStyle w:val="BodyText"/>
        <w:spacing w:line="278" w:lineRule="auto" w:before="47"/>
        <w:ind w:left="592" w:right="1133"/>
        <w:jc w:val="left"/>
      </w:pPr>
      <w:r>
        <w:rPr/>
        <w:t>（</w:t>
      </w:r>
      <w:r>
        <w:rPr>
          <w:rFonts w:ascii="Times New Roman" w:hAnsi="Times New Roman" w:cs="Times New Roman" w:eastAsia="Times New Roman" w:hint="default"/>
        </w:rPr>
        <w:t>3</w:t>
      </w:r>
      <w:r>
        <w:rPr/>
        <w:t>）技术经验丰富</w:t>
      </w:r>
      <w:r>
        <w:rPr>
          <w:w w:val="100"/>
        </w:rPr>
        <w:t> </w:t>
      </w:r>
      <w:r>
        <w:rPr>
          <w:spacing w:val="-2"/>
        </w:rPr>
        <w:t>通过长期实践，公司在智能交通和信息化领域积累了丰富的技术开发和项目建设经验，建立了成</w:t>
      </w:r>
    </w:p>
    <w:p>
      <w:pPr>
        <w:pStyle w:val="BodyText"/>
        <w:spacing w:line="259" w:lineRule="auto"/>
        <w:ind w:right="1128"/>
        <w:jc w:val="both"/>
      </w:pPr>
      <w:r>
        <w:rPr>
          <w:spacing w:val="-2"/>
        </w:rPr>
        <w:t>熟的技术体系，形成了较强的自主研发能力，拥有满足不同客户的个性化需求的服务能力。公司建设</w:t>
      </w:r>
      <w:r>
        <w:rPr>
          <w:spacing w:val="-68"/>
        </w:rPr>
        <w:t> </w:t>
      </w:r>
      <w:r>
        <w:rPr>
          <w:spacing w:val="-68"/>
        </w:rPr>
      </w:r>
      <w:r>
        <w:rPr/>
        <w:t>了一支技术精湛、经验丰富、结构合理、团结合作的管理和技术团队，现有研发人员</w:t>
      </w:r>
      <w:r>
        <w:rPr>
          <w:rFonts w:ascii="宋体" w:hAnsi="宋体" w:cs="宋体" w:eastAsia="宋体" w:hint="default"/>
        </w:rPr>
        <w:t>468</w:t>
      </w:r>
      <w:r>
        <w:rPr/>
        <w:t>人，通过一</w:t>
      </w:r>
      <w:r>
        <w:rPr>
          <w:w w:val="100"/>
        </w:rPr>
        <w:t> </w:t>
      </w:r>
      <w:r>
        <w:rPr>
          <w:spacing w:val="-2"/>
        </w:rPr>
        <w:t>系列的资源整合和各研发基地建设，公司的信息化服务能力进一步得到了加强。报告期内，公司取得</w:t>
      </w:r>
      <w:r>
        <w:rPr>
          <w:spacing w:val="-68"/>
        </w:rPr>
        <w:t> </w:t>
      </w:r>
      <w:r>
        <w:rPr>
          <w:spacing w:val="-68"/>
        </w:rPr>
      </w:r>
      <w:r>
        <w:rPr/>
        <w:t>专利</w:t>
      </w:r>
      <w:r>
        <w:rPr>
          <w:rFonts w:ascii="宋体" w:hAnsi="宋体" w:cs="宋体" w:eastAsia="宋体" w:hint="default"/>
        </w:rPr>
        <w:t>3</w:t>
      </w:r>
      <w:r>
        <w:rPr/>
        <w:t>项、软件著作权</w:t>
      </w:r>
      <w:r>
        <w:rPr>
          <w:rFonts w:ascii="宋体" w:hAnsi="宋体" w:cs="宋体" w:eastAsia="宋体" w:hint="default"/>
        </w:rPr>
        <w:t>33</w:t>
      </w:r>
      <w:r>
        <w:rPr/>
        <w:t>项，正在申请的专利</w:t>
      </w:r>
      <w:r>
        <w:rPr>
          <w:rFonts w:ascii="宋体" w:hAnsi="宋体" w:cs="宋体" w:eastAsia="宋体" w:hint="default"/>
        </w:rPr>
        <w:t>4</w:t>
      </w:r>
      <w:r>
        <w:rPr/>
        <w:t>项。</w:t>
      </w:r>
    </w:p>
    <w:p>
      <w:pPr>
        <w:pStyle w:val="BodyText"/>
        <w:spacing w:line="278" w:lineRule="auto" w:before="45"/>
        <w:ind w:left="592" w:right="1133"/>
        <w:jc w:val="left"/>
      </w:pPr>
      <w:r>
        <w:rPr/>
        <w:t>（</w:t>
      </w:r>
      <w:r>
        <w:rPr>
          <w:rFonts w:ascii="Times New Roman" w:hAnsi="Times New Roman" w:cs="Times New Roman" w:eastAsia="Times New Roman" w:hint="default"/>
        </w:rPr>
        <w:t>4</w:t>
      </w:r>
      <w:r>
        <w:rPr/>
        <w:t>）业务结构完整</w:t>
      </w:r>
      <w:r>
        <w:rPr>
          <w:w w:val="100"/>
        </w:rPr>
        <w:t> </w:t>
      </w:r>
      <w:r>
        <w:rPr>
          <w:spacing w:val="-2"/>
        </w:rPr>
        <w:t>公司在智慧交通、智慧航运、智慧物流、智慧安防等领域拥有较为完整的服务体系，能够为用户</w:t>
      </w:r>
    </w:p>
    <w:p>
      <w:pPr>
        <w:pStyle w:val="BodyText"/>
        <w:spacing w:line="259" w:lineRule="auto"/>
        <w:ind w:right="1090"/>
        <w:jc w:val="both"/>
      </w:pPr>
      <w:r>
        <w:rPr>
          <w:spacing w:val="-1"/>
        </w:rPr>
        <w:t>提供咨询设计、软件开发、产品研制、项目实施、数据管理、运营维护、综合培训等全方位的服务。</w:t>
      </w:r>
      <w:r>
        <w:rPr>
          <w:spacing w:val="-73"/>
        </w:rPr>
        <w:t> </w:t>
      </w:r>
      <w:r>
        <w:rPr>
          <w:spacing w:val="-73"/>
        </w:rPr>
      </w:r>
      <w:r>
        <w:rPr>
          <w:spacing w:val="-2"/>
        </w:rPr>
        <w:t>这些业务还能够产生较强的互补和协同效应，既满足了客户多方位的需求，也增强了公司发展动能和</w:t>
      </w:r>
      <w:r>
        <w:rPr>
          <w:spacing w:val="-70"/>
        </w:rPr>
        <w:t> </w:t>
      </w:r>
      <w:r>
        <w:rPr>
          <w:spacing w:val="-70"/>
        </w:rPr>
      </w:r>
      <w:r>
        <w:rPr>
          <w:spacing w:val="-2"/>
        </w:rPr>
        <w:t>抗风险能力。近年来，公司积极推进现有业务与大数据、云计算、人工智能等新型技术的结合，通过</w:t>
      </w:r>
      <w:r>
        <w:rPr>
          <w:spacing w:val="-71"/>
        </w:rPr>
        <w:t> </w:t>
      </w:r>
      <w:r>
        <w:rPr>
          <w:spacing w:val="-71"/>
        </w:rPr>
      </w:r>
      <w:r>
        <w:rPr/>
        <w:t>与行业优势企业股权合作、战略合作，探索业务结构和商业模式创新。</w:t>
      </w:r>
    </w:p>
    <w:p>
      <w:pPr>
        <w:pStyle w:val="BodyText"/>
        <w:spacing w:line="276" w:lineRule="auto" w:before="47"/>
        <w:ind w:left="508" w:right="1133" w:firstLine="84"/>
        <w:jc w:val="left"/>
      </w:pPr>
      <w:r>
        <w:rPr/>
        <w:t>（</w:t>
      </w:r>
      <w:r>
        <w:rPr>
          <w:rFonts w:ascii="Times New Roman" w:hAnsi="Times New Roman" w:cs="Times New Roman" w:eastAsia="Times New Roman" w:hint="default"/>
        </w:rPr>
        <w:t>5</w:t>
      </w:r>
      <w:r>
        <w:rPr/>
        <w:t>）企业背景雄厚</w:t>
      </w:r>
      <w:r>
        <w:rPr>
          <w:w w:val="100"/>
        </w:rPr>
        <w:t> </w:t>
      </w:r>
      <w:r>
        <w:rPr/>
        <w:t>公司间接控股股东中国远洋海运集团是世界最大综合航运企业，布局航运、物流、金融、装备制</w:t>
      </w:r>
    </w:p>
    <w:p>
      <w:pPr>
        <w:pStyle w:val="BodyText"/>
        <w:spacing w:line="254" w:lineRule="auto"/>
        <w:ind w:right="1128"/>
        <w:jc w:val="both"/>
      </w:pPr>
      <w:r>
        <w:rPr>
          <w:spacing w:val="-2"/>
        </w:rPr>
        <w:t>造、航运服务、社会化产业和基于商业模式创新的互联网</w:t>
      </w:r>
      <w:r>
        <w:rPr>
          <w:rFonts w:ascii="Times New Roman" w:hAnsi="Times New Roman" w:cs="Times New Roman" w:eastAsia="Times New Roman" w:hint="default"/>
          <w:spacing w:val="-2"/>
        </w:rPr>
        <w:t>+</w:t>
      </w:r>
      <w:r>
        <w:rPr>
          <w:spacing w:val="-2"/>
        </w:rPr>
        <w:t>相关业务</w:t>
      </w:r>
      <w:r>
        <w:rPr>
          <w:rFonts w:ascii="Times New Roman" w:hAnsi="Times New Roman" w:cs="Times New Roman" w:eastAsia="Times New Roman" w:hint="default"/>
          <w:spacing w:val="-2"/>
        </w:rPr>
        <w:t>“6+1”</w:t>
      </w:r>
      <w:r>
        <w:rPr>
          <w:spacing w:val="-2"/>
        </w:rPr>
        <w:t>产业集群，全力打造全球领</w:t>
      </w:r>
      <w:r>
        <w:rPr>
          <w:spacing w:val="-69"/>
        </w:rPr>
        <w:t> </w:t>
      </w:r>
      <w:r>
        <w:rPr>
          <w:spacing w:val="-69"/>
        </w:rPr>
      </w:r>
      <w:r>
        <w:rPr>
          <w:spacing w:val="-2"/>
        </w:rPr>
        <w:t>先的综合物流供应链服务商。集团在信息化建设需求和大数据、云计算、人工智能时代下的数字化转</w:t>
      </w:r>
      <w:r>
        <w:rPr>
          <w:spacing w:val="-70"/>
        </w:rPr>
        <w:t> </w:t>
      </w:r>
      <w:r>
        <w:rPr>
          <w:spacing w:val="-70"/>
        </w:rPr>
      </w:r>
      <w:r>
        <w:rPr>
          <w:spacing w:val="-2"/>
        </w:rPr>
        <w:t>型需求与公司多年业务发展集聚的技术能力具有紧密的关联度，能为公司提供稳定的内部市场和产业</w:t>
      </w:r>
      <w:r>
        <w:rPr>
          <w:spacing w:val="-73"/>
        </w:rPr>
        <w:t> </w:t>
      </w:r>
      <w:r>
        <w:rPr>
          <w:spacing w:val="-73"/>
        </w:rPr>
      </w:r>
      <w:r>
        <w:rPr/>
        <w:t>协同支持。</w:t>
      </w:r>
    </w:p>
    <w:p>
      <w:pPr>
        <w:spacing w:after="0" w:line="254"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045" w:right="1133"/>
        <w:jc w:val="left"/>
        <w:rPr>
          <w:b w:val="0"/>
          <w:bCs w:val="0"/>
        </w:rPr>
      </w:pPr>
      <w:bookmarkStart w:name="_bookmark3" w:id="4"/>
      <w:bookmarkEnd w:id="4"/>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3"/>
        <w:spacing w:line="240" w:lineRule="auto" w:before="26"/>
        <w:ind w:right="1133"/>
        <w:jc w:val="left"/>
        <w:rPr>
          <w:b w:val="0"/>
          <w:bCs w:val="0"/>
        </w:rPr>
      </w:pPr>
      <w:r>
        <w:rPr/>
        <w:t>一、概述</w:t>
      </w:r>
      <w:r>
        <w:rPr>
          <w:b w:val="0"/>
          <w:bCs w:val="0"/>
        </w:rPr>
      </w:r>
    </w:p>
    <w:p>
      <w:pPr>
        <w:spacing w:line="240" w:lineRule="auto" w:before="2"/>
        <w:rPr>
          <w:rFonts w:ascii="宋体" w:hAnsi="宋体" w:cs="宋体" w:eastAsia="宋体" w:hint="default"/>
          <w:b/>
          <w:bCs/>
          <w:sz w:val="24"/>
          <w:szCs w:val="24"/>
        </w:rPr>
      </w:pPr>
    </w:p>
    <w:p>
      <w:pPr>
        <w:pStyle w:val="BodyText"/>
        <w:spacing w:line="259" w:lineRule="auto"/>
        <w:ind w:right="1128" w:firstLine="439"/>
        <w:jc w:val="both"/>
      </w:pPr>
      <w:r>
        <w:rPr>
          <w:spacing w:val="-2"/>
        </w:rPr>
        <w:t>报告期内，公司聚焦战略引领，坚持改革创新，扎实推进各项工作，经营生产态势健康向上，经</w:t>
      </w:r>
      <w:r>
        <w:rPr>
          <w:w w:val="100"/>
        </w:rPr>
        <w:t> </w:t>
      </w:r>
      <w:r>
        <w:rPr>
          <w:spacing w:val="-2"/>
        </w:rPr>
        <w:t>营业绩再创新高。本报告期，公司实现营业收入</w:t>
      </w:r>
      <w:r>
        <w:rPr>
          <w:rFonts w:ascii="宋体" w:hAnsi="宋体" w:cs="宋体" w:eastAsia="宋体" w:hint="default"/>
          <w:spacing w:val="-2"/>
        </w:rPr>
        <w:t>1,203,712,101.71</w:t>
      </w:r>
      <w:r>
        <w:rPr>
          <w:spacing w:val="-2"/>
        </w:rPr>
        <w:t>元，较上期增长</w:t>
      </w:r>
      <w:r>
        <w:rPr>
          <w:rFonts w:ascii="宋体" w:hAnsi="宋体" w:cs="宋体" w:eastAsia="宋体" w:hint="default"/>
          <w:spacing w:val="-2"/>
        </w:rPr>
        <w:t>22.82%</w:t>
      </w:r>
      <w:r>
        <w:rPr>
          <w:spacing w:val="-2"/>
        </w:rPr>
        <w:t>；归属于上</w:t>
      </w:r>
      <w:r>
        <w:rPr>
          <w:spacing w:val="-48"/>
        </w:rPr>
        <w:t> </w:t>
      </w:r>
      <w:r>
        <w:rPr>
          <w:spacing w:val="-48"/>
        </w:rPr>
      </w:r>
      <w:r>
        <w:rPr/>
        <w:t>市公司股东的净利润</w:t>
      </w:r>
      <w:r>
        <w:rPr>
          <w:rFonts w:ascii="宋体" w:hAnsi="宋体" w:cs="宋体" w:eastAsia="宋体" w:hint="default"/>
        </w:rPr>
        <w:t>96,640,953.70</w:t>
      </w:r>
      <w:r>
        <w:rPr/>
        <w:t>元，较上期增长</w:t>
      </w:r>
      <w:r>
        <w:rPr>
          <w:rFonts w:ascii="宋体" w:hAnsi="宋体" w:cs="宋体" w:eastAsia="宋体" w:hint="default"/>
        </w:rPr>
        <w:t>16.17%</w:t>
      </w:r>
      <w:r>
        <w:rPr/>
        <w:t>。</w:t>
      </w:r>
    </w:p>
    <w:p>
      <w:pPr>
        <w:pStyle w:val="BodyText"/>
        <w:spacing w:line="240" w:lineRule="auto" w:before="45"/>
        <w:ind w:left="592" w:right="1133"/>
        <w:jc w:val="left"/>
      </w:pPr>
      <w:r>
        <w:rPr/>
        <w:t>（一）市场经营方面</w:t>
      </w:r>
    </w:p>
    <w:p>
      <w:pPr>
        <w:pStyle w:val="BodyText"/>
        <w:spacing w:line="244" w:lineRule="auto" w:before="24"/>
        <w:ind w:left="592" w:right="1133"/>
        <w:jc w:val="left"/>
      </w:pPr>
      <w:r>
        <w:rPr>
          <w:rFonts w:ascii="Times New Roman" w:hAnsi="Times New Roman" w:cs="Times New Roman" w:eastAsia="Times New Roman" w:hint="default"/>
        </w:rPr>
        <w:t>1</w:t>
      </w:r>
      <w:r>
        <w:rPr/>
        <w:t>、智慧交通业务</w:t>
      </w:r>
      <w:r>
        <w:rPr>
          <w:spacing w:val="-107"/>
        </w:rPr>
        <w:t> </w:t>
      </w:r>
      <w:r>
        <w:rPr>
          <w:spacing w:val="-107"/>
        </w:rPr>
      </w:r>
      <w:r>
        <w:rPr>
          <w:spacing w:val="-2"/>
        </w:rPr>
        <w:t>公司持续深化重点区域市场经营，把握全国取消高速公路省界收费站的重要市场机遇，报告期内</w:t>
      </w:r>
    </w:p>
    <w:p>
      <w:pPr>
        <w:pStyle w:val="BodyText"/>
        <w:spacing w:line="259" w:lineRule="auto" w:before="19"/>
        <w:ind w:right="0"/>
        <w:jc w:val="left"/>
      </w:pPr>
      <w:r>
        <w:rPr/>
        <w:t>公司作为联合体牵头人承接了青海、宁夏全省（区）取消高速公路省界收费站设计施工总承包项目，</w:t>
      </w:r>
      <w:r>
        <w:rPr>
          <w:w w:val="100"/>
        </w:rPr>
        <w:t> </w:t>
      </w:r>
      <w:r>
        <w:rPr>
          <w:spacing w:val="-5"/>
        </w:rPr>
        <w:t>并承接了贵州、河南、上海、云南等地的多个取消高速公路省界收费站工程和其它智慧交通工程项目。</w:t>
      </w:r>
      <w:r>
        <w:rPr>
          <w:spacing w:val="-49"/>
        </w:rPr>
        <w:t> </w:t>
      </w:r>
      <w:r>
        <w:rPr>
          <w:spacing w:val="-49"/>
        </w:rPr>
      </w:r>
      <w:r>
        <w:rPr>
          <w:spacing w:val="-2"/>
        </w:rPr>
        <w:t>公司开发的高速公路收费软件平台应用于贵州、青海、宁夏、重庆等省区，同时，积极探索道路养护</w:t>
      </w:r>
      <w:r>
        <w:rPr>
          <w:spacing w:val="-69"/>
        </w:rPr>
        <w:t> </w:t>
      </w:r>
      <w:r>
        <w:rPr>
          <w:spacing w:val="-69"/>
        </w:rPr>
      </w:r>
      <w:r>
        <w:rPr>
          <w:spacing w:val="-2"/>
        </w:rPr>
        <w:t>平台搭建和推广。公司在全国高速公路机电工程信用等级综合评价中，获得</w:t>
      </w:r>
      <w:r>
        <w:rPr>
          <w:rFonts w:ascii="宋体" w:hAnsi="宋体" w:cs="宋体" w:eastAsia="宋体" w:hint="default"/>
          <w:spacing w:val="-2"/>
        </w:rPr>
        <w:t>AA</w:t>
      </w:r>
      <w:r>
        <w:rPr>
          <w:spacing w:val="-2"/>
        </w:rPr>
        <w:t>级评价，为各区域市场</w:t>
      </w:r>
      <w:r>
        <w:rPr>
          <w:spacing w:val="-63"/>
        </w:rPr>
        <w:t> </w:t>
      </w:r>
      <w:r>
        <w:rPr>
          <w:spacing w:val="-63"/>
        </w:rPr>
      </w:r>
      <w:r>
        <w:rPr/>
        <w:t>经营提供了有利竞争条件。</w:t>
      </w:r>
    </w:p>
    <w:p>
      <w:pPr>
        <w:pStyle w:val="BodyText"/>
        <w:spacing w:line="244" w:lineRule="auto" w:before="6"/>
        <w:ind w:left="592" w:right="0"/>
        <w:jc w:val="left"/>
      </w:pPr>
      <w:r>
        <w:rPr>
          <w:rFonts w:ascii="Times New Roman" w:hAnsi="Times New Roman" w:cs="Times New Roman" w:eastAsia="Times New Roman" w:hint="default"/>
        </w:rPr>
        <w:t>2</w:t>
      </w:r>
      <w:r>
        <w:rPr/>
        <w:t>、智慧航运业务</w:t>
      </w:r>
      <w:r>
        <w:rPr>
          <w:spacing w:val="-107"/>
        </w:rPr>
        <w:t> </w:t>
      </w:r>
      <w:r>
        <w:rPr>
          <w:spacing w:val="-107"/>
        </w:rPr>
      </w:r>
      <w:r>
        <w:rPr>
          <w:spacing w:val="-5"/>
        </w:rPr>
        <w:t>公司持续开展中远海运集团信息化建设服务工作，</w:t>
      </w:r>
      <w:r>
        <w:rPr>
          <w:rFonts w:ascii="宋体" w:hAnsi="宋体" w:cs="宋体" w:eastAsia="宋体" w:hint="default"/>
          <w:spacing w:val="-5"/>
        </w:rPr>
        <w:t>2019</w:t>
      </w:r>
      <w:r>
        <w:rPr>
          <w:spacing w:val="-5"/>
        </w:rPr>
        <w:t>年度，公司推进实施了集团数据集成平台、</w:t>
      </w:r>
    </w:p>
    <w:p>
      <w:pPr>
        <w:pStyle w:val="BodyText"/>
        <w:spacing w:line="259" w:lineRule="auto" w:before="19"/>
        <w:ind w:right="0"/>
        <w:jc w:val="left"/>
        <w:rPr>
          <w:rFonts w:ascii="宋体" w:hAnsi="宋体" w:cs="宋体" w:eastAsia="宋体" w:hint="default"/>
        </w:rPr>
      </w:pPr>
      <w:r>
        <w:rPr>
          <w:spacing w:val="-5"/>
        </w:rPr>
        <w:t>投资与项目管理系统、人力资源管理系统、采购及供应商管理系统、财务核算系统等信息化建设项目。</w:t>
      </w:r>
      <w:r>
        <w:rPr>
          <w:spacing w:val="-50"/>
        </w:rPr>
        <w:t> </w:t>
      </w:r>
      <w:r>
        <w:rPr>
          <w:spacing w:val="-50"/>
        </w:rPr>
      </w:r>
      <w:r>
        <w:rPr/>
        <w:t>公司积极研究探索新技术、新模式、新场景与集团各产业集群的有机结合，与合作伙伴联合打造了沿</w:t>
      </w:r>
      <w:r>
        <w:rPr>
          <w:w w:val="100"/>
        </w:rPr>
        <w:t> </w:t>
      </w:r>
      <w:r>
        <w:rPr>
          <w:spacing w:val="-5"/>
        </w:rPr>
        <w:t>海散货运输“船货易”平台、集团税务管理平台项目、航运保险数据融合服务平台等创新型业务平台，</w:t>
      </w:r>
      <w:r>
        <w:rPr>
          <w:spacing w:val="-44"/>
        </w:rPr>
        <w:t> </w:t>
      </w:r>
      <w:r>
        <w:rPr>
          <w:spacing w:val="-44"/>
        </w:rPr>
      </w:r>
      <w:r>
        <w:rPr/>
        <w:t>有效发挥了对航运物流产业的数字化赋能作用。同时，公司积极开拓集团外部市场，承建的宁波海事</w:t>
      </w:r>
      <w:r>
        <w:rPr>
          <w:w w:val="100"/>
        </w:rPr>
        <w:t> </w:t>
      </w:r>
      <w:r>
        <w:rPr>
          <w:spacing w:val="-7"/>
          <w:w w:val="100"/>
        </w:rPr>
        <w:t>局指挥协调服务平台，运用信息化、大数据助力海事监管，该平台已成为宁波市数字化项目中的典范。</w:t>
      </w:r>
      <w:r>
        <w:rPr>
          <w:rFonts w:ascii="宋体" w:hAnsi="宋体" w:cs="宋体" w:eastAsia="宋体" w:hint="default"/>
          <w:w w:val="100"/>
        </w:rPr>
        <w:t> </w:t>
      </w:r>
    </w:p>
    <w:p>
      <w:pPr>
        <w:pStyle w:val="BodyText"/>
        <w:spacing w:line="259" w:lineRule="auto" w:before="6"/>
        <w:ind w:left="592" w:right="1133"/>
        <w:jc w:val="left"/>
      </w:pPr>
      <w:r>
        <w:rPr>
          <w:rFonts w:ascii="宋体" w:hAnsi="宋体" w:cs="宋体" w:eastAsia="宋体" w:hint="default"/>
        </w:rPr>
        <w:t>3</w:t>
      </w:r>
      <w:r>
        <w:rPr/>
        <w:t>、智慧物流业务</w:t>
      </w:r>
      <w:r>
        <w:rPr>
          <w:rFonts w:ascii="宋体" w:hAnsi="宋体" w:cs="宋体" w:eastAsia="宋体" w:hint="default"/>
          <w:w w:val="100"/>
        </w:rPr>
        <w:t> </w:t>
      </w:r>
      <w:r>
        <w:rPr>
          <w:spacing w:val="-2"/>
        </w:rPr>
        <w:t>公司进一步加大智慧物流业务市场开拓力度，积极拓展集团内外两个市场。报告期内，签订了中</w:t>
      </w:r>
    </w:p>
    <w:p>
      <w:pPr>
        <w:pStyle w:val="BodyText"/>
        <w:spacing w:line="259" w:lineRule="auto" w:before="6"/>
        <w:ind w:right="1128"/>
        <w:jc w:val="both"/>
      </w:pPr>
      <w:r>
        <w:rPr>
          <w:spacing w:val="-2"/>
        </w:rPr>
        <w:t>远海运物流冷链仓储优化项目、保税仓储优化项目、智慧航运物流大数据项目、货运客户服务可视化</w:t>
      </w:r>
      <w:r>
        <w:rPr>
          <w:spacing w:val="-68"/>
        </w:rPr>
        <w:t> </w:t>
      </w:r>
      <w:r>
        <w:rPr>
          <w:spacing w:val="-68"/>
        </w:rPr>
      </w:r>
      <w:r>
        <w:rPr>
          <w:spacing w:val="-2"/>
        </w:rPr>
        <w:t>项目、货运订舱自动化项目，签订了云南、河南等地的多项烟草物流信息平台项目，以及中集下一代</w:t>
      </w:r>
      <w:r>
        <w:rPr>
          <w:spacing w:val="-69"/>
        </w:rPr>
        <w:t> </w:t>
      </w:r>
      <w:r>
        <w:rPr>
          <w:spacing w:val="-69"/>
        </w:rPr>
      </w:r>
      <w:r>
        <w:rPr/>
        <w:t>集装箱运输管理系统、扬子江化工园区封闭管理信息化建设、锦州新时代集装箱码头岸电项目。</w:t>
      </w:r>
    </w:p>
    <w:p>
      <w:pPr>
        <w:pStyle w:val="BodyText"/>
        <w:spacing w:line="244" w:lineRule="auto" w:before="6"/>
        <w:ind w:left="592" w:right="1133"/>
        <w:jc w:val="left"/>
      </w:pPr>
      <w:r>
        <w:rPr>
          <w:rFonts w:ascii="Times New Roman" w:hAnsi="Times New Roman" w:cs="Times New Roman" w:eastAsia="Times New Roman" w:hint="default"/>
        </w:rPr>
        <w:t>4</w:t>
      </w:r>
      <w:r>
        <w:rPr/>
        <w:t>、智慧安防业务</w:t>
      </w:r>
      <w:r>
        <w:rPr>
          <w:spacing w:val="-107"/>
        </w:rPr>
        <w:t> </w:t>
      </w:r>
      <w:r>
        <w:rPr>
          <w:spacing w:val="-107"/>
        </w:rPr>
      </w:r>
      <w:r>
        <w:rPr>
          <w:spacing w:val="-2"/>
        </w:rPr>
        <w:t>公司立足上海区域，抓住中国国际进口博览会等重大市场机遇，助力上海公安建设智慧高效的安</w:t>
      </w:r>
    </w:p>
    <w:p>
      <w:pPr>
        <w:pStyle w:val="BodyText"/>
        <w:spacing w:line="256" w:lineRule="auto" w:before="20"/>
        <w:ind w:right="1128"/>
        <w:jc w:val="both"/>
        <w:rPr>
          <w:rFonts w:ascii="宋体" w:hAnsi="宋体" w:cs="宋体" w:eastAsia="宋体" w:hint="default"/>
        </w:rPr>
      </w:pPr>
      <w:r>
        <w:rPr>
          <w:spacing w:val="-1"/>
        </w:rPr>
        <w:t>防体系，继续深耕拓展</w:t>
      </w:r>
      <w:r>
        <w:rPr>
          <w:rFonts w:ascii="Times New Roman" w:hAnsi="Times New Roman" w:cs="Times New Roman" w:eastAsia="Times New Roman" w:hint="default"/>
          <w:spacing w:val="-1"/>
        </w:rPr>
        <w:t>“</w:t>
      </w:r>
      <w:r>
        <w:rPr>
          <w:spacing w:val="-1"/>
        </w:rPr>
        <w:t>雪亮工程</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智慧公安</w:t>
      </w:r>
      <w:r>
        <w:rPr>
          <w:rFonts w:ascii="Times New Roman" w:hAnsi="Times New Roman" w:cs="Times New Roman" w:eastAsia="Times New Roman" w:hint="default"/>
          <w:spacing w:val="-1"/>
        </w:rPr>
        <w:t>”</w:t>
      </w:r>
      <w:r>
        <w:rPr>
          <w:spacing w:val="-1"/>
        </w:rPr>
        <w:t>等市场业务，成功承接和实施了中国国际进口博览会</w:t>
      </w:r>
      <w:r>
        <w:rPr>
          <w:spacing w:val="-75"/>
        </w:rPr>
        <w:t> </w:t>
      </w:r>
      <w:r>
        <w:rPr>
          <w:spacing w:val="-75"/>
        </w:rPr>
      </w:r>
      <w:r>
        <w:rPr>
          <w:spacing w:val="-2"/>
        </w:rPr>
        <w:t>重点区域智能视频分析与应用系统、奉贤区公共安全视频监控建设联网应用项目、杨浦区道路图像监</w:t>
      </w:r>
      <w:r>
        <w:rPr>
          <w:spacing w:val="-67"/>
        </w:rPr>
        <w:t> </w:t>
      </w:r>
      <w:r>
        <w:rPr>
          <w:spacing w:val="-67"/>
        </w:rPr>
      </w:r>
      <w:r>
        <w:rPr>
          <w:spacing w:val="-2"/>
        </w:rPr>
        <w:t>控系统电信租赁建设（三期）派出所大屏和管理转发系统、上海市公安局智能图像识别系统项目、公</w:t>
      </w:r>
      <w:r>
        <w:rPr>
          <w:spacing w:val="-68"/>
        </w:rPr>
        <w:t> </w:t>
      </w:r>
      <w:r>
        <w:rPr>
          <w:spacing w:val="-68"/>
        </w:rPr>
      </w:r>
      <w:r>
        <w:rPr>
          <w:spacing w:val="-2"/>
        </w:rPr>
        <w:t>安局徐汇分局智慧公安智能图像识别系统（一期）等重要项目。形成一体化服务优势，区域市场地位</w:t>
      </w:r>
      <w:r>
        <w:rPr>
          <w:spacing w:val="-67"/>
        </w:rPr>
        <w:t> </w:t>
      </w:r>
      <w:r>
        <w:rPr>
          <w:spacing w:val="-67"/>
        </w:rPr>
      </w:r>
      <w:r>
        <w:rPr/>
        <w:t>得到进一步加强，全年智慧安防业务新签合同额再创新高。</w:t>
      </w:r>
      <w:r>
        <w:rPr>
          <w:rFonts w:ascii="宋体" w:hAnsi="宋体" w:cs="宋体" w:eastAsia="宋体" w:hint="default"/>
        </w:rPr>
        <w:t> </w:t>
      </w:r>
    </w:p>
    <w:p>
      <w:pPr>
        <w:pStyle w:val="BodyText"/>
        <w:spacing w:line="295" w:lineRule="auto" w:before="49"/>
        <w:ind w:left="592" w:right="1133"/>
        <w:jc w:val="left"/>
      </w:pPr>
      <w:r>
        <w:rPr/>
        <w:t>（二）科技创新方面</w:t>
      </w:r>
      <w:r>
        <w:rPr>
          <w:rFonts w:ascii="宋体" w:hAnsi="宋体" w:cs="宋体" w:eastAsia="宋体" w:hint="default"/>
          <w:w w:val="100"/>
        </w:rPr>
        <w:t> </w:t>
      </w:r>
      <w:r>
        <w:rPr>
          <w:spacing w:val="-2"/>
        </w:rPr>
        <w:t>报告期内，公司继续围绕企业发展战略和市场需求深化创新探索，以研发创新中心为载体，重点</w:t>
      </w:r>
    </w:p>
    <w:p>
      <w:pPr>
        <w:pStyle w:val="BodyText"/>
        <w:spacing w:line="261" w:lineRule="exact"/>
        <w:ind w:right="1133"/>
        <w:jc w:val="left"/>
      </w:pPr>
      <w:r>
        <w:rPr/>
        <w:t>开展交通、航运、物流、安防领域的研发探索。</w:t>
      </w:r>
      <w:r>
        <w:rPr>
          <w:rFonts w:ascii="宋体" w:hAnsi="宋体" w:cs="宋体" w:eastAsia="宋体" w:hint="default"/>
        </w:rPr>
        <w:t>2019</w:t>
      </w:r>
      <w:r>
        <w:rPr/>
        <w:t>年</w:t>
      </w:r>
      <w:r>
        <w:rPr>
          <w:rFonts w:ascii="宋体" w:hAnsi="宋体" w:cs="宋体" w:eastAsia="宋体" w:hint="default"/>
        </w:rPr>
        <w:t>2</w:t>
      </w:r>
      <w:r>
        <w:rPr/>
        <w:t>月，公司荣获第五届浦东总部经济十大经典</w:t>
      </w:r>
    </w:p>
    <w:p>
      <w:pPr>
        <w:pStyle w:val="BodyText"/>
        <w:spacing w:line="292" w:lineRule="auto" w:before="24"/>
        <w:ind w:left="592" w:right="1133" w:hanging="440"/>
        <w:jc w:val="left"/>
      </w:pPr>
      <w:r>
        <w:rPr/>
        <w:t>样本“科技创新奖”。</w:t>
      </w:r>
      <w:r>
        <w:rPr>
          <w:rFonts w:ascii="宋体" w:hAnsi="宋体" w:cs="宋体" w:eastAsia="宋体" w:hint="default"/>
          <w:w w:val="100"/>
        </w:rPr>
        <w:t> </w:t>
      </w:r>
      <w:r>
        <w:rPr>
          <w:spacing w:val="-2"/>
        </w:rPr>
        <w:t>智慧交通领域，公司结合拆除省界收费站、通行费移动支付等创新业务的技术和市场积累，围绕</w:t>
      </w:r>
    </w:p>
    <w:p>
      <w:pPr>
        <w:pStyle w:val="BodyText"/>
        <w:spacing w:line="264" w:lineRule="exact"/>
        <w:ind w:right="0"/>
        <w:jc w:val="left"/>
      </w:pPr>
      <w:r>
        <w:rPr/>
        <w:t>智慧高速和收费模式革新，进一步开展技术研发，技术成果有效助力青海、宁夏、贵州、重庆等高速</w:t>
      </w:r>
    </w:p>
    <w:p>
      <w:pPr>
        <w:pStyle w:val="BodyText"/>
        <w:spacing w:line="240" w:lineRule="auto" w:before="24"/>
        <w:ind w:right="1133"/>
        <w:jc w:val="left"/>
        <w:rPr>
          <w:rFonts w:ascii="宋体" w:hAnsi="宋体" w:cs="宋体" w:eastAsia="宋体" w:hint="default"/>
        </w:rPr>
      </w:pPr>
      <w:r>
        <w:rPr/>
        <w:t>公路取消省界收费站总体工作，为打赢取消高速公路省界收费站攻坚战做出了积极贡献。</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5" w:footer="979" w:top="1060" w:bottom="1160" w:left="980" w:right="0"/>
        </w:sectPr>
      </w:pPr>
    </w:p>
    <w:p>
      <w:pPr>
        <w:spacing w:line="240" w:lineRule="auto" w:before="5"/>
        <w:rPr>
          <w:rFonts w:ascii="宋体" w:hAnsi="宋体" w:cs="宋体" w:eastAsia="宋体" w:hint="default"/>
          <w:sz w:val="24"/>
          <w:szCs w:val="24"/>
        </w:rPr>
      </w:pPr>
    </w:p>
    <w:p>
      <w:pPr>
        <w:pStyle w:val="BodyText"/>
        <w:spacing w:line="259" w:lineRule="auto" w:before="32"/>
        <w:ind w:right="1089" w:firstLine="439"/>
        <w:jc w:val="both"/>
        <w:rPr>
          <w:rFonts w:ascii="宋体" w:hAnsi="宋体" w:cs="宋体" w:eastAsia="宋体" w:hint="default"/>
        </w:rPr>
      </w:pPr>
      <w:r>
        <w:rPr/>
        <w:t>智慧航运和物流领域，公司大力推动技术和商业模式创新项目，重点开展船货易</w:t>
      </w:r>
      <w:r>
        <w:rPr>
          <w:rFonts w:ascii="宋体" w:hAnsi="宋体" w:cs="宋体" w:eastAsia="宋体" w:hint="default"/>
        </w:rPr>
        <w:t>2.0</w:t>
      </w:r>
      <w:r>
        <w:rPr/>
        <w:t>平台、集团</w:t>
      </w:r>
      <w:r>
        <w:rPr>
          <w:w w:val="100"/>
        </w:rPr>
        <w:t> </w:t>
      </w:r>
      <w:r>
        <w:rPr>
          <w:spacing w:val="-2"/>
        </w:rPr>
        <w:t>税务管理平台、航运物流区块链数字存证平台等项目的研发和建设。公司在数字化基础技术框架方面</w:t>
      </w:r>
      <w:r>
        <w:rPr>
          <w:spacing w:val="-68"/>
        </w:rPr>
        <w:t> </w:t>
      </w:r>
      <w:r>
        <w:rPr>
          <w:spacing w:val="-68"/>
        </w:rPr>
      </w:r>
      <w:r>
        <w:rPr>
          <w:spacing w:val="-1"/>
        </w:rPr>
        <w:t>开展自主研发，形成了从数据采集、存储、分析到可视化展示、移动应用的数据中台技术框架体系，</w:t>
      </w:r>
      <w:r>
        <w:rPr>
          <w:spacing w:val="-72"/>
        </w:rPr>
        <w:t> </w:t>
      </w:r>
      <w:r>
        <w:rPr>
          <w:spacing w:val="-72"/>
        </w:rPr>
      </w:r>
      <w:r>
        <w:rPr>
          <w:spacing w:val="-2"/>
        </w:rPr>
        <w:t>并在集团数据集成平台等系统中得到实践应用。采用机器学习、深度学习等技术，探索传统视频分析</w:t>
      </w:r>
      <w:r>
        <w:rPr>
          <w:spacing w:val="-66"/>
        </w:rPr>
        <w:t> </w:t>
      </w:r>
      <w:r>
        <w:rPr>
          <w:spacing w:val="-66"/>
        </w:rPr>
      </w:r>
      <w:r>
        <w:rPr/>
        <w:t>技术在集装箱识别、船舱驾驶台行为检测的升级应用。</w:t>
      </w:r>
      <w:r>
        <w:rPr>
          <w:rFonts w:ascii="宋体" w:hAnsi="宋体" w:cs="宋体" w:eastAsia="宋体" w:hint="default"/>
        </w:rPr>
        <w:t> </w:t>
      </w:r>
    </w:p>
    <w:p>
      <w:pPr>
        <w:pStyle w:val="BodyText"/>
        <w:spacing w:line="259" w:lineRule="auto" w:before="6"/>
        <w:ind w:right="1127" w:firstLine="439"/>
        <w:jc w:val="both"/>
        <w:rPr>
          <w:rFonts w:ascii="宋体" w:hAnsi="宋体" w:cs="宋体" w:eastAsia="宋体" w:hint="default"/>
        </w:rPr>
      </w:pPr>
      <w:r>
        <w:rPr>
          <w:spacing w:val="-2"/>
        </w:rPr>
        <w:t>报告期内，公司云数据中心机房顺利建成并投入使用，荣获</w:t>
      </w:r>
      <w:r>
        <w:rPr>
          <w:rFonts w:ascii="宋体" w:hAnsi="宋体" w:cs="宋体" w:eastAsia="宋体" w:hint="default"/>
          <w:spacing w:val="-2"/>
        </w:rPr>
        <w:t>CQC1313-2017</w:t>
      </w:r>
      <w:r>
        <w:rPr>
          <w:spacing w:val="-2"/>
        </w:rPr>
        <w:t>信息系统机房动力和环</w:t>
      </w:r>
      <w:r>
        <w:rPr>
          <w:w w:val="100"/>
        </w:rPr>
        <w:t> </w:t>
      </w:r>
      <w:r>
        <w:rPr>
          <w:spacing w:val="-2"/>
        </w:rPr>
        <w:t>境系统最高级别的增强级认证。云数据中心采用混合云的部署方式，通过云管理平台与各主流公有云</w:t>
      </w:r>
      <w:r>
        <w:rPr>
          <w:spacing w:val="-69"/>
        </w:rPr>
        <w:t> </w:t>
      </w:r>
      <w:r>
        <w:rPr>
          <w:spacing w:val="-69"/>
        </w:rPr>
      </w:r>
      <w:r>
        <w:rPr>
          <w:spacing w:val="-2"/>
        </w:rPr>
        <w:t>互联互通，全面提升基础设施协同效应。公司的云计算管理平台获得工信部中国信通院《多云管理平</w:t>
      </w:r>
      <w:r>
        <w:rPr>
          <w:spacing w:val="-66"/>
        </w:rPr>
        <w:t> </w:t>
      </w:r>
      <w:r>
        <w:rPr>
          <w:spacing w:val="-66"/>
        </w:rPr>
      </w:r>
      <w:r>
        <w:rPr/>
        <w:t>台解决方案》可信云认证，并获评“</w:t>
      </w:r>
      <w:r>
        <w:rPr>
          <w:rFonts w:ascii="宋体" w:hAnsi="宋体" w:cs="宋体" w:eastAsia="宋体" w:hint="default"/>
        </w:rPr>
        <w:t>2019</w:t>
      </w:r>
      <w:r>
        <w:rPr/>
        <w:t>年度上海市云计算应用示范项目”。</w:t>
      </w:r>
      <w:r>
        <w:rPr>
          <w:rFonts w:ascii="宋体" w:hAnsi="宋体" w:cs="宋体" w:eastAsia="宋体" w:hint="default"/>
        </w:rPr>
        <w:t> </w:t>
      </w:r>
    </w:p>
    <w:p>
      <w:pPr>
        <w:pStyle w:val="BodyText"/>
        <w:spacing w:line="259" w:lineRule="auto" w:before="6"/>
        <w:ind w:left="592" w:right="0"/>
        <w:jc w:val="left"/>
      </w:pPr>
      <w:r>
        <w:rPr/>
        <w:t>（三）战略合作方面</w:t>
      </w:r>
      <w:r>
        <w:rPr>
          <w:w w:val="100"/>
        </w:rPr>
        <w:t> </w:t>
      </w:r>
      <w:r>
        <w:rPr>
          <w:spacing w:val="-1"/>
        </w:rPr>
        <w:t>公司在完成所属信息化资源内部整合后，进一步加强资源优化配置，通过战略合作和股权投资，</w:t>
      </w:r>
    </w:p>
    <w:p>
      <w:pPr>
        <w:pStyle w:val="BodyText"/>
        <w:spacing w:line="259" w:lineRule="auto" w:before="7"/>
        <w:ind w:left="592" w:right="1133" w:hanging="440"/>
        <w:jc w:val="left"/>
      </w:pPr>
      <w:r>
        <w:rPr/>
        <w:t>优化公司的产业结构，探索通过资本投资提高公司效益水平。</w:t>
      </w:r>
      <w:r>
        <w:rPr>
          <w:w w:val="100"/>
        </w:rPr>
        <w:t> </w:t>
      </w:r>
      <w:r>
        <w:rPr>
          <w:rFonts w:ascii="宋体" w:hAnsi="宋体" w:cs="宋体" w:eastAsia="宋体" w:hint="default"/>
          <w:spacing w:val="-1"/>
        </w:rPr>
        <w:t>2019</w:t>
      </w:r>
      <w:r>
        <w:rPr>
          <w:spacing w:val="-1"/>
        </w:rPr>
        <w:t>年</w:t>
      </w:r>
      <w:r>
        <w:rPr>
          <w:rFonts w:ascii="宋体" w:hAnsi="宋体" w:cs="宋体" w:eastAsia="宋体" w:hint="default"/>
          <w:spacing w:val="-1"/>
        </w:rPr>
        <w:t>8</w:t>
      </w:r>
      <w:r>
        <w:rPr>
          <w:spacing w:val="-1"/>
        </w:rPr>
        <w:t>月，公司与宁夏交通投资集团共同投资设立宁夏交通科技发展有限公司，公司持有合资</w:t>
      </w:r>
    </w:p>
    <w:p>
      <w:pPr>
        <w:pStyle w:val="BodyText"/>
        <w:spacing w:line="259" w:lineRule="auto" w:before="6"/>
        <w:ind w:right="1020"/>
        <w:jc w:val="both"/>
        <w:rPr>
          <w:rFonts w:ascii="宋体" w:hAnsi="宋体" w:cs="宋体" w:eastAsia="宋体" w:hint="default"/>
        </w:rPr>
      </w:pPr>
      <w:r>
        <w:rPr/>
        <w:t>公司</w:t>
      </w:r>
      <w:r>
        <w:rPr>
          <w:rFonts w:ascii="宋体" w:hAnsi="宋体" w:cs="宋体" w:eastAsia="宋体" w:hint="default"/>
        </w:rPr>
        <w:t>49%</w:t>
      </w:r>
      <w:r>
        <w:rPr/>
        <w:t>股权。</w:t>
      </w:r>
      <w:r>
        <w:rPr>
          <w:rFonts w:ascii="宋体" w:hAnsi="宋体" w:cs="宋体" w:eastAsia="宋体" w:hint="default"/>
        </w:rPr>
        <w:t>2019</w:t>
      </w:r>
      <w:r>
        <w:rPr/>
        <w:t>年</w:t>
      </w:r>
      <w:r>
        <w:rPr>
          <w:rFonts w:ascii="宋体" w:hAnsi="宋体" w:cs="宋体" w:eastAsia="宋体" w:hint="default"/>
        </w:rPr>
        <w:t>12</w:t>
      </w:r>
      <w:r>
        <w:rPr/>
        <w:t>月，公司与贵州高速集团、贵州中南交科共同签署了增资协议，以公司持有</w:t>
      </w:r>
      <w:r>
        <w:rPr>
          <w:w w:val="100"/>
        </w:rPr>
        <w:t> </w:t>
      </w:r>
      <w:r>
        <w:rPr/>
        <w:t>的贵州新思维</w:t>
      </w:r>
      <w:r>
        <w:rPr>
          <w:rFonts w:ascii="宋体" w:hAnsi="宋体" w:cs="宋体" w:eastAsia="宋体" w:hint="default"/>
        </w:rPr>
        <w:t>30%</w:t>
      </w:r>
      <w:r>
        <w:rPr/>
        <w:t>股权及现金进行战略投资，取得贵州中南交科增资后</w:t>
      </w:r>
      <w:r>
        <w:rPr>
          <w:rFonts w:ascii="宋体" w:hAnsi="宋体" w:cs="宋体" w:eastAsia="宋体" w:hint="default"/>
        </w:rPr>
        <w:t>20%</w:t>
      </w:r>
      <w:r>
        <w:rPr/>
        <w:t>股权。通过股权合作，公司</w:t>
      </w:r>
      <w:r>
        <w:rPr>
          <w:spacing w:val="-3"/>
          <w:w w:val="100"/>
        </w:rPr>
        <w:t> </w:t>
      </w:r>
      <w:r>
        <w:rPr>
          <w:spacing w:val="-7"/>
          <w:w w:val="100"/>
        </w:rPr>
        <w:t>与行业优势企业建立利益共同体，充分实现优势互补、信息共享、互利共赢，共同做大做强科技产业。</w:t>
      </w:r>
      <w:r>
        <w:rPr>
          <w:rFonts w:ascii="宋体" w:hAnsi="宋体" w:cs="宋体" w:eastAsia="宋体" w:hint="default"/>
          <w:w w:val="100"/>
        </w:rPr>
        <w:t> </w:t>
      </w:r>
    </w:p>
    <w:p>
      <w:pPr>
        <w:pStyle w:val="BodyText"/>
        <w:spacing w:line="292" w:lineRule="auto" w:before="47"/>
        <w:ind w:left="592" w:right="1133"/>
        <w:jc w:val="left"/>
      </w:pPr>
      <w:r>
        <w:rPr/>
        <w:t>（四）管理提升方面</w:t>
      </w:r>
      <w:r>
        <w:rPr>
          <w:w w:val="100"/>
        </w:rPr>
        <w:t> </w:t>
      </w:r>
      <w:r>
        <w:rPr>
          <w:spacing w:val="-1"/>
        </w:rPr>
        <w:t>报告期内，公司积极推进管理提升，持续推进制度建设和体系融合，通过企业</w:t>
      </w:r>
      <w:r>
        <w:rPr>
          <w:rFonts w:ascii="宋体" w:hAnsi="宋体" w:cs="宋体" w:eastAsia="宋体" w:hint="default"/>
          <w:spacing w:val="-1"/>
        </w:rPr>
        <w:t>ERP</w:t>
      </w:r>
      <w:r>
        <w:rPr>
          <w:spacing w:val="-1"/>
        </w:rPr>
        <w:t>优化、企业微</w:t>
      </w:r>
    </w:p>
    <w:p>
      <w:pPr>
        <w:pStyle w:val="BodyText"/>
        <w:spacing w:line="264" w:lineRule="exact"/>
        <w:ind w:right="0"/>
        <w:jc w:val="left"/>
      </w:pPr>
      <w:r>
        <w:rPr/>
        <w:t>信实施等进一步完善公司信息化建设，促进企业运营数据的统一和互通，为企业运营决策提供更好的</w:t>
      </w:r>
    </w:p>
    <w:p>
      <w:pPr>
        <w:pStyle w:val="BodyText"/>
        <w:spacing w:line="240" w:lineRule="auto" w:before="24"/>
        <w:ind w:right="1133"/>
        <w:jc w:val="left"/>
        <w:rPr>
          <w:rFonts w:ascii="宋体" w:hAnsi="宋体" w:cs="宋体" w:eastAsia="宋体" w:hint="default"/>
        </w:rPr>
      </w:pPr>
      <w:r>
        <w:rPr/>
        <w:t>数据支持。</w:t>
      </w:r>
      <w:r>
        <w:rPr>
          <w:rFonts w:ascii="宋体" w:hAnsi="宋体" w:cs="宋体" w:eastAsia="宋体" w:hint="default"/>
        </w:rPr>
        <w:t> </w:t>
      </w:r>
    </w:p>
    <w:p>
      <w:pPr>
        <w:pStyle w:val="BodyText"/>
        <w:spacing w:line="259" w:lineRule="auto" w:before="65"/>
        <w:ind w:right="1128" w:firstLine="439"/>
        <w:jc w:val="both"/>
      </w:pPr>
      <w:r>
        <w:rPr>
          <w:spacing w:val="-2"/>
        </w:rPr>
        <w:t>报告期内，公司制定和完善了岗位、绩效、薪酬等人力资源制度，构建了一体化岗位职级体系架</w:t>
      </w:r>
      <w:r>
        <w:rPr>
          <w:w w:val="100"/>
        </w:rPr>
        <w:t> </w:t>
      </w:r>
      <w:r>
        <w:rPr>
          <w:spacing w:val="-2"/>
        </w:rPr>
        <w:t>构，按不同部门定位和考核要求，实现部门工资总额分配、部门负责人薪酬与部门效益和整体工作考</w:t>
      </w:r>
      <w:r>
        <w:rPr>
          <w:spacing w:val="-68"/>
        </w:rPr>
        <w:t> </w:t>
      </w:r>
      <w:r>
        <w:rPr>
          <w:spacing w:val="-68"/>
        </w:rPr>
      </w:r>
      <w:r>
        <w:rPr>
          <w:spacing w:val="-2"/>
        </w:rPr>
        <w:t>核挂钩，充分发挥薪酬分配的激励作用。同时，公司充分发挥上市公司平台的优势，启动实施了</w:t>
      </w:r>
      <w:r>
        <w:rPr>
          <w:rFonts w:ascii="宋体" w:hAnsi="宋体" w:cs="宋体" w:eastAsia="宋体" w:hint="default"/>
          <w:spacing w:val="-2"/>
        </w:rPr>
        <w:t>2019</w:t>
      </w:r>
      <w:r>
        <w:rPr>
          <w:rFonts w:ascii="宋体" w:hAnsi="宋体" w:cs="宋体" w:eastAsia="宋体" w:hint="default"/>
          <w:spacing w:val="-67"/>
        </w:rPr>
        <w:t> </w:t>
      </w:r>
      <w:r>
        <w:rPr>
          <w:rFonts w:ascii="宋体" w:hAnsi="宋体" w:cs="宋体" w:eastAsia="宋体" w:hint="default"/>
          <w:spacing w:val="-67"/>
        </w:rPr>
      </w:r>
      <w:r>
        <w:rPr/>
        <w:t>年限制性股票激励计划，有效调动骨干员工的积极性和创造性。</w:t>
      </w:r>
    </w:p>
    <w:p>
      <w:pPr>
        <w:spacing w:line="240" w:lineRule="auto" w:before="2"/>
        <w:rPr>
          <w:rFonts w:ascii="宋体" w:hAnsi="宋体" w:cs="宋体" w:eastAsia="宋体" w:hint="default"/>
          <w:sz w:val="22"/>
          <w:szCs w:val="22"/>
        </w:rPr>
      </w:pPr>
    </w:p>
    <w:p>
      <w:pPr>
        <w:pStyle w:val="Heading3"/>
        <w:spacing w:line="240" w:lineRule="auto"/>
        <w:ind w:right="1133"/>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line="547" w:lineRule="auto" w:before="0"/>
        <w:ind w:left="152" w:right="64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spacing w:before="26"/>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）营业收入构成</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90"/>
        <w:gridCol w:w="1594"/>
        <w:gridCol w:w="1588"/>
        <w:gridCol w:w="1602"/>
        <w:gridCol w:w="1582"/>
        <w:gridCol w:w="1600"/>
      </w:tblGrid>
      <w:tr>
        <w:trPr>
          <w:trHeight w:val="206" w:hRule="exact"/>
        </w:trPr>
        <w:tc>
          <w:tcPr>
            <w:tcW w:w="15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590" w:type="dxa"/>
            <w:vMerge w:val="restart"/>
            <w:tcBorders>
              <w:top w:val="nil" w:sz="6" w:space="0" w:color="auto"/>
              <w:left w:val="single" w:sz="4" w:space="0" w:color="000000"/>
              <w:right w:val="single" w:sz="4" w:space="0" w:color="000000"/>
            </w:tcBorders>
            <w:shd w:val="clear" w:color="auto" w:fill="D2D2D2"/>
          </w:tcPr>
          <w:p>
            <w:pPr/>
          </w:p>
        </w:tc>
        <w:tc>
          <w:tcPr>
            <w:tcW w:w="3182" w:type="dxa"/>
            <w:gridSpan w:val="2"/>
            <w:vMerge/>
            <w:tcBorders>
              <w:left w:val="single" w:sz="4" w:space="0" w:color="000000"/>
              <w:bottom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16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90"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金额</w:t>
            </w:r>
          </w:p>
        </w:tc>
        <w:tc>
          <w:tcPr>
            <w:tcW w:w="15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602" w:type="dxa"/>
            <w:vMerge/>
            <w:tcBorders>
              <w:left w:val="single" w:sz="4" w:space="0" w:color="000000"/>
              <w:bottom w:val="single" w:sz="4" w:space="0" w:color="000000"/>
              <w:right w:val="single" w:sz="4" w:space="0" w:color="000000"/>
            </w:tcBorders>
            <w:shd w:val="clear" w:color="auto" w:fill="D2D2D2"/>
          </w:tcPr>
          <w:p>
            <w:pPr/>
          </w:p>
        </w:tc>
        <w:tc>
          <w:tcPr>
            <w:tcW w:w="1582" w:type="dxa"/>
            <w:vMerge/>
            <w:tcBorders>
              <w:left w:val="single" w:sz="4" w:space="0" w:color="000000"/>
              <w:bottom w:val="single" w:sz="4" w:space="0" w:color="000000"/>
              <w:right w:val="single" w:sz="4" w:space="0" w:color="000000"/>
            </w:tcBorders>
            <w:shd w:val="clear" w:color="auto" w:fill="D2D2D2"/>
          </w:tcPr>
          <w:p>
            <w:pPr/>
          </w:p>
        </w:tc>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1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1,203,712,101.71</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602"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980,054,007.48</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100%</w:t>
            </w:r>
          </w:p>
        </w:tc>
        <w:tc>
          <w:tcPr>
            <w:tcW w:w="16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22.82%</w:t>
            </w:r>
          </w:p>
        </w:tc>
      </w:tr>
      <w:tr>
        <w:trPr>
          <w:trHeight w:val="398" w:hRule="exact"/>
        </w:trPr>
        <w:tc>
          <w:tcPr>
            <w:tcW w:w="95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3" w:hRule="exact"/>
        </w:trPr>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2" w:right="126"/>
              <w:jc w:val="left"/>
              <w:rPr>
                <w:rFonts w:ascii="宋体" w:hAnsi="宋体" w:cs="宋体" w:eastAsia="宋体" w:hint="default"/>
                <w:sz w:val="18"/>
                <w:szCs w:val="18"/>
              </w:rPr>
            </w:pPr>
            <w:r>
              <w:rPr>
                <w:rFonts w:ascii="宋体" w:hAnsi="宋体" w:cs="宋体" w:eastAsia="宋体" w:hint="default"/>
                <w:sz w:val="18"/>
                <w:szCs w:val="18"/>
              </w:rPr>
              <w:t>软件和信息技术服 务业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1,174,974,035.12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97.61%</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954,250,733.75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97.37%</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23.13%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28,738,066.59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25,803,273.73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11.37%</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智慧交通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722,594,966.05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60.03%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567,083,207.83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27.42%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智慧航运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191,514,623.16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15.91%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162,754,743.61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16.61%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17.67%</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智慧物流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260,864,445.91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21.67%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224,412,782.31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16.24%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28,738,066.59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2.39%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25,803,273.73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11.37%</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444,049,194.44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36.89%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372,738,945.63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38.03%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19.13%</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327,929,534.67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27.24%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291,836,142.24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12.37%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190,707,439.54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15.84%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69,446,899.61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174.61%</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154,361,245.97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12.83%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131,949,851.34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16.98%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42,164,055.64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49,109,721.96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-14.14%</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12,862,005.13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14,637,939.86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-12.13%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25,805,007.13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2.14%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47,751,975.21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-45.96%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境外地区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5,833,619.19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2,582,531.63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125.89%</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96"/>
        <w:gridCol w:w="1020"/>
        <w:gridCol w:w="1009"/>
        <w:gridCol w:w="1013"/>
        <w:gridCol w:w="1011"/>
        <w:gridCol w:w="1003"/>
        <w:gridCol w:w="1006"/>
        <w:gridCol w:w="1001"/>
        <w:gridCol w:w="1003"/>
      </w:tblGrid>
      <w:tr>
        <w:trPr>
          <w:trHeight w:val="206" w:hRule="exact"/>
        </w:trPr>
        <w:tc>
          <w:tcPr>
            <w:tcW w:w="1496" w:type="dxa"/>
            <w:tcBorders>
              <w:top w:val="single" w:sz="4" w:space="0" w:color="000000"/>
              <w:left w:val="single" w:sz="4" w:space="0" w:color="000000"/>
              <w:bottom w:val="nil" w:sz="6" w:space="0" w:color="auto"/>
              <w:right w:val="single" w:sz="4" w:space="0" w:color="000000"/>
            </w:tcBorders>
            <w:shd w:val="clear" w:color="auto" w:fill="D2D2D2"/>
          </w:tcPr>
          <w:p>
            <w:pPr/>
          </w:p>
        </w:tc>
        <w:tc>
          <w:tcPr>
            <w:tcW w:w="405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4013"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190" w:hRule="exact"/>
        </w:trPr>
        <w:tc>
          <w:tcPr>
            <w:tcW w:w="1496" w:type="dxa"/>
            <w:vMerge w:val="restart"/>
            <w:tcBorders>
              <w:top w:val="nil" w:sz="6" w:space="0" w:color="auto"/>
              <w:left w:val="single" w:sz="4" w:space="0" w:color="000000"/>
              <w:right w:val="single" w:sz="4" w:space="0" w:color="000000"/>
            </w:tcBorders>
            <w:shd w:val="clear" w:color="auto" w:fill="D2D2D2"/>
          </w:tcPr>
          <w:p>
            <w:pPr/>
          </w:p>
        </w:tc>
        <w:tc>
          <w:tcPr>
            <w:tcW w:w="4052" w:type="dxa"/>
            <w:gridSpan w:val="4"/>
            <w:vMerge/>
            <w:tcBorders>
              <w:left w:val="single" w:sz="4" w:space="0" w:color="000000"/>
              <w:bottom w:val="single" w:sz="4" w:space="0" w:color="000000"/>
              <w:right w:val="single" w:sz="4" w:space="0" w:color="000000"/>
            </w:tcBorders>
            <w:shd w:val="clear" w:color="auto" w:fill="D2D2D2"/>
          </w:tcPr>
          <w:p>
            <w:pPr/>
          </w:p>
        </w:tc>
        <w:tc>
          <w:tcPr>
            <w:tcW w:w="4013"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496" w:type="dxa"/>
            <w:vMerge/>
            <w:tcBorders>
              <w:left w:val="single" w:sz="4" w:space="0" w:color="000000"/>
              <w:bottom w:val="nil" w:sz="6" w:space="0" w:color="auto"/>
              <w:right w:val="single" w:sz="4" w:space="0" w:color="000000"/>
            </w:tcBorders>
            <w:shd w:val="clear" w:color="auto" w:fill="D2D2D2"/>
          </w:tcPr>
          <w:p>
            <w:pPr/>
          </w:p>
        </w:tc>
        <w:tc>
          <w:tcPr>
            <w:tcW w:w="10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1"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7"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206" w:hRule="exact"/>
        </w:trPr>
        <w:tc>
          <w:tcPr>
            <w:tcW w:w="14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20" w:type="dxa"/>
            <w:vMerge/>
            <w:tcBorders>
              <w:left w:val="single" w:sz="4" w:space="0" w:color="000000"/>
              <w:bottom w:val="single" w:sz="4" w:space="0" w:color="000000"/>
              <w:right w:val="single" w:sz="4" w:space="0" w:color="000000"/>
            </w:tcBorders>
            <w:shd w:val="clear" w:color="auto" w:fill="D2D2D2"/>
          </w:tcPr>
          <w:p>
            <w:pPr/>
          </w:p>
        </w:tc>
        <w:tc>
          <w:tcPr>
            <w:tcW w:w="1009" w:type="dxa"/>
            <w:vMerge/>
            <w:tcBorders>
              <w:left w:val="single" w:sz="4" w:space="0" w:color="000000"/>
              <w:bottom w:val="single" w:sz="4" w:space="0" w:color="000000"/>
              <w:right w:val="single" w:sz="4" w:space="0" w:color="000000"/>
            </w:tcBorders>
            <w:shd w:val="clear" w:color="auto" w:fill="D2D2D2"/>
          </w:tcPr>
          <w:p>
            <w:pPr/>
          </w:p>
        </w:tc>
        <w:tc>
          <w:tcPr>
            <w:tcW w:w="1013"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1006" w:type="dxa"/>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20" w:type="dxa"/>
            <w:vMerge w:val="restart"/>
            <w:tcBorders>
              <w:top w:val="single" w:sz="4" w:space="0" w:color="000000"/>
              <w:left w:val="single" w:sz="10"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256,378,526.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65</w:t>
            </w:r>
          </w:p>
        </w:tc>
        <w:tc>
          <w:tcPr>
            <w:tcW w:w="1009"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264,969,678.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43</w:t>
            </w:r>
          </w:p>
        </w:tc>
        <w:tc>
          <w:tcPr>
            <w:tcW w:w="101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282,659,880.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67</w:t>
            </w:r>
          </w:p>
        </w:tc>
        <w:tc>
          <w:tcPr>
            <w:tcW w:w="101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399,704,015.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96</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234,263,890.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53</w:t>
            </w:r>
          </w:p>
        </w:tc>
        <w:tc>
          <w:tcPr>
            <w:tcW w:w="100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256,363,496.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93</w:t>
            </w:r>
          </w:p>
        </w:tc>
        <w:tc>
          <w:tcPr>
            <w:tcW w:w="100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230,277,127.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42</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259,149,492.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60</w:t>
            </w:r>
          </w:p>
        </w:tc>
      </w:tr>
      <w:tr>
        <w:trPr>
          <w:trHeight w:val="391" w:hRule="exact"/>
        </w:trPr>
        <w:tc>
          <w:tcPr>
            <w:tcW w:w="14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20" w:type="dxa"/>
            <w:vMerge/>
            <w:tcBorders>
              <w:left w:val="single" w:sz="10" w:space="0" w:color="D2D2D2"/>
              <w:right w:val="single" w:sz="4" w:space="0" w:color="000000"/>
            </w:tcBorders>
          </w:tcPr>
          <w:p>
            <w:pPr/>
          </w:p>
        </w:tc>
        <w:tc>
          <w:tcPr>
            <w:tcW w:w="1009" w:type="dxa"/>
            <w:vMerge/>
            <w:tcBorders>
              <w:left w:val="single" w:sz="4" w:space="0" w:color="000000"/>
              <w:right w:val="single" w:sz="4" w:space="0" w:color="000000"/>
            </w:tcBorders>
          </w:tcPr>
          <w:p>
            <w:pPr/>
          </w:p>
        </w:tc>
        <w:tc>
          <w:tcPr>
            <w:tcW w:w="1013"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c>
          <w:tcPr>
            <w:tcW w:w="100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r>
      <w:tr>
        <w:trPr>
          <w:trHeight w:val="161" w:hRule="exact"/>
        </w:trPr>
        <w:tc>
          <w:tcPr>
            <w:tcW w:w="14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20" w:type="dxa"/>
            <w:vMerge/>
            <w:tcBorders>
              <w:left w:val="single" w:sz="10" w:space="0" w:color="D2D2D2"/>
              <w:bottom w:val="single" w:sz="4" w:space="0" w:color="000000"/>
              <w:right w:val="single" w:sz="4" w:space="0" w:color="000000"/>
            </w:tcBorders>
          </w:tcPr>
          <w:p>
            <w:pPr/>
          </w:p>
        </w:tc>
        <w:tc>
          <w:tcPr>
            <w:tcW w:w="1009" w:type="dxa"/>
            <w:vMerge/>
            <w:tcBorders>
              <w:left w:val="single" w:sz="4" w:space="0" w:color="000000"/>
              <w:bottom w:val="single" w:sz="4" w:space="0" w:color="000000"/>
              <w:right w:val="single" w:sz="4" w:space="0" w:color="000000"/>
            </w:tcBorders>
          </w:tcPr>
          <w:p>
            <w:pPr/>
          </w:p>
        </w:tc>
        <w:tc>
          <w:tcPr>
            <w:tcW w:w="1013"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c>
          <w:tcPr>
            <w:tcW w:w="1006" w:type="dxa"/>
            <w:vMerge/>
            <w:tcBorders>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3"/>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25,843,946.9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23,733,621.0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23,808,095.6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23,255,290.0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24,216,307.0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23,341,055.5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22,827,716.1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12,804,975.8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bl>
    <w:p>
      <w:pPr>
        <w:spacing w:line="357" w:lineRule="auto" w:before="49"/>
        <w:ind w:left="152" w:right="6614" w:firstLine="0"/>
        <w:jc w:val="left"/>
        <w:rPr>
          <w:rFonts w:ascii="宋体" w:hAnsi="宋体" w:cs="宋体" w:eastAsia="宋体" w:hint="default"/>
          <w:sz w:val="18"/>
          <w:szCs w:val="18"/>
        </w:rPr>
      </w:pPr>
      <w:r>
        <w:rPr>
          <w:rFonts w:ascii="宋体" w:hAnsi="宋体" w:cs="宋体" w:eastAsia="宋体" w:hint="default"/>
          <w:sz w:val="18"/>
          <w:szCs w:val="18"/>
        </w:rPr>
        <w:t>说明经营季节性（或周期性）发生的原因及波动风险 无</w:t>
      </w:r>
    </w:p>
    <w:p>
      <w:pPr>
        <w:spacing w:line="240" w:lineRule="auto" w:before="6"/>
        <w:rPr>
          <w:rFonts w:ascii="宋体" w:hAnsi="宋体" w:cs="宋体" w:eastAsia="宋体" w:hint="default"/>
          <w:sz w:val="20"/>
          <w:szCs w:val="20"/>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）占公司营业收入或营业利润</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以上的行业、产品或地区情况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spacing w:before="44"/>
        <w:ind w:left="152"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152" w:right="-17"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3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9066" w:space="40"/>
            <w:col w:w="1824"/>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1,174,974,035.12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928,940,480.65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20.94%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23.13%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21.50%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1.06%</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智慧交通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722,594,966.05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585,998,643.97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智慧航运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191,514,623.16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146,803,143.60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23.35%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20.68%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-1.91%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智慧物流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260,864,445.91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196,138,693.08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444,049,194.44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324,114,734.18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327,929,534.67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255,610,082.40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22.05%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12.37%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6.13%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4.58%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190,707,439.54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165,095,164.65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208.82%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154,361,245.97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120,707,294.48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16.98%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24.46%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-4.70%</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1"/>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）公司实物销售收入是否大于劳务收入</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）公司已签订的重大销售合同截至本报告期的履行情况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340" w:lineRule="auto" w:before="101"/>
        <w:ind w:left="152" w:right="1832"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 单一销售合同金额占公司最近一个会计年度经审计营业收入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以上且金额超过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万元的正在履行的合同情况</w:t>
      </w:r>
    </w:p>
    <w:p>
      <w:pPr>
        <w:spacing w:before="2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8"/>
        <w:gridCol w:w="1056"/>
        <w:gridCol w:w="1071"/>
        <w:gridCol w:w="1063"/>
        <w:gridCol w:w="1059"/>
        <w:gridCol w:w="1068"/>
        <w:gridCol w:w="1063"/>
        <w:gridCol w:w="1064"/>
        <w:gridCol w:w="1058"/>
      </w:tblGrid>
      <w:tr>
        <w:trPr>
          <w:trHeight w:val="1025" w:hRule="exact"/>
        </w:trPr>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5" w:right="0"/>
              <w:jc w:val="left"/>
              <w:rPr>
                <w:rFonts w:ascii="宋体" w:hAnsi="宋体" w:cs="宋体" w:eastAsia="宋体" w:hint="default"/>
                <w:sz w:val="18"/>
                <w:szCs w:val="18"/>
              </w:rPr>
            </w:pPr>
            <w:r>
              <w:rPr>
                <w:rFonts w:ascii="宋体" w:hAnsi="宋体" w:cs="宋体" w:eastAsia="宋体" w:hint="default"/>
                <w:sz w:val="18"/>
                <w:szCs w:val="18"/>
              </w:rPr>
              <w:t>合同金额</w:t>
            </w: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72" w:right="0"/>
              <w:jc w:val="left"/>
              <w:rPr>
                <w:rFonts w:ascii="宋体" w:hAnsi="宋体" w:cs="宋体" w:eastAsia="宋体" w:hint="default"/>
                <w:sz w:val="18"/>
                <w:szCs w:val="18"/>
              </w:rPr>
            </w:pPr>
            <w:r>
              <w:rPr>
                <w:rFonts w:ascii="宋体" w:hAnsi="宋体" w:cs="宋体" w:eastAsia="宋体" w:hint="default"/>
                <w:sz w:val="18"/>
                <w:szCs w:val="18"/>
              </w:rPr>
              <w:t>业务类型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项目执行进 度</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4" w:right="72" w:hanging="360"/>
              <w:jc w:val="left"/>
              <w:rPr>
                <w:rFonts w:ascii="宋体" w:hAnsi="宋体" w:cs="宋体" w:eastAsia="宋体" w:hint="default"/>
                <w:sz w:val="18"/>
                <w:szCs w:val="18"/>
              </w:rPr>
            </w:pPr>
            <w:r>
              <w:rPr>
                <w:rFonts w:ascii="宋体" w:hAnsi="宋体" w:cs="宋体" w:eastAsia="宋体" w:hint="default"/>
                <w:sz w:val="18"/>
                <w:szCs w:val="18"/>
              </w:rPr>
              <w:t>本期确认收 入</w:t>
            </w:r>
          </w:p>
        </w:tc>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9" w:right="77" w:hanging="360"/>
              <w:jc w:val="left"/>
              <w:rPr>
                <w:rFonts w:ascii="宋体" w:hAnsi="宋体" w:cs="宋体" w:eastAsia="宋体" w:hint="default"/>
                <w:sz w:val="18"/>
                <w:szCs w:val="18"/>
              </w:rPr>
            </w:pPr>
            <w:r>
              <w:rPr>
                <w:rFonts w:ascii="宋体" w:hAnsi="宋体" w:cs="宋体" w:eastAsia="宋体" w:hint="default"/>
                <w:sz w:val="18"/>
                <w:szCs w:val="18"/>
              </w:rPr>
              <w:t>累计确认收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回款情况</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both"/>
              <w:rPr>
                <w:rFonts w:ascii="宋体" w:hAnsi="宋体" w:cs="宋体" w:eastAsia="宋体" w:hint="default"/>
                <w:sz w:val="18"/>
                <w:szCs w:val="18"/>
              </w:rPr>
            </w:pPr>
            <w:r>
              <w:rPr>
                <w:rFonts w:ascii="宋体" w:hAnsi="宋体" w:cs="宋体" w:eastAsia="宋体" w:hint="default"/>
                <w:sz w:val="18"/>
                <w:szCs w:val="18"/>
              </w:rPr>
              <w:t>项目进展是 否达到计划 进度或预期</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4" w:right="72"/>
              <w:jc w:val="center"/>
              <w:rPr>
                <w:rFonts w:ascii="宋体" w:hAnsi="宋体" w:cs="宋体" w:eastAsia="宋体" w:hint="default"/>
                <w:sz w:val="18"/>
                <w:szCs w:val="18"/>
              </w:rPr>
            </w:pPr>
            <w:r>
              <w:rPr>
                <w:rFonts w:ascii="宋体" w:hAnsi="宋体" w:cs="宋体" w:eastAsia="宋体" w:hint="default"/>
                <w:sz w:val="18"/>
                <w:szCs w:val="18"/>
              </w:rPr>
              <w:t>未达到计划 进度或预期 的原因</w:t>
            </w:r>
          </w:p>
        </w:tc>
      </w:tr>
      <w:tr>
        <w:trPr>
          <w:trHeight w:val="715"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2"/>
              <w:jc w:val="left"/>
              <w:rPr>
                <w:rFonts w:ascii="宋体" w:hAnsi="宋体" w:cs="宋体" w:eastAsia="宋体" w:hint="default"/>
                <w:sz w:val="18"/>
                <w:szCs w:val="18"/>
              </w:rPr>
            </w:pPr>
            <w:r>
              <w:rPr>
                <w:rFonts w:ascii="宋体" w:hAnsi="宋体" w:cs="宋体" w:eastAsia="宋体" w:hint="default"/>
                <w:sz w:val="18"/>
                <w:szCs w:val="18"/>
              </w:rPr>
              <w:t>贵州罗望项 目</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349,860,000.</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智能交通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70.20%</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81,681,761.9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183,562,776.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187,636,111.</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）营业成本构成</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行业和产品分类</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491,420,382.14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52.65%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393,600,531.30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24.85%</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118,972,005.89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103,127,652.51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13.43%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15.36%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外协劳务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248,510,115.59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210,123,347.61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27.35%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18.27%</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70,037,977.03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57,713,660.87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21.35%</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928,940,480.65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764,565,192.29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21.50%</w:t>
            </w:r>
          </w:p>
        </w:tc>
      </w:tr>
    </w:tbl>
    <w:p>
      <w:pPr>
        <w:spacing w:before="4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智慧交通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386,205,642.23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295,582,071.48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30.66%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智慧交通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33,323,224.52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28,350,452.45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17.54%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智慧交通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外协劳务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125,591,395.82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120,411,142.38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智慧交通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40,878,381.40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29,779,592.86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37.27%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智慧交通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585,998,643.97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62.78%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474,123,259.17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61.72%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23.60%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智慧航运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28,889,184.30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26,502,497.44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9.01%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智慧航运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28,695,608.62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23,173,718.81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23.83%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智慧航运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外协劳务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68,815,217.47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53,909,301.16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27.65%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智慧航运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20,403,133.21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18,063,547.83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12.95%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智慧航运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146,803,143.60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121,649,065.24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15.84%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20.68%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智慧物流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76,325,555.61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71,515,962.38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智慧物流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56,953,172.75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51,603,481.25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10.37%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智慧物流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外协劳务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54,103,502.30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35,802,904.07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51.11%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智慧物流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8,756,462.42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9,870,520.18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-11.29%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智慧物流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196,138,693.08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168,792,867.88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16.20%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总计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928,940,480.65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99.52%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764,565,192.29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99.53%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21.50%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357" w:lineRule="auto" w:before="49"/>
        <w:ind w:left="152" w:right="8533" w:firstLine="0"/>
        <w:jc w:val="left"/>
        <w:rPr>
          <w:rFonts w:ascii="宋体" w:hAnsi="宋体" w:cs="宋体" w:eastAsia="宋体" w:hint="default"/>
          <w:sz w:val="18"/>
          <w:szCs w:val="18"/>
        </w:rPr>
      </w:pPr>
      <w:r>
        <w:rPr>
          <w:rFonts w:ascii="宋体" w:hAnsi="宋体" w:cs="宋体" w:eastAsia="宋体" w:hint="default"/>
          <w:sz w:val="18"/>
          <w:szCs w:val="18"/>
        </w:rPr>
        <w:t>说明 无</w:t>
      </w:r>
    </w:p>
    <w:p>
      <w:pPr>
        <w:spacing w:line="340" w:lineRule="auto" w:before="29"/>
        <w:ind w:left="152" w:right="-17"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3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9066" w:space="40"/>
            <w:col w:w="1824"/>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491,420,382.14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52.65%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393,600,531.30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24.85%</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118,972,005.89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12.75%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103,127,652.51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15.36%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外协劳务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248,510,115.59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26.62%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210,123,347.61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18.27%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70,037,977.03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57,713,660.87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21.35%</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928,940,480.65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99.52%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764,565,192.29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99.53%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21.50%</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）报告期内合并范围是否发生变动</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5"/>
          <w:szCs w:val="25"/>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）公司报告期内业务、产品或服务发生重大变化或调整有关情况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6"/>
          <w:szCs w:val="26"/>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）主要销售客户和主要供应商情况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698,428,792.25</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58.02%</w:t>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31.74%</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382,111,241.10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31.74%</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122,247,706.42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10.16%</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81,681,761.90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6.79%</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79,378,380.71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6.59%</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33,009,702.12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2.74%</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698,428,792.25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58.02%</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before="115"/>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pStyle w:val="BodyText"/>
        <w:spacing w:line="259" w:lineRule="auto" w:before="74"/>
        <w:ind w:right="1133" w:firstLine="439"/>
        <w:jc w:val="left"/>
      </w:pPr>
      <w:r>
        <w:rPr>
          <w:spacing w:val="-2"/>
        </w:rPr>
        <w:t>客户一与公司存在关联关系，是公司间接控股股东中国远洋海运集团或受其控制的关联方。前五</w:t>
      </w:r>
      <w:r>
        <w:rPr>
          <w:w w:val="100"/>
        </w:rPr>
        <w:t> </w:t>
      </w:r>
      <w:r>
        <w:rPr/>
        <w:t>大客户中其他客户与公司未存在关联关系。</w:t>
      </w:r>
    </w:p>
    <w:p>
      <w:pPr>
        <w:spacing w:before="77"/>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公司主要供应商情况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212,867,962.75</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16.56%</w:t>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4.45%</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55" w:right="0"/>
              <w:jc w:val="left"/>
              <w:rPr>
                <w:rFonts w:ascii="Times New Roman" w:hAnsi="Times New Roman" w:cs="Times New Roman" w:eastAsia="Times New Roman" w:hint="default"/>
                <w:sz w:val="18"/>
                <w:szCs w:val="18"/>
              </w:rPr>
            </w:pPr>
            <w:r>
              <w:rPr>
                <w:rFonts w:ascii="Times New Roman"/>
                <w:sz w:val="18"/>
              </w:rPr>
              <w:t>57,172,102.75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45,294,000.00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3.52%</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39,460,000.00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3.07%</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39,441,860.00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3.07%</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31,500,000.00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2.45%</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212,867,962.75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16.56%</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5"/>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59" w:lineRule="auto" w:before="73"/>
        <w:ind w:right="1133" w:firstLine="439"/>
        <w:jc w:val="left"/>
      </w:pPr>
      <w:r>
        <w:rPr>
          <w:spacing w:val="-2"/>
        </w:rPr>
        <w:t>供应商一与公司存在关联关系，是公司子公司。前五大供应商中其他供应商与公司未存在关联关</w:t>
      </w:r>
      <w:r>
        <w:rPr>
          <w:w w:val="100"/>
        </w:rPr>
        <w:t> </w:t>
      </w:r>
      <w:r>
        <w:rPr/>
        <w:t>系。</w:t>
      </w:r>
    </w:p>
    <w:p>
      <w:pPr>
        <w:spacing w:line="240" w:lineRule="auto" w:before="13"/>
        <w:rPr>
          <w:rFonts w:ascii="宋体" w:hAnsi="宋体" w:cs="宋体" w:eastAsia="宋体" w:hint="default"/>
          <w:sz w:val="23"/>
          <w:szCs w:val="23"/>
        </w:rPr>
      </w:pPr>
    </w:p>
    <w:p>
      <w:pPr>
        <w:spacing w:before="0"/>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、费用</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48"/>
        <w:gridCol w:w="1637"/>
        <w:gridCol w:w="1462"/>
        <w:gridCol w:w="2919"/>
      </w:tblGrid>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571" w:right="0"/>
              <w:jc w:val="left"/>
              <w:rPr>
                <w:rFonts w:ascii="Times New Roman" w:hAnsi="Times New Roman" w:cs="Times New Roman" w:eastAsia="Times New Roman" w:hint="default"/>
                <w:sz w:val="18"/>
                <w:szCs w:val="18"/>
              </w:rPr>
            </w:pPr>
            <w:r>
              <w:rPr>
                <w:rFonts w:ascii="Times New Roman"/>
                <w:sz w:val="18"/>
              </w:rPr>
              <w:t>28,138,530.74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1" w:right="0"/>
              <w:jc w:val="left"/>
              <w:rPr>
                <w:rFonts w:ascii="Times New Roman" w:hAnsi="Times New Roman" w:cs="Times New Roman" w:eastAsia="Times New Roman" w:hint="default"/>
                <w:sz w:val="18"/>
                <w:szCs w:val="18"/>
              </w:rPr>
            </w:pPr>
            <w:r>
              <w:rPr>
                <w:rFonts w:ascii="Times New Roman"/>
                <w:sz w:val="18"/>
              </w:rPr>
              <w:t>28,697,909.83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-1.95%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84,724,071.63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71,610,076.36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18.31%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518" w:right="0"/>
              <w:jc w:val="left"/>
              <w:rPr>
                <w:rFonts w:ascii="Times New Roman" w:hAnsi="Times New Roman" w:cs="Times New Roman" w:eastAsia="Times New Roman" w:hint="default"/>
                <w:sz w:val="18"/>
                <w:szCs w:val="18"/>
              </w:rPr>
            </w:pPr>
            <w:r>
              <w:rPr>
                <w:rFonts w:ascii="Times New Roman"/>
                <w:sz w:val="18"/>
              </w:rPr>
              <w:t>-11,432,460.63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1" w:right="0"/>
              <w:jc w:val="left"/>
              <w:rPr>
                <w:rFonts w:ascii="Times New Roman" w:hAnsi="Times New Roman" w:cs="Times New Roman" w:eastAsia="Times New Roman" w:hint="default"/>
                <w:sz w:val="18"/>
                <w:szCs w:val="18"/>
              </w:rPr>
            </w:pPr>
            <w:r>
              <w:rPr>
                <w:rFonts w:ascii="Times New Roman"/>
                <w:sz w:val="18"/>
              </w:rPr>
              <w:t>-12,051,586.36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5.14%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52,873,975.12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33,177,926.26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59.36%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主要系公司研发投入增加所致。</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、研发投入</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59" w:lineRule="auto" w:before="73"/>
        <w:ind w:right="1133" w:firstLine="439"/>
        <w:jc w:val="left"/>
      </w:pPr>
      <w:r>
        <w:rPr>
          <w:spacing w:val="-3"/>
        </w:rPr>
        <w:t>报告期内，公司继续加大研发投入，运用互联网、大数据、云计算、物联网和人工智能技术，与</w:t>
      </w:r>
      <w:r>
        <w:rPr>
          <w:spacing w:val="-8"/>
          <w:w w:val="100"/>
        </w:rPr>
        <w:t> </w:t>
      </w:r>
      <w:r>
        <w:rPr/>
        <w:t>公司现有业务融合，积极开展科技创新和商业模式创新，为公司发展注入新动能。</w:t>
      </w:r>
    </w:p>
    <w:p>
      <w:pPr>
        <w:pStyle w:val="BodyText"/>
        <w:spacing w:line="259" w:lineRule="auto" w:before="45"/>
        <w:ind w:right="1133" w:firstLine="439"/>
        <w:jc w:val="left"/>
      </w:pPr>
      <w:r>
        <w:rPr>
          <w:spacing w:val="-2"/>
        </w:rPr>
        <w:t>公司积极参与国家和行业重大科研项目的申报工作，通过国家和行业重大科研项目承接促进科技</w:t>
      </w:r>
      <w:r>
        <w:rPr>
          <w:w w:val="100"/>
        </w:rPr>
        <w:t> </w:t>
      </w:r>
      <w:r>
        <w:rPr/>
        <w:t>创新能力提升，确立先发优势。</w:t>
      </w:r>
    </w:p>
    <w:p>
      <w:pPr>
        <w:spacing w:before="77"/>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公司研发投入情况</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15.84%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3.01%</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53,704,410.15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34,971,477.12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53.57%</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0.89%</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802,445.05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4,530,291.98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-82.29%</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-12.26%</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before="117"/>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研发资本化金额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实施进度</w:t>
            </w:r>
          </w:p>
        </w:tc>
      </w:tr>
      <w:tr>
        <w:trPr>
          <w:trHeight w:val="165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010" w:right="110" w:hanging="900"/>
              <w:jc w:val="left"/>
              <w:rPr>
                <w:rFonts w:ascii="宋体" w:hAnsi="宋体" w:cs="宋体" w:eastAsia="宋体" w:hint="default"/>
                <w:sz w:val="18"/>
                <w:szCs w:val="18"/>
              </w:rPr>
            </w:pPr>
            <w:r>
              <w:rPr>
                <w:rFonts w:ascii="宋体" w:hAnsi="宋体" w:cs="宋体" w:eastAsia="宋体" w:hint="default"/>
                <w:sz w:val="18"/>
                <w:szCs w:val="18"/>
              </w:rPr>
              <w:t>人工智能应用关键技术研究 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802,445.05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both"/>
              <w:rPr>
                <w:rFonts w:ascii="宋体" w:hAnsi="宋体" w:cs="宋体" w:eastAsia="宋体" w:hint="default"/>
                <w:sz w:val="18"/>
                <w:szCs w:val="18"/>
              </w:rPr>
            </w:pPr>
            <w:r>
              <w:rPr>
                <w:rFonts w:ascii="宋体" w:hAnsi="宋体" w:cs="宋体" w:eastAsia="宋体" w:hint="default"/>
                <w:spacing w:val="14"/>
                <w:sz w:val="18"/>
                <w:szCs w:val="18"/>
              </w:rPr>
              <w:t>本项目主要研究的内容是将</w:t>
            </w:r>
            <w:r>
              <w:rPr>
                <w:rFonts w:ascii="宋体" w:hAnsi="宋体" w:cs="宋体" w:eastAsia="宋体" w:hint="default"/>
                <w:sz w:val="18"/>
                <w:szCs w:val="18"/>
              </w:rPr>
              <w:t> </w:t>
            </w:r>
            <w:r>
              <w:rPr>
                <w:rFonts w:ascii="宋体" w:hAnsi="宋体" w:cs="宋体" w:eastAsia="宋体" w:hint="default"/>
                <w:spacing w:val="14"/>
                <w:sz w:val="18"/>
                <w:szCs w:val="18"/>
              </w:rPr>
              <w:t>人工智能相关技术在集装箱</w:t>
            </w:r>
            <w:r>
              <w:rPr>
                <w:rFonts w:ascii="宋体" w:hAnsi="宋体" w:cs="宋体" w:eastAsia="宋体" w:hint="default"/>
                <w:sz w:val="18"/>
                <w:szCs w:val="18"/>
              </w:rPr>
              <w:t> 码头智能化、自动化方面进行 运用，相关科研成果形成公司 无形资产。</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项目实施完成。</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研发投入资本化率大幅变动的原因及其合理性说明</w:t>
      </w:r>
    </w:p>
    <w:p>
      <w:pPr>
        <w:spacing w:before="115"/>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6"/>
          <w:szCs w:val="26"/>
        </w:rPr>
      </w:pPr>
    </w:p>
    <w:p>
      <w:pPr>
        <w:spacing w:before="0"/>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、现金流</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2,227,002,008.43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1,588,427,664.11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40.20%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1,831,855,991.23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1,421,158,358.42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28.90%</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395,146,017.20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167,269,305.69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136.23%</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70,470.69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-26.92%</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29,643,709.51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27,259,531.20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8.75%</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-29,592,209.51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-27,189,060.51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19,465,598.69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201,238,854.38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-90.33%</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-19,465,598.69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-201,238,854.38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90.33%</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345,926,721.14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-61,184,302.23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665.38%</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5"/>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4" w:lineRule="auto" w:before="73"/>
        <w:ind w:right="1133" w:firstLine="439"/>
        <w:jc w:val="left"/>
      </w:pPr>
      <w:r>
        <w:rPr>
          <w:spacing w:val="-1"/>
        </w:rPr>
        <w:t>（</w:t>
      </w:r>
      <w:r>
        <w:rPr>
          <w:rFonts w:ascii="Times New Roman" w:hAnsi="Times New Roman" w:cs="Times New Roman" w:eastAsia="Times New Roman" w:hint="default"/>
          <w:spacing w:val="-1"/>
        </w:rPr>
        <w:t>1</w:t>
      </w:r>
      <w:r>
        <w:rPr>
          <w:spacing w:val="-1"/>
        </w:rPr>
        <w:t>）报告期经营活动现金流入小计较上年同期增加</w:t>
      </w:r>
      <w:r>
        <w:rPr>
          <w:rFonts w:ascii="Times New Roman" w:hAnsi="Times New Roman" w:cs="Times New Roman" w:eastAsia="Times New Roman" w:hint="default"/>
          <w:spacing w:val="-1"/>
        </w:rPr>
        <w:t>63,857.43</w:t>
      </w:r>
      <w:r>
        <w:rPr>
          <w:spacing w:val="-1"/>
        </w:rPr>
        <w:t>万元，增长</w:t>
      </w:r>
      <w:r>
        <w:rPr>
          <w:rFonts w:ascii="Times New Roman" w:hAnsi="Times New Roman" w:cs="Times New Roman" w:eastAsia="Times New Roman" w:hint="default"/>
          <w:spacing w:val="-1"/>
        </w:rPr>
        <w:t>40.20%</w:t>
      </w:r>
      <w:r>
        <w:rPr>
          <w:spacing w:val="-1"/>
        </w:rPr>
        <w:t>，主要系收到的</w:t>
      </w:r>
      <w:r>
        <w:rPr>
          <w:w w:val="100"/>
        </w:rPr>
        <w:t> </w:t>
      </w:r>
      <w:r>
        <w:rPr/>
        <w:t>项目款增加所致。</w:t>
      </w:r>
    </w:p>
    <w:p>
      <w:pPr>
        <w:pStyle w:val="BodyText"/>
        <w:spacing w:line="244" w:lineRule="auto" w:before="58"/>
        <w:ind w:right="1133" w:firstLine="439"/>
        <w:jc w:val="left"/>
      </w:pPr>
      <w:r>
        <w:rPr>
          <w:spacing w:val="-2"/>
        </w:rPr>
        <w:t>（</w:t>
      </w:r>
      <w:r>
        <w:rPr>
          <w:rFonts w:ascii="Times New Roman" w:hAnsi="Times New Roman" w:cs="Times New Roman" w:eastAsia="Times New Roman" w:hint="default"/>
          <w:spacing w:val="-2"/>
        </w:rPr>
        <w:t>2</w:t>
      </w:r>
      <w:r>
        <w:rPr>
          <w:spacing w:val="-2"/>
        </w:rPr>
        <w:t>）报告期经营活动现金流量净额较上年同期增加</w:t>
      </w:r>
      <w:r>
        <w:rPr>
          <w:rFonts w:ascii="Times New Roman" w:hAnsi="Times New Roman" w:cs="Times New Roman" w:eastAsia="Times New Roman" w:hint="default"/>
          <w:spacing w:val="-2"/>
        </w:rPr>
        <w:t>22,787.67</w:t>
      </w:r>
      <w:r>
        <w:rPr>
          <w:spacing w:val="-2"/>
        </w:rPr>
        <w:t>万元，增长</w:t>
      </w:r>
      <w:r>
        <w:rPr>
          <w:rFonts w:ascii="Times New Roman" w:hAnsi="Times New Roman" w:cs="Times New Roman" w:eastAsia="Times New Roman" w:hint="default"/>
          <w:spacing w:val="-2"/>
        </w:rPr>
        <w:t>136.23%</w:t>
      </w:r>
      <w:r>
        <w:rPr>
          <w:spacing w:val="-2"/>
        </w:rPr>
        <w:t>，主要系收到的</w:t>
      </w:r>
      <w:r>
        <w:rPr>
          <w:w w:val="100"/>
        </w:rPr>
        <w:t> </w:t>
      </w:r>
      <w:r>
        <w:rPr/>
        <w:t>项目款增加所致。</w:t>
      </w:r>
    </w:p>
    <w:p>
      <w:pPr>
        <w:pStyle w:val="BodyText"/>
        <w:spacing w:line="244" w:lineRule="auto" w:before="60"/>
        <w:ind w:right="1133" w:firstLine="439"/>
        <w:jc w:val="left"/>
      </w:pPr>
      <w:r>
        <w:rPr>
          <w:spacing w:val="-1"/>
        </w:rPr>
        <w:t>（</w:t>
      </w:r>
      <w:r>
        <w:rPr>
          <w:rFonts w:ascii="Times New Roman" w:hAnsi="Times New Roman" w:cs="Times New Roman" w:eastAsia="Times New Roman" w:hint="default"/>
          <w:spacing w:val="-1"/>
        </w:rPr>
        <w:t>3</w:t>
      </w:r>
      <w:r>
        <w:rPr>
          <w:spacing w:val="-1"/>
        </w:rPr>
        <w:t>）报告期筹资活动现金流出小计较上年同期减少</w:t>
      </w:r>
      <w:r>
        <w:rPr>
          <w:rFonts w:ascii="Times New Roman" w:hAnsi="Times New Roman" w:cs="Times New Roman" w:eastAsia="Times New Roman" w:hint="default"/>
          <w:spacing w:val="-1"/>
        </w:rPr>
        <w:t>18,177.33</w:t>
      </w:r>
      <w:r>
        <w:rPr>
          <w:spacing w:val="-1"/>
        </w:rPr>
        <w:t>万元，下降</w:t>
      </w:r>
      <w:r>
        <w:rPr>
          <w:rFonts w:ascii="Times New Roman" w:hAnsi="Times New Roman" w:cs="Times New Roman" w:eastAsia="Times New Roman" w:hint="default"/>
          <w:spacing w:val="-1"/>
        </w:rPr>
        <w:t>90.33%</w:t>
      </w:r>
      <w:r>
        <w:rPr>
          <w:spacing w:val="-1"/>
        </w:rPr>
        <w:t>，主要系上期支</w:t>
      </w:r>
      <w:r>
        <w:rPr>
          <w:w w:val="100"/>
        </w:rPr>
        <w:t> </w:t>
      </w:r>
      <w:r>
        <w:rPr/>
        <w:t>付股权收购项目对价所致。</w:t>
      </w:r>
    </w:p>
    <w:p>
      <w:pPr>
        <w:pStyle w:val="BodyText"/>
        <w:spacing w:line="244" w:lineRule="auto" w:before="60"/>
        <w:ind w:right="1133" w:firstLine="439"/>
        <w:jc w:val="left"/>
      </w:pPr>
      <w:r>
        <w:rPr>
          <w:spacing w:val="-1"/>
        </w:rPr>
        <w:t>（</w:t>
      </w:r>
      <w:r>
        <w:rPr>
          <w:rFonts w:ascii="Times New Roman" w:hAnsi="Times New Roman" w:cs="Times New Roman" w:eastAsia="Times New Roman" w:hint="default"/>
          <w:spacing w:val="-1"/>
        </w:rPr>
        <w:t>4</w:t>
      </w:r>
      <w:r>
        <w:rPr>
          <w:spacing w:val="-1"/>
        </w:rPr>
        <w:t>）报告期筹资活动产生的现金流量净额较上年同期增加</w:t>
      </w:r>
      <w:r>
        <w:rPr>
          <w:rFonts w:ascii="Times New Roman" w:hAnsi="Times New Roman" w:cs="Times New Roman" w:eastAsia="Times New Roman" w:hint="default"/>
          <w:spacing w:val="-1"/>
        </w:rPr>
        <w:t>18,177.33</w:t>
      </w:r>
      <w:r>
        <w:rPr>
          <w:spacing w:val="-1"/>
        </w:rPr>
        <w:t>万元，增长</w:t>
      </w:r>
      <w:r>
        <w:rPr>
          <w:rFonts w:ascii="Times New Roman" w:hAnsi="Times New Roman" w:cs="Times New Roman" w:eastAsia="Times New Roman" w:hint="default"/>
          <w:spacing w:val="-1"/>
        </w:rPr>
        <w:t>90.33%</w:t>
      </w:r>
      <w:r>
        <w:rPr>
          <w:spacing w:val="-1"/>
        </w:rPr>
        <w:t>，主要系</w:t>
      </w:r>
      <w:r>
        <w:rPr>
          <w:w w:val="100"/>
        </w:rPr>
        <w:t> </w:t>
      </w:r>
      <w:r>
        <w:rPr/>
        <w:t>上期支付股权收购项目对价所致。</w:t>
      </w:r>
    </w:p>
    <w:p>
      <w:pPr>
        <w:pStyle w:val="BodyText"/>
        <w:spacing w:line="247" w:lineRule="auto" w:before="58"/>
        <w:ind w:right="1133" w:firstLine="439"/>
        <w:jc w:val="left"/>
      </w:pPr>
      <w:r>
        <w:rPr>
          <w:spacing w:val="-2"/>
        </w:rPr>
        <w:t>（</w:t>
      </w:r>
      <w:r>
        <w:rPr>
          <w:rFonts w:ascii="Times New Roman" w:hAnsi="Times New Roman" w:cs="Times New Roman" w:eastAsia="Times New Roman" w:hint="default"/>
          <w:spacing w:val="-2"/>
        </w:rPr>
        <w:t>5</w:t>
      </w:r>
      <w:r>
        <w:rPr>
          <w:spacing w:val="-2"/>
        </w:rPr>
        <w:t>）报告期现金及现金等价物净增加额上年同期增加</w:t>
      </w:r>
      <w:r>
        <w:rPr>
          <w:rFonts w:ascii="Times New Roman" w:hAnsi="Times New Roman" w:cs="Times New Roman" w:eastAsia="Times New Roman" w:hint="default"/>
          <w:spacing w:val="-2"/>
        </w:rPr>
        <w:t>40,711.10</w:t>
      </w:r>
      <w:r>
        <w:rPr>
          <w:spacing w:val="-2"/>
        </w:rPr>
        <w:t>万元，增长</w:t>
      </w:r>
      <w:r>
        <w:rPr>
          <w:rFonts w:ascii="Times New Roman" w:hAnsi="Times New Roman" w:cs="Times New Roman" w:eastAsia="Times New Roman" w:hint="default"/>
          <w:spacing w:val="-2"/>
        </w:rPr>
        <w:t>665.38%</w:t>
      </w:r>
      <w:r>
        <w:rPr>
          <w:spacing w:val="-2"/>
        </w:rPr>
        <w:t>，主要系收到</w:t>
      </w:r>
      <w:r>
        <w:rPr>
          <w:w w:val="100"/>
        </w:rPr>
        <w:t> </w:t>
      </w:r>
      <w:r>
        <w:rPr/>
        <w:t>的项目款增加所致。</w:t>
      </w:r>
    </w:p>
    <w:p>
      <w:pPr>
        <w:spacing w:before="88"/>
        <w:ind w:left="152" w:right="1133"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spacing w:before="44"/>
        <w:ind w:left="2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left="212" w:right="0"/>
        <w:jc w:val="left"/>
        <w:rPr>
          <w:b w:val="0"/>
          <w:bCs w:val="0"/>
        </w:rPr>
      </w:pPr>
      <w:r>
        <w:rPr/>
        <w:t>三、非主营业务分析</w:t>
      </w:r>
      <w:r>
        <w:rPr>
          <w:b w:val="0"/>
          <w:bCs w:val="0"/>
        </w:rPr>
      </w:r>
    </w:p>
    <w:p>
      <w:pPr>
        <w:spacing w:line="240" w:lineRule="auto" w:before="1"/>
        <w:rPr>
          <w:rFonts w:ascii="宋体" w:hAnsi="宋体" w:cs="宋体" w:eastAsia="宋体" w:hint="default"/>
          <w:b/>
          <w:bCs/>
          <w:sz w:val="23"/>
          <w:szCs w:val="23"/>
        </w:rPr>
      </w:pPr>
    </w:p>
    <w:p>
      <w:pPr>
        <w:spacing w:before="44"/>
        <w:ind w:left="2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1524"/>
        <w:gridCol w:w="1916"/>
        <w:gridCol w:w="1622"/>
        <w:gridCol w:w="2254"/>
        <w:gridCol w:w="2254"/>
      </w:tblGrid>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49"/>
              <w:ind w:left="175"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49"/>
              <w:ind w:left="583"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715"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1,516,497.13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1.31%</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5" w:right="156"/>
              <w:jc w:val="left"/>
              <w:rPr>
                <w:rFonts w:ascii="宋体" w:hAnsi="宋体" w:cs="宋体" w:eastAsia="宋体" w:hint="default"/>
                <w:sz w:val="18"/>
                <w:szCs w:val="18"/>
              </w:rPr>
            </w:pPr>
            <w:r>
              <w:rPr>
                <w:rFonts w:ascii="宋体" w:hAnsi="宋体" w:cs="宋体" w:eastAsia="宋体" w:hint="default"/>
                <w:sz w:val="18"/>
                <w:szCs w:val="18"/>
              </w:rPr>
              <w:t>主要系确认联营合营公司 投资损益所致。</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3,079,545.09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2.66%</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5" w:right="156"/>
              <w:jc w:val="left"/>
              <w:rPr>
                <w:rFonts w:ascii="宋体" w:hAnsi="宋体" w:cs="宋体" w:eastAsia="宋体" w:hint="default"/>
                <w:sz w:val="18"/>
                <w:szCs w:val="18"/>
              </w:rPr>
            </w:pPr>
            <w:r>
              <w:rPr>
                <w:rFonts w:ascii="宋体" w:hAnsi="宋体" w:cs="宋体" w:eastAsia="宋体" w:hint="default"/>
                <w:sz w:val="18"/>
                <w:szCs w:val="18"/>
              </w:rPr>
              <w:t>主要系确认科研项目补贴 和其他政府补助所致。</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3,274,625.02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2.83%</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5" w:right="156"/>
              <w:jc w:val="left"/>
              <w:rPr>
                <w:rFonts w:ascii="宋体" w:hAnsi="宋体" w:cs="宋体" w:eastAsia="宋体" w:hint="default"/>
                <w:sz w:val="18"/>
                <w:szCs w:val="18"/>
              </w:rPr>
            </w:pPr>
            <w:r>
              <w:rPr>
                <w:rFonts w:ascii="宋体" w:hAnsi="宋体" w:cs="宋体" w:eastAsia="宋体" w:hint="default"/>
                <w:sz w:val="18"/>
                <w:szCs w:val="18"/>
              </w:rPr>
              <w:t>主要系捐赠支出和计提统 筹外费用所致。</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
        <w:rPr>
          <w:rFonts w:ascii="宋体" w:hAnsi="宋体" w:cs="宋体" w:eastAsia="宋体" w:hint="default"/>
          <w:sz w:val="18"/>
          <w:szCs w:val="18"/>
        </w:rPr>
      </w:pPr>
    </w:p>
    <w:p>
      <w:pPr>
        <w:pStyle w:val="Heading3"/>
        <w:spacing w:line="240" w:lineRule="auto" w:before="26"/>
        <w:ind w:left="212" w:right="0"/>
        <w:jc w:val="left"/>
        <w:rPr>
          <w:b w:val="0"/>
          <w:bCs w:val="0"/>
        </w:rPr>
      </w:pPr>
      <w:r>
        <w:rPr/>
        <w:t>四、资产及负债状况分析</w:t>
      </w:r>
      <w:r>
        <w:rPr>
          <w:b w:val="0"/>
          <w:bCs w:val="0"/>
        </w:rPr>
      </w:r>
    </w:p>
    <w:p>
      <w:pPr>
        <w:spacing w:line="240" w:lineRule="auto" w:before="12"/>
        <w:rPr>
          <w:rFonts w:ascii="宋体" w:hAnsi="宋体" w:cs="宋体" w:eastAsia="宋体" w:hint="default"/>
          <w:b/>
          <w:bCs/>
          <w:sz w:val="24"/>
          <w:szCs w:val="24"/>
        </w:rPr>
      </w:pPr>
    </w:p>
    <w:p>
      <w:pPr>
        <w:spacing w:before="0"/>
        <w:ind w:left="2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、资产构成重大变动情况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220" w:type="dxa"/>
        <w:tblLayout w:type="fixed"/>
        <w:tblCellMar>
          <w:top w:w="0" w:type="dxa"/>
          <w:left w:w="0" w:type="dxa"/>
          <w:bottom w:w="0" w:type="dxa"/>
          <w:right w:w="0" w:type="dxa"/>
        </w:tblCellMar>
        <w:tblLook w:val="01E0"/>
      </w:tblPr>
      <w:tblGrid>
        <w:gridCol w:w="1356"/>
        <w:gridCol w:w="1164"/>
        <w:gridCol w:w="1064"/>
        <w:gridCol w:w="1195"/>
        <w:gridCol w:w="1064"/>
        <w:gridCol w:w="797"/>
        <w:gridCol w:w="2919"/>
      </w:tblGrid>
      <w:tr>
        <w:trPr>
          <w:trHeight w:val="380" w:hRule="exact"/>
        </w:trPr>
        <w:tc>
          <w:tcPr>
            <w:tcW w:w="1356" w:type="dxa"/>
            <w:tcBorders>
              <w:top w:val="single" w:sz="4" w:space="0" w:color="000000"/>
              <w:left w:val="single" w:sz="4" w:space="0" w:color="000000"/>
              <w:bottom w:val="single" w:sz="13" w:space="0" w:color="FFFFFF"/>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13" w:space="0" w:color="FFFFFF"/>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3" w:space="0" w:color="FFFFFF"/>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797" w:type="dxa"/>
            <w:tcBorders>
              <w:top w:val="single" w:sz="4" w:space="0" w:color="000000"/>
              <w:left w:val="single" w:sz="4" w:space="0" w:color="000000"/>
              <w:bottom w:val="single" w:sz="13" w:space="0" w:color="FFFFFF"/>
              <w:right w:val="single" w:sz="4" w:space="0" w:color="000000"/>
            </w:tcBorders>
            <w:shd w:val="clear" w:color="auto" w:fill="D2D2D2"/>
          </w:tcPr>
          <w:p>
            <w:pPr/>
          </w:p>
        </w:tc>
        <w:tc>
          <w:tcPr>
            <w:tcW w:w="2919" w:type="dxa"/>
            <w:tcBorders>
              <w:top w:val="single" w:sz="4" w:space="0" w:color="000000"/>
              <w:left w:val="single" w:sz="4" w:space="0" w:color="000000"/>
              <w:bottom w:val="single" w:sz="13" w:space="0" w:color="FFFFFF"/>
              <w:right w:val="single" w:sz="4" w:space="0" w:color="000000"/>
            </w:tcBorders>
            <w:shd w:val="clear" w:color="auto" w:fill="D2D2D2"/>
          </w:tcPr>
          <w:p>
            <w:pPr/>
          </w:p>
        </w:tc>
      </w:tr>
      <w:tr>
        <w:trPr>
          <w:trHeight w:val="182" w:hRule="exact"/>
        </w:trPr>
        <w:tc>
          <w:tcPr>
            <w:tcW w:w="1356" w:type="dxa"/>
            <w:vMerge w:val="restart"/>
            <w:tcBorders>
              <w:top w:val="single" w:sz="13" w:space="0" w:color="FFFFFF"/>
              <w:left w:val="single" w:sz="4" w:space="0" w:color="000000"/>
              <w:right w:val="single" w:sz="4" w:space="0" w:color="000000"/>
            </w:tcBorders>
            <w:shd w:val="clear" w:color="auto" w:fill="D2D2D2"/>
          </w:tcPr>
          <w:p>
            <w:pPr/>
          </w:p>
        </w:tc>
        <w:tc>
          <w:tcPr>
            <w:tcW w:w="1164" w:type="dxa"/>
            <w:tcBorders>
              <w:top w:val="single" w:sz="13"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3" w:space="0" w:color="FFFFFF"/>
              <w:left w:val="single" w:sz="4" w:space="0" w:color="000000"/>
              <w:right w:val="single" w:sz="4" w:space="0" w:color="000000"/>
            </w:tcBorders>
            <w:shd w:val="clear" w:color="auto" w:fill="D2D2D2"/>
          </w:tcPr>
          <w:p>
            <w:pPr>
              <w:pStyle w:val="TableParagraph"/>
              <w:spacing w:line="316" w:lineRule="auto" w:before="58"/>
              <w:ind w:left="437"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13"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3" w:space="0" w:color="FFFFFF"/>
              <w:left w:val="single" w:sz="4" w:space="0" w:color="000000"/>
              <w:right w:val="single" w:sz="4" w:space="0" w:color="000000"/>
            </w:tcBorders>
            <w:shd w:val="clear" w:color="auto" w:fill="D2D2D2"/>
          </w:tcPr>
          <w:p>
            <w:pPr>
              <w:pStyle w:val="TableParagraph"/>
              <w:spacing w:line="316" w:lineRule="auto" w:before="58"/>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val="restart"/>
            <w:tcBorders>
              <w:top w:val="single" w:sz="13" w:space="0" w:color="FFFFFF"/>
              <w:left w:val="single" w:sz="4" w:space="0" w:color="000000"/>
              <w:right w:val="single" w:sz="4" w:space="0" w:color="000000"/>
            </w:tcBorders>
            <w:shd w:val="clear" w:color="auto" w:fill="D2D2D2"/>
          </w:tcPr>
          <w:p>
            <w:pPr>
              <w:pStyle w:val="TableParagraph"/>
              <w:spacing w:line="240" w:lineRule="auto" w:before="15"/>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single" w:sz="13" w:space="0" w:color="FFFFFF"/>
              <w:left w:val="single" w:sz="4" w:space="0" w:color="000000"/>
              <w:right w:val="single" w:sz="4" w:space="0" w:color="000000"/>
            </w:tcBorders>
            <w:shd w:val="clear" w:color="auto" w:fill="D2D2D2"/>
          </w:tcPr>
          <w:p>
            <w:pPr>
              <w:pStyle w:val="TableParagraph"/>
              <w:spacing w:line="240" w:lineRule="auto" w:before="15"/>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1,298,446,484.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21</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39.14%</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1,002,304,128.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47</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46.36%</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-7.22%</w:t>
            </w:r>
          </w:p>
        </w:tc>
        <w:tc>
          <w:tcPr>
            <w:tcW w:w="2919" w:type="dxa"/>
            <w:vMerge w:val="restart"/>
            <w:tcBorders>
              <w:top w:val="single" w:sz="4" w:space="0" w:color="000000"/>
              <w:left w:val="single" w:sz="4" w:space="0" w:color="000000"/>
              <w:right w:val="single" w:sz="4" w:space="0" w:color="000000"/>
            </w:tcBorders>
          </w:tcPr>
          <w:p>
            <w:pP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122,874,355.1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3.70%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127,734,104.14</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5.91%</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-2.21%</w:t>
            </w:r>
          </w:p>
        </w:tc>
        <w:tc>
          <w:tcPr>
            <w:tcW w:w="2919" w:type="dxa"/>
            <w:vMerge w:val="restart"/>
            <w:tcBorders>
              <w:top w:val="single" w:sz="4" w:space="0" w:color="000000"/>
              <w:left w:val="single" w:sz="4" w:space="0" w:color="000000"/>
              <w:right w:val="single" w:sz="4" w:space="0" w:color="000000"/>
            </w:tcBorders>
          </w:tcPr>
          <w:p>
            <w:pP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1,220,496,365.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98</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36.79%</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717,922,339.20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33.20%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3.59%</w:t>
            </w:r>
          </w:p>
        </w:tc>
        <w:tc>
          <w:tcPr>
            <w:tcW w:w="291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主要系在执行项目增加所致。</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81,908,836.38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84,211,490.58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20,258,900.16</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0.61%</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8,623,245.54</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0.40%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0.21%</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主要系本期投资宁夏交投科技发展 有限公司所致。</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84,131,713.94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76,294,598.22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11,746,018.74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355,108.39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主要系实施在建项目所致。</w:t>
            </w:r>
          </w:p>
        </w:tc>
      </w:tr>
    </w:tbl>
    <w:p>
      <w:pPr>
        <w:spacing w:line="240" w:lineRule="auto" w:before="3"/>
        <w:rPr>
          <w:rFonts w:ascii="宋体" w:hAnsi="宋体" w:cs="宋体" w:eastAsia="宋体" w:hint="default"/>
          <w:sz w:val="19"/>
          <w:szCs w:val="19"/>
        </w:rPr>
      </w:pPr>
    </w:p>
    <w:p>
      <w:pPr>
        <w:spacing w:before="36"/>
        <w:ind w:left="2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、以公允价值计量的资产和负债</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2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20" w:right="0"/>
        </w:sectPr>
      </w:pPr>
    </w:p>
    <w:p>
      <w:pPr>
        <w:spacing w:line="240" w:lineRule="auto" w:before="10"/>
        <w:rPr>
          <w:rFonts w:ascii="宋体" w:hAnsi="宋体" w:cs="宋体" w:eastAsia="宋体" w:hint="default"/>
          <w:sz w:val="24"/>
          <w:szCs w:val="24"/>
        </w:rPr>
      </w:pPr>
    </w:p>
    <w:p>
      <w:pPr>
        <w:spacing w:before="36"/>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、截至报告期末的资产权利受限情况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报告期内，其他货币资金中因支付银行保函保证金以及银行承兑汇票保证金而受限。</w:t>
      </w:r>
    </w:p>
    <w:p>
      <w:pPr>
        <w:spacing w:line="240" w:lineRule="auto" w:before="3"/>
        <w:rPr>
          <w:rFonts w:ascii="宋体" w:hAnsi="宋体" w:cs="宋体" w:eastAsia="宋体" w:hint="default"/>
          <w:sz w:val="25"/>
          <w:szCs w:val="25"/>
        </w:rPr>
      </w:pPr>
    </w:p>
    <w:p>
      <w:pPr>
        <w:pStyle w:val="Heading3"/>
        <w:spacing w:line="240" w:lineRule="auto"/>
        <w:ind w:right="1133"/>
        <w:jc w:val="left"/>
        <w:rPr>
          <w:b w:val="0"/>
          <w:bCs w:val="0"/>
        </w:rPr>
      </w:pPr>
      <w:r>
        <w:rPr/>
        <w:t>五、投资状况分析</w:t>
      </w:r>
      <w:r>
        <w:rPr>
          <w:b w:val="0"/>
          <w:bCs w:val="0"/>
        </w:rPr>
      </w:r>
    </w:p>
    <w:p>
      <w:pPr>
        <w:spacing w:line="240" w:lineRule="auto" w:before="9"/>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、总体情况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9,800,000.00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9,042,539.76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8.38%</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、报告期内获取的重大的股权投资情况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56"/>
        <w:gridCol w:w="650"/>
        <w:gridCol w:w="622"/>
        <w:gridCol w:w="624"/>
        <w:gridCol w:w="622"/>
        <w:gridCol w:w="622"/>
        <w:gridCol w:w="617"/>
        <w:gridCol w:w="617"/>
        <w:gridCol w:w="620"/>
        <w:gridCol w:w="590"/>
        <w:gridCol w:w="593"/>
        <w:gridCol w:w="694"/>
        <w:gridCol w:w="689"/>
        <w:gridCol w:w="691"/>
        <w:gridCol w:w="667"/>
      </w:tblGrid>
      <w:tr>
        <w:trPr>
          <w:trHeight w:val="2276" w:hRule="exact"/>
        </w:trPr>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53" w:right="50"/>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0" w:right="48"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5" w:right="3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5" w:right="36"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6" w:right="3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5" w:right="35"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合作方</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3" w:right="31"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3" w:right="34" w:hanging="181"/>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 w:right="108"/>
              <w:jc w:val="both"/>
              <w:rPr>
                <w:rFonts w:ascii="宋体" w:hAnsi="宋体" w:cs="宋体" w:eastAsia="宋体" w:hint="default"/>
                <w:sz w:val="18"/>
                <w:szCs w:val="18"/>
              </w:rPr>
            </w:pPr>
            <w:r>
              <w:rPr>
                <w:rFonts w:ascii="宋体" w:hAnsi="宋体" w:cs="宋体" w:eastAsia="宋体" w:hint="default"/>
                <w:sz w:val="18"/>
                <w:szCs w:val="18"/>
              </w:rPr>
              <w:t>截至 资产 负债 表日 的进 展情 况</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10" w:right="110"/>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71" w:right="71"/>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50" w:right="68" w:hanging="181"/>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69" w:right="7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60" w:right="55"/>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337"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0"/>
              <w:jc w:val="both"/>
              <w:rPr>
                <w:rFonts w:ascii="宋体" w:hAnsi="宋体" w:cs="宋体" w:eastAsia="宋体" w:hint="default"/>
                <w:sz w:val="18"/>
                <w:szCs w:val="18"/>
              </w:rPr>
            </w:pPr>
            <w:r>
              <w:rPr>
                <w:rFonts w:ascii="宋体" w:hAnsi="宋体" w:cs="宋体" w:eastAsia="宋体" w:hint="default"/>
                <w:sz w:val="18"/>
                <w:szCs w:val="18"/>
              </w:rPr>
              <w:t>宁夏交 投科技 发展有 限公司</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both"/>
              <w:rPr>
                <w:rFonts w:ascii="宋体" w:hAnsi="宋体" w:cs="宋体" w:eastAsia="宋体" w:hint="default"/>
                <w:sz w:val="18"/>
                <w:szCs w:val="18"/>
              </w:rPr>
            </w:pPr>
            <w:r>
              <w:rPr>
                <w:rFonts w:ascii="宋体" w:hAnsi="宋体" w:cs="宋体" w:eastAsia="宋体" w:hint="default"/>
                <w:sz w:val="18"/>
                <w:szCs w:val="18"/>
              </w:rPr>
              <w:t>软件和 信息技 术服务 业</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新设</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9,800,0</w:t>
            </w:r>
          </w:p>
          <w:p>
            <w:pPr>
              <w:pStyle w:val="TableParagraph"/>
              <w:spacing w:line="240" w:lineRule="auto" w:before="105"/>
              <w:ind w:left="161" w:right="0"/>
              <w:jc w:val="center"/>
              <w:rPr>
                <w:rFonts w:ascii="Times New Roman" w:hAnsi="Times New Roman" w:cs="Times New Roman" w:eastAsia="Times New Roman" w:hint="default"/>
                <w:sz w:val="18"/>
                <w:szCs w:val="18"/>
              </w:rPr>
            </w:pPr>
            <w:r>
              <w:rPr>
                <w:rFonts w:ascii="Times New Roman"/>
                <w:sz w:val="18"/>
              </w:rPr>
              <w:t>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49.00%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宁夏交 通投资 集团有 限公司</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5"/>
              <w:jc w:val="right"/>
              <w:rPr>
                <w:rFonts w:ascii="宋体" w:hAnsi="宋体" w:cs="宋体" w:eastAsia="宋体" w:hint="default"/>
                <w:sz w:val="18"/>
                <w:szCs w:val="18"/>
              </w:rPr>
            </w:pPr>
            <w:r>
              <w:rPr>
                <w:rFonts w:ascii="宋体" w:hAnsi="宋体" w:cs="宋体" w:eastAsia="宋体" w:hint="default"/>
                <w:sz w:val="18"/>
                <w:szCs w:val="18"/>
              </w:rPr>
              <w:t>股权</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4"/>
              <w:jc w:val="right"/>
              <w:rPr>
                <w:rFonts w:ascii="宋体" w:hAnsi="宋体" w:cs="宋体" w:eastAsia="宋体" w:hint="default"/>
                <w:sz w:val="18"/>
                <w:szCs w:val="18"/>
              </w:rPr>
            </w:pPr>
            <w:r>
              <w:rPr>
                <w:rFonts w:ascii="宋体" w:hAnsi="宋体" w:cs="宋体" w:eastAsia="宋体" w:hint="default"/>
                <w:sz w:val="18"/>
                <w:szCs w:val="18"/>
              </w:rPr>
              <w:t>完成</w:t>
            </w:r>
          </w:p>
        </w:tc>
        <w:tc>
          <w:tcPr>
            <w:tcW w:w="593"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2,752,84</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9.56</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67"/>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2"/>
              <w:jc w:val="right"/>
              <w:rPr>
                <w:rFonts w:ascii="Times New Roman" w:hAnsi="Times New Roman" w:cs="Times New Roman" w:eastAsia="Times New Roman" w:hint="default"/>
                <w:sz w:val="18"/>
                <w:szCs w:val="18"/>
              </w:rPr>
            </w:pPr>
            <w:r>
              <w:rPr>
                <w:rFonts w:ascii="Times New Roman"/>
                <w:sz w:val="18"/>
              </w:rPr>
              <w:t>--</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9,800,0</w:t>
            </w:r>
          </w:p>
          <w:p>
            <w:pPr>
              <w:pStyle w:val="TableParagraph"/>
              <w:spacing w:line="240" w:lineRule="auto" w:before="105"/>
              <w:ind w:left="161" w:right="0"/>
              <w:jc w:val="center"/>
              <w:rPr>
                <w:rFonts w:ascii="Times New Roman" w:hAnsi="Times New Roman" w:cs="Times New Roman" w:eastAsia="Times New Roman" w:hint="default"/>
                <w:sz w:val="18"/>
                <w:szCs w:val="18"/>
              </w:rPr>
            </w:pPr>
            <w:r>
              <w:rPr>
                <w:rFonts w:ascii="Times New Roman"/>
                <w:sz w:val="18"/>
              </w:rPr>
              <w:t>00.00</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2"/>
              <w:jc w:val="right"/>
              <w:rPr>
                <w:rFonts w:ascii="Times New Roman" w:hAnsi="Times New Roman" w:cs="Times New Roman" w:eastAsia="Times New Roman" w:hint="default"/>
                <w:sz w:val="18"/>
                <w:szCs w:val="18"/>
              </w:rPr>
            </w:pPr>
            <w:r>
              <w:rPr>
                <w:rFonts w:ascii="Times New Roman"/>
                <w:sz w:val="18"/>
              </w:rPr>
              <w:t>--</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8"/>
              <w:jc w:val="right"/>
              <w:rPr>
                <w:rFonts w:ascii="Times New Roman" w:hAnsi="Times New Roman" w:cs="Times New Roman" w:eastAsia="Times New Roman" w:hint="default"/>
                <w:sz w:val="18"/>
                <w:szCs w:val="18"/>
              </w:rPr>
            </w:pPr>
            <w:r>
              <w:rPr>
                <w:rFonts w:ascii="Times New Roman"/>
                <w:sz w:val="18"/>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0.00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2,752,84</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9.56</w:t>
            </w:r>
          </w:p>
        </w:tc>
        <w:tc>
          <w:tcPr>
            <w:tcW w:w="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、报告期内正在进行的重大的非股权投资情况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、以公允价值计量的金融资产</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、募集资金使用情况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spacing w:before="36"/>
        <w:ind w:left="2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）募集资金总体使用情况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2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spacing w:before="0"/>
        <w:ind w:left="0" w:right="1143" w:firstLine="0"/>
        <w:jc w:val="right"/>
        <w:rPr>
          <w:rFonts w:ascii="宋体" w:hAnsi="宋体" w:cs="宋体" w:eastAsia="宋体" w:hint="default"/>
          <w:sz w:val="18"/>
          <w:szCs w:val="18"/>
        </w:rPr>
      </w:pPr>
      <w:r>
        <w:rPr/>
        <w:pict>
          <v:shape style="position:absolute;margin-left:56.400002pt;margin-top:-161.358261pt;width:479.05pt;height:194.7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7"/>
                    <w:gridCol w:w="862"/>
                    <w:gridCol w:w="879"/>
                    <w:gridCol w:w="869"/>
                    <w:gridCol w:w="871"/>
                    <w:gridCol w:w="869"/>
                    <w:gridCol w:w="869"/>
                    <w:gridCol w:w="871"/>
                    <w:gridCol w:w="869"/>
                    <w:gridCol w:w="871"/>
                    <w:gridCol w:w="869"/>
                  </w:tblGrid>
                  <w:tr>
                    <w:trPr>
                      <w:trHeight w:val="1337"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6" w:right="70"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67"/>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67"/>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6"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07"/>
                          <w:jc w:val="left"/>
                          <w:rPr>
                            <w:rFonts w:ascii="宋体" w:hAnsi="宋体" w:cs="宋体" w:eastAsia="宋体" w:hint="default"/>
                            <w:sz w:val="18"/>
                            <w:szCs w:val="18"/>
                          </w:rPr>
                        </w:pPr>
                        <w:r>
                          <w:rPr>
                            <w:rFonts w:ascii="宋体" w:hAnsi="宋体" w:cs="宋体" w:eastAsia="宋体" w:hint="default"/>
                            <w:sz w:val="18"/>
                            <w:szCs w:val="18"/>
                          </w:rPr>
                          <w:t>首次公开 发行股份</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35,112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2,513.36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37,044.71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17,162.84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48.88%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35,112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2,513.36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37,044.71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17,162.84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48.88%</w:t>
                        </w:r>
                      </w:p>
                    </w:tc>
                    <w:tc>
                      <w:tcPr>
                        <w:tcW w:w="869"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027"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年使用募集资金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2,513.36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万元（含使用超募资金投入研发中心综合楼项目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104.24 </w:t>
                        </w:r>
                        <w:r>
                          <w:rPr>
                            <w:rFonts w:ascii="宋体" w:hAnsi="宋体" w:cs="宋体" w:eastAsia="宋体" w:hint="default"/>
                            <w:sz w:val="18"/>
                            <w:szCs w:val="18"/>
                          </w:rPr>
                          <w:t>万元，使用超募资金永久性补充流</w:t>
                        </w:r>
                      </w:p>
                      <w:p>
                        <w:pPr>
                          <w:pStyle w:val="TableParagraph"/>
                          <w:spacing w:line="300" w:lineRule="auto" w:before="63"/>
                          <w:ind w:left="24" w:right="108"/>
                          <w:jc w:val="left"/>
                          <w:rPr>
                            <w:rFonts w:ascii="宋体" w:hAnsi="宋体" w:cs="宋体" w:eastAsia="宋体" w:hint="default"/>
                            <w:sz w:val="18"/>
                            <w:szCs w:val="18"/>
                          </w:rPr>
                        </w:pPr>
                        <w:r>
                          <w:rPr>
                            <w:rFonts w:ascii="宋体" w:hAnsi="宋体" w:cs="宋体" w:eastAsia="宋体" w:hint="default"/>
                            <w:sz w:val="18"/>
                            <w:szCs w:val="18"/>
                          </w:rPr>
                          <w:t>动资金</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2,409.12</w:t>
                        </w:r>
                        <w:r>
                          <w:rPr>
                            <w:rFonts w:ascii="Times New Roman" w:hAnsi="Times New Roman" w:cs="Times New Roman" w:eastAsia="Times New Roman" w:hint="default"/>
                            <w:spacing w:val="4"/>
                            <w:sz w:val="18"/>
                            <w:szCs w:val="18"/>
                          </w:rPr>
                          <w:t> </w:t>
                        </w:r>
                        <w:r>
                          <w:rPr>
                            <w:rFonts w:ascii="宋体" w:hAnsi="宋体" w:cs="宋体" w:eastAsia="宋体" w:hint="default"/>
                            <w:spacing w:val="-19"/>
                            <w:sz w:val="18"/>
                            <w:szCs w:val="18"/>
                          </w:rPr>
                          <w:t>万元）。截至</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日募集资金利息收入累计</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3,866.73</w:t>
                        </w:r>
                        <w:r>
                          <w:rPr>
                            <w:rFonts w:ascii="Times New Roman" w:hAnsi="Times New Roman" w:cs="Times New Roman" w:eastAsia="Times New Roman" w:hint="default"/>
                            <w:spacing w:val="4"/>
                            <w:sz w:val="18"/>
                            <w:szCs w:val="18"/>
                          </w:rPr>
                          <w:t> </w:t>
                        </w:r>
                        <w:r>
                          <w:rPr>
                            <w:rFonts w:ascii="宋体" w:hAnsi="宋体" w:cs="宋体" w:eastAsia="宋体" w:hint="default"/>
                            <w:spacing w:val="-2"/>
                            <w:sz w:val="18"/>
                            <w:szCs w:val="18"/>
                          </w:rPr>
                          <w:t>万元，累计使用募集资金</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37,044.71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 所有募集资金已使用完毕。</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94"/>
        <w:ind w:left="2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）募集资金承诺项目情况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2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1805"/>
        <w:gridCol w:w="792"/>
        <w:gridCol w:w="793"/>
        <w:gridCol w:w="794"/>
        <w:gridCol w:w="797"/>
        <w:gridCol w:w="800"/>
        <w:gridCol w:w="799"/>
        <w:gridCol w:w="797"/>
        <w:gridCol w:w="800"/>
        <w:gridCol w:w="799"/>
        <w:gridCol w:w="804"/>
      </w:tblGrid>
      <w:tr>
        <w:trPr>
          <w:trHeight w:val="1338" w:hRule="exact"/>
        </w:trPr>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538" w:right="87"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0"/>
              <w:ind w:left="31" w:right="29"/>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1" w:right="29"/>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38" w:lineRule="auto"/>
              <w:ind w:left="31"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33" w:right="31"/>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5" w:right="3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0"/>
              <w:ind w:left="36"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1"/>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5" w:right="3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36" w:right="31"/>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8" w:right="35"/>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1" w:hRule="exact"/>
        </w:trPr>
        <w:tc>
          <w:tcPr>
            <w:tcW w:w="978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340"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新一代高速公路收费 </w:t>
            </w:r>
            <w:r>
              <w:rPr>
                <w:rFonts w:ascii="宋体" w:hAnsi="宋体" w:cs="宋体" w:eastAsia="宋体" w:hint="default"/>
                <w:spacing w:val="-6"/>
                <w:sz w:val="18"/>
                <w:szCs w:val="18"/>
              </w:rPr>
              <w:t>综合业务平台研发、推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广及技术支持服务中 心项目</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3,578.00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1,278.00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1,245.25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97.44%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2,506.11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6"/>
                <w:sz w:val="18"/>
                <w:szCs w:val="18"/>
              </w:rPr>
              <w:t>智能配电板（柜）开发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及产业化项目</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3,139.00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139.85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139.85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9"/>
              <w:jc w:val="both"/>
              <w:rPr>
                <w:rFonts w:ascii="宋体" w:hAnsi="宋体" w:cs="宋体" w:eastAsia="宋体" w:hint="default"/>
                <w:sz w:val="18"/>
                <w:szCs w:val="18"/>
              </w:rPr>
            </w:pPr>
            <w:r>
              <w:rPr>
                <w:rFonts w:ascii="宋体" w:hAnsi="宋体" w:cs="宋体" w:eastAsia="宋体" w:hint="default"/>
                <w:sz w:val="18"/>
                <w:szCs w:val="18"/>
              </w:rPr>
              <w:t>智能交通系统视频交 通参数及事件检测器 研发及产业化项目</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2,530.00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1,230.00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1,190.90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96.82%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35.62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49"/>
              <w:jc w:val="left"/>
              <w:rPr>
                <w:rFonts w:ascii="宋体" w:hAnsi="宋体" w:cs="宋体" w:eastAsia="宋体" w:hint="default"/>
                <w:sz w:val="18"/>
                <w:szCs w:val="18"/>
              </w:rPr>
            </w:pPr>
            <w:r>
              <w:rPr>
                <w:rFonts w:ascii="宋体" w:hAnsi="宋体" w:cs="宋体" w:eastAsia="宋体" w:hint="default"/>
                <w:sz w:val="18"/>
                <w:szCs w:val="18"/>
              </w:rPr>
              <w:t>销售及技术支持网络 基地建设项目</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2,238.00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2,238.00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1,893.50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84.61%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研发中心综合楼项目</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2,999.15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2,999.15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5" w:footer="979" w:top="1060" w:bottom="1160" w:left="920" w:right="0"/>
        </w:sectPr>
      </w:pPr>
    </w:p>
    <w:p>
      <w:pPr>
        <w:spacing w:line="240" w:lineRule="auto" w:before="0"/>
        <w:rPr>
          <w:rFonts w:ascii="宋体" w:hAnsi="宋体" w:cs="宋体" w:eastAsia="宋体" w:hint="default"/>
          <w:sz w:val="20"/>
          <w:szCs w:val="20"/>
        </w:rPr>
      </w:pPr>
      <w:r>
        <w:rPr/>
        <w:pict>
          <v:shape style="position:absolute;margin-left:51pt;margin-top:71.999985pt;width:489.7pt;height:692.2pt;mso-position-horizontal-relative:page;mso-position-vertical-relative:page;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05"/>
                    <w:gridCol w:w="792"/>
                    <w:gridCol w:w="793"/>
                    <w:gridCol w:w="794"/>
                    <w:gridCol w:w="797"/>
                    <w:gridCol w:w="800"/>
                    <w:gridCol w:w="799"/>
                    <w:gridCol w:w="797"/>
                    <w:gridCol w:w="800"/>
                    <w:gridCol w:w="799"/>
                    <w:gridCol w:w="804"/>
                  </w:tblGrid>
                  <w:tr>
                    <w:trPr>
                      <w:trHeight w:val="1025"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49"/>
                          <w:jc w:val="left"/>
                          <w:rPr>
                            <w:rFonts w:ascii="宋体" w:hAnsi="宋体" w:cs="宋体" w:eastAsia="宋体" w:hint="default"/>
                            <w:sz w:val="18"/>
                            <w:szCs w:val="18"/>
                          </w:rPr>
                        </w:pPr>
                        <w:r>
                          <w:rPr>
                            <w:rFonts w:ascii="宋体" w:hAnsi="宋体" w:cs="宋体" w:eastAsia="宋体" w:hint="default"/>
                            <w:sz w:val="18"/>
                            <w:szCs w:val="18"/>
                          </w:rPr>
                          <w:t>吸收合并中海信息系 统有限公司</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3,600.00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3,600.00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11,485.00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11,485.00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w w:val="95"/>
                            <w:sz w:val="18"/>
                          </w:rPr>
                          <w:t>11,068.65</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w w:val="95"/>
                            <w:sz w:val="18"/>
                          </w:rPr>
                          <w:t>2,541.73</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978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7"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研发中心综合楼项目</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10,563.69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10,563.69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104.24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9,701.27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91.84%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归还银行贷款</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永久性补充流动资金</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3,000.00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暂时性补充流动资金</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11,000.00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49"/>
                          <w:jc w:val="left"/>
                          <w:rPr>
                            <w:rFonts w:ascii="宋体" w:hAnsi="宋体" w:cs="宋体" w:eastAsia="宋体" w:hint="default"/>
                            <w:sz w:val="18"/>
                            <w:szCs w:val="18"/>
                          </w:rPr>
                        </w:pPr>
                        <w:r>
                          <w:rPr>
                            <w:rFonts w:ascii="宋体" w:hAnsi="宋体" w:cs="宋体" w:eastAsia="宋体" w:hint="default"/>
                            <w:sz w:val="18"/>
                            <w:szCs w:val="18"/>
                          </w:rPr>
                          <w:t>归还暂时性补充流动 资金</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-11,000.0</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-11,000.0</w:t>
                        </w:r>
                      </w:p>
                      <w:p>
                        <w:pPr>
                          <w:pStyle w:val="TableParagraph"/>
                          <w:spacing w:line="240" w:lineRule="auto" w:before="103"/>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-11,000.0</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收购贵州新思维股份</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100.45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100.45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935.99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9"/>
                          <w:jc w:val="both"/>
                          <w:rPr>
                            <w:rFonts w:ascii="宋体" w:hAnsi="宋体" w:cs="宋体" w:eastAsia="宋体" w:hint="default"/>
                            <w:sz w:val="18"/>
                            <w:szCs w:val="18"/>
                          </w:rPr>
                        </w:pPr>
                        <w:r>
                          <w:rPr>
                            <w:rFonts w:ascii="宋体" w:hAnsi="宋体" w:cs="宋体" w:eastAsia="宋体" w:hint="default"/>
                            <w:sz w:val="18"/>
                            <w:szCs w:val="18"/>
                          </w:rPr>
                          <w:t>投资设立深圳一海通 全球供应链管理有限 公司</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49"/>
                          <w:jc w:val="left"/>
                          <w:rPr>
                            <w:rFonts w:ascii="宋体" w:hAnsi="宋体" w:cs="宋体" w:eastAsia="宋体" w:hint="default"/>
                            <w:sz w:val="18"/>
                            <w:szCs w:val="18"/>
                          </w:rPr>
                        </w:pPr>
                        <w:r>
                          <w:rPr>
                            <w:rFonts w:ascii="宋体" w:hAnsi="宋体" w:cs="宋体" w:eastAsia="宋体" w:hint="default"/>
                            <w:sz w:val="18"/>
                            <w:szCs w:val="18"/>
                          </w:rPr>
                          <w:t>吸收合并中海信息系 统有限公司</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1,558.12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1,558.12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1,558.12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49"/>
                          <w:jc w:val="left"/>
                          <w:rPr>
                            <w:rFonts w:ascii="宋体" w:hAnsi="宋体" w:cs="宋体" w:eastAsia="宋体" w:hint="default"/>
                            <w:sz w:val="18"/>
                            <w:szCs w:val="18"/>
                          </w:rPr>
                        </w:pPr>
                        <w:r>
                          <w:rPr>
                            <w:rFonts w:ascii="宋体" w:hAnsi="宋体" w:cs="宋体" w:eastAsia="宋体" w:hint="default"/>
                            <w:sz w:val="18"/>
                            <w:szCs w:val="18"/>
                          </w:rPr>
                          <w:t>支付股权收购项目部 分对价</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7,207.10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7,207.10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7,207.10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1,415.73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24,429.36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24,429.36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104.24</w:t>
                        </w:r>
                      </w:p>
                    </w:tc>
                    <w:tc>
                      <w:tcPr>
                        <w:tcW w:w="8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23,566.94</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2,351.72</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35,914.36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35,914.36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104.24</w:t>
                        </w:r>
                      </w:p>
                    </w:tc>
                    <w:tc>
                      <w:tcPr>
                        <w:tcW w:w="8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7"/>
                          <w:jc w:val="right"/>
                          <w:rPr>
                            <w:rFonts w:ascii="Times New Roman" w:hAnsi="Times New Roman" w:cs="Times New Roman" w:eastAsia="Times New Roman" w:hint="default"/>
                            <w:sz w:val="18"/>
                            <w:szCs w:val="18"/>
                          </w:rPr>
                        </w:pPr>
                        <w:r>
                          <w:rPr>
                            <w:rFonts w:ascii="Times New Roman"/>
                            <w:spacing w:val="-1"/>
                            <w:sz w:val="18"/>
                          </w:rPr>
                          <w:t>34,635.59</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4,893.45</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73" w:hRule="exact"/>
                    </w:trPr>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4" w:type="dxa"/>
                        <w:gridSpan w:val="10"/>
                        <w:vMerge w:val="restart"/>
                        <w:tcBorders>
                          <w:top w:val="single" w:sz="4" w:space="0" w:color="000000"/>
                          <w:left w:val="single" w:sz="10" w:space="0" w:color="D2D2D2"/>
                          <w:right w:val="single" w:sz="4" w:space="0" w:color="000000"/>
                        </w:tcBorders>
                      </w:tcPr>
                      <w:p>
                        <w:pPr>
                          <w:pStyle w:val="TableParagraph"/>
                          <w:spacing w:line="300" w:lineRule="auto" w:before="49"/>
                          <w:ind w:left="16" w:right="38"/>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、智能配电板（柜）开发及产业化项目：因外部市场环境发生重大变化及产业化生产场地落实困难 公司停止了</w:t>
                        </w:r>
                        <w:r>
                          <w:rPr>
                            <w:rFonts w:ascii="Times New Roman" w:hAnsi="Times New Roman" w:cs="Times New Roman" w:eastAsia="Times New Roman" w:hint="default"/>
                            <w:sz w:val="18"/>
                            <w:szCs w:val="18"/>
                          </w:rPr>
                          <w:t>“</w:t>
                        </w:r>
                        <w:r>
                          <w:rPr>
                            <w:rFonts w:ascii="宋体" w:hAnsi="宋体" w:cs="宋体" w:eastAsia="宋体" w:hint="default"/>
                            <w:sz w:val="18"/>
                            <w:szCs w:val="18"/>
                          </w:rPr>
                          <w:t>智能配电板（柜）开发及产业化项目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的建设。</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 四次临时股东大会审议通过，公司已停止建设</w:t>
                        </w:r>
                        <w:r>
                          <w:rPr>
                            <w:rFonts w:ascii="Times New Roman" w:hAnsi="Times New Roman" w:cs="Times New Roman" w:eastAsia="Times New Roman" w:hint="default"/>
                            <w:sz w:val="18"/>
                            <w:szCs w:val="18"/>
                          </w:rPr>
                          <w:t>“</w:t>
                        </w:r>
                        <w:r>
                          <w:rPr>
                            <w:rFonts w:ascii="宋体" w:hAnsi="宋体" w:cs="宋体" w:eastAsia="宋体" w:hint="default"/>
                            <w:sz w:val="18"/>
                            <w:szCs w:val="18"/>
                          </w:rPr>
                          <w:t>智能配电板（柜）开发及产业化项目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，并将该项目变 更为</w:t>
                        </w:r>
                        <w:r>
                          <w:rPr>
                            <w:rFonts w:ascii="Times New Roman" w:hAnsi="Times New Roman" w:cs="Times New Roman" w:eastAsia="Times New Roman" w:hint="default"/>
                            <w:sz w:val="18"/>
                            <w:szCs w:val="18"/>
                          </w:rPr>
                          <w:t>“</w:t>
                        </w:r>
                        <w:r>
                          <w:rPr>
                            <w:rFonts w:ascii="宋体" w:hAnsi="宋体" w:cs="宋体" w:eastAsia="宋体" w:hint="default"/>
                            <w:sz w:val="18"/>
                            <w:szCs w:val="18"/>
                          </w:rPr>
                          <w:t>研发中心综合楼项目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300" w:lineRule="auto" w:before="51"/>
                          <w:ind w:left="16" w:right="3"/>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、投资设立深圳一海通全球供应链管理有限公司：公司投资设立深圳一海通公司，</w:t>
                        </w:r>
                        <w:r>
                          <w:rPr>
                            <w:rFonts w:ascii="Times New Roman" w:hAnsi="Times New Roman" w:cs="Times New Roman" w:eastAsia="Times New Roman" w:hint="default"/>
                            <w:spacing w:val="-4"/>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r>
                          <w:rPr>
                            <w:rFonts w:ascii="宋体" w:hAnsi="宋体" w:cs="宋体" w:eastAsia="宋体" w:hint="default"/>
                            <w:spacing w:val="-81"/>
                            <w:sz w:val="18"/>
                            <w:szCs w:val="18"/>
                          </w:rPr>
                          <w:t> </w:t>
                        </w:r>
                        <w:r>
                          <w:rPr>
                            <w:rFonts w:ascii="宋体" w:hAnsi="宋体" w:cs="宋体" w:eastAsia="宋体" w:hint="default"/>
                            <w:sz w:val="18"/>
                            <w:szCs w:val="18"/>
                          </w:rPr>
                          <w:t>经公司第六届董事会第八次会议审议通过，公司将深圳一海通公司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股权转让给东方海外（国际）</w:t>
                        </w:r>
                      </w:p>
                    </w:tc>
                  </w:tr>
                  <w:tr>
                    <w:trPr>
                      <w:trHeight w:val="1016" w:hRule="exact"/>
                    </w:trPr>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974" w:type="dxa"/>
                        <w:gridSpan w:val="10"/>
                        <w:vMerge/>
                        <w:tcBorders>
                          <w:left w:val="single" w:sz="10" w:space="0" w:color="D2D2D2"/>
                          <w:right w:val="single" w:sz="4" w:space="0" w:color="000000"/>
                        </w:tcBorders>
                      </w:tcPr>
                      <w:p>
                        <w:pPr/>
                      </w:p>
                    </w:tc>
                  </w:tr>
                  <w:tr>
                    <w:trPr>
                      <w:trHeight w:val="475" w:hRule="exact"/>
                    </w:trPr>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4" w:type="dxa"/>
                        <w:gridSpan w:val="10"/>
                        <w:vMerge/>
                        <w:tcBorders>
                          <w:left w:val="single" w:sz="10" w:space="0" w:color="D2D2D2"/>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before="44"/>
        <w:ind w:left="0" w:right="1036"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before="44"/>
        <w:ind w:left="0" w:right="1030"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79" w:top="1060" w:bottom="116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804"/>
        <w:gridCol w:w="7974"/>
      </w:tblGrid>
      <w:tr>
        <w:trPr>
          <w:trHeight w:val="675" w:hRule="exact"/>
        </w:trPr>
        <w:tc>
          <w:tcPr>
            <w:tcW w:w="18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3" w:right="20"/>
              <w:jc w:val="left"/>
              <w:rPr>
                <w:rFonts w:ascii="宋体" w:hAnsi="宋体" w:cs="宋体" w:eastAsia="宋体" w:hint="default"/>
                <w:sz w:val="18"/>
                <w:szCs w:val="18"/>
              </w:rPr>
            </w:pPr>
            <w:r>
              <w:rPr>
                <w:rFonts w:ascii="宋体" w:hAnsi="宋体" w:cs="宋体" w:eastAsia="宋体" w:hint="default"/>
                <w:sz w:val="18"/>
                <w:szCs w:val="18"/>
              </w:rPr>
              <w:t>有限公司下属公司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Gold</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pacing w:val="-3"/>
                <w:sz w:val="18"/>
                <w:szCs w:val="18"/>
              </w:rPr>
              <w:t>Talent</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(HK)</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日，深圳一海通公司完成股东变更工商登</w:t>
            </w:r>
            <w:r>
              <w:rPr>
                <w:rFonts w:ascii="宋体" w:hAnsi="宋体" w:cs="宋体" w:eastAsia="宋体" w:hint="default"/>
                <w:w w:val="99"/>
                <w:sz w:val="18"/>
                <w:szCs w:val="18"/>
              </w:rPr>
              <w:t> </w:t>
            </w:r>
            <w:r>
              <w:rPr>
                <w:rFonts w:ascii="宋体" w:hAnsi="宋体" w:cs="宋体" w:eastAsia="宋体" w:hint="default"/>
                <w:sz w:val="18"/>
                <w:szCs w:val="18"/>
              </w:rPr>
              <w:t>记手续，变更完成后公司已不再持有其</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股权。报告期内，深圳一海通未达到预计效益。</w:t>
            </w:r>
          </w:p>
        </w:tc>
      </w:tr>
      <w:tr>
        <w:trPr>
          <w:trHeight w:val="1337" w:hRule="exact"/>
        </w:trPr>
        <w:tc>
          <w:tcPr>
            <w:tcW w:w="1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2" w:right="149"/>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97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智能配电板（柜）开发及产业化项目：因外部市场环境发生重大变化及产业化生产场地落实困难，公 司停止了</w:t>
            </w:r>
            <w:r>
              <w:rPr>
                <w:rFonts w:ascii="Times New Roman" w:hAnsi="Times New Roman" w:cs="Times New Roman" w:eastAsia="Times New Roman" w:hint="default"/>
                <w:sz w:val="18"/>
                <w:szCs w:val="18"/>
              </w:rPr>
              <w:t>“</w:t>
            </w:r>
            <w:r>
              <w:rPr>
                <w:rFonts w:ascii="宋体" w:hAnsi="宋体" w:cs="宋体" w:eastAsia="宋体" w:hint="default"/>
                <w:sz w:val="18"/>
                <w:szCs w:val="18"/>
              </w:rPr>
              <w:t>智能配电板（柜）开发及产业化项目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的建设。</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2011 </w:t>
            </w:r>
            <w:r>
              <w:rPr>
                <w:rFonts w:ascii="宋体" w:hAnsi="宋体" w:cs="宋体" w:eastAsia="宋体" w:hint="default"/>
                <w:sz w:val="18"/>
                <w:szCs w:val="18"/>
              </w:rPr>
              <w:t>年度第四 次临时股东大会审议通过，公司已停止建设</w:t>
            </w:r>
            <w:r>
              <w:rPr>
                <w:rFonts w:ascii="Times New Roman" w:hAnsi="Times New Roman" w:cs="Times New Roman" w:eastAsia="Times New Roman" w:hint="default"/>
                <w:sz w:val="18"/>
                <w:szCs w:val="18"/>
              </w:rPr>
              <w:t>“</w:t>
            </w:r>
            <w:r>
              <w:rPr>
                <w:rFonts w:ascii="宋体" w:hAnsi="宋体" w:cs="宋体" w:eastAsia="宋体" w:hint="default"/>
                <w:sz w:val="18"/>
                <w:szCs w:val="18"/>
              </w:rPr>
              <w:t>智能配电板（柜）开发及产业化项目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，并将该项目变更 为</w:t>
            </w:r>
            <w:r>
              <w:rPr>
                <w:rFonts w:ascii="Times New Roman" w:hAnsi="Times New Roman" w:cs="Times New Roman" w:eastAsia="Times New Roman" w:hint="default"/>
                <w:sz w:val="18"/>
                <w:szCs w:val="18"/>
              </w:rPr>
              <w:t>“</w:t>
            </w:r>
            <w:r>
              <w:rPr>
                <w:rFonts w:ascii="宋体" w:hAnsi="宋体" w:cs="宋体" w:eastAsia="宋体" w:hint="default"/>
                <w:sz w:val="18"/>
                <w:szCs w:val="18"/>
              </w:rPr>
              <w:t>研发中心综合楼项目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18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6"/>
                <w:sz w:val="18"/>
                <w:szCs w:val="18"/>
              </w:rPr>
              <w:t>超募资金的金额、用途</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及使用进展情况</w:t>
            </w:r>
          </w:p>
        </w:tc>
        <w:tc>
          <w:tcPr>
            <w:tcW w:w="7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1371" w:hRule="exact"/>
        </w:trPr>
        <w:tc>
          <w:tcPr>
            <w:tcW w:w="1804" w:type="dxa"/>
            <w:vMerge/>
            <w:tcBorders>
              <w:left w:val="single" w:sz="4" w:space="0" w:color="000000"/>
              <w:bottom w:val="single" w:sz="4" w:space="0" w:color="000000"/>
              <w:right w:val="single" w:sz="4" w:space="0" w:color="000000"/>
            </w:tcBorders>
            <w:shd w:val="clear" w:color="auto" w:fill="D2D2D2"/>
          </w:tcPr>
          <w:p>
            <w:pPr/>
          </w:p>
        </w:tc>
        <w:tc>
          <w:tcPr>
            <w:tcW w:w="7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日，经公司第三届董事会第二十二次会议审议通过，同意用超募资金归还银行贷款</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1,000 </w:t>
            </w:r>
            <w:r>
              <w:rPr>
                <w:rFonts w:ascii="宋体" w:hAnsi="宋体" w:cs="宋体" w:eastAsia="宋体" w:hint="default"/>
                <w:sz w:val="18"/>
                <w:szCs w:val="18"/>
              </w:rPr>
              <w:t>万元，永久性补充公司日常经营所需流动资金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 </w:t>
            </w:r>
            <w:r>
              <w:rPr>
                <w:rFonts w:ascii="宋体" w:hAnsi="宋体" w:cs="宋体" w:eastAsia="宋体" w:hint="default"/>
                <w:sz w:val="18"/>
                <w:szCs w:val="18"/>
              </w:rPr>
              <w:t>万元。上述事项于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月实施完成。</w:t>
            </w:r>
          </w:p>
          <w:p>
            <w:pPr>
              <w:pStyle w:val="TableParagraph"/>
              <w:spacing w:line="300" w:lineRule="auto" w:before="101"/>
              <w:ind w:left="23"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日，经公司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年度第四次临时股东大会审议通过，公司已停止建设</w:t>
            </w:r>
            <w:r>
              <w:rPr>
                <w:rFonts w:ascii="Times New Roman" w:hAnsi="Times New Roman" w:cs="Times New Roman" w:eastAsia="Times New Roman" w:hint="default"/>
                <w:sz w:val="18"/>
                <w:szCs w:val="18"/>
              </w:rPr>
              <w:t>“</w:t>
            </w:r>
            <w:r>
              <w:rPr>
                <w:rFonts w:ascii="宋体" w:hAnsi="宋体" w:cs="宋体" w:eastAsia="宋体" w:hint="default"/>
                <w:sz w:val="18"/>
                <w:szCs w:val="18"/>
              </w:rPr>
              <w:t>智能配电 </w:t>
            </w:r>
            <w:r>
              <w:rPr>
                <w:rFonts w:ascii="宋体" w:hAnsi="宋体" w:cs="宋体" w:eastAsia="宋体" w:hint="default"/>
                <w:spacing w:val="-2"/>
                <w:sz w:val="18"/>
                <w:szCs w:val="18"/>
              </w:rPr>
              <w:t>板（柜）开发及产业化项目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，并将该项目变更为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研发中心综合楼项目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研发中心综合楼项目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所需</w:t>
            </w:r>
            <w:r>
              <w:rPr>
                <w:rFonts w:ascii="宋体" w:hAnsi="宋体" w:cs="宋体" w:eastAsia="宋体" w:hint="default"/>
                <w:spacing w:val="-44"/>
                <w:sz w:val="18"/>
                <w:szCs w:val="18"/>
              </w:rPr>
              <w:t> </w:t>
            </w:r>
            <w:r>
              <w:rPr>
                <w:rFonts w:ascii="宋体" w:hAnsi="宋体" w:cs="宋体" w:eastAsia="宋体" w:hint="default"/>
                <w:sz w:val="18"/>
                <w:szCs w:val="18"/>
              </w:rPr>
              <w:t>资金来源为原</w:t>
            </w:r>
            <w:r>
              <w:rPr>
                <w:rFonts w:ascii="Times New Roman" w:hAnsi="Times New Roman" w:cs="Times New Roman" w:eastAsia="Times New Roman" w:hint="default"/>
                <w:sz w:val="18"/>
                <w:szCs w:val="18"/>
              </w:rPr>
              <w:t>“</w:t>
            </w:r>
            <w:r>
              <w:rPr>
                <w:rFonts w:ascii="宋体" w:hAnsi="宋体" w:cs="宋体" w:eastAsia="宋体" w:hint="default"/>
                <w:sz w:val="18"/>
                <w:szCs w:val="18"/>
              </w:rPr>
              <w:t>智能配电板（柜）开发及产业化项目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的募集资金余额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2,999.15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万元，以及超募资金约</w:t>
            </w:r>
          </w:p>
          <w:p>
            <w:pPr>
              <w:pStyle w:val="TableParagraph"/>
              <w:spacing w:line="300" w:lineRule="auto" w:before="13"/>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10,563.69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万元。上述事项计划到</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月完成，目前项目已完工并使用，全部募集资金投资项目 节余募集资金用于永久补充流动资金。</w:t>
            </w:r>
          </w:p>
          <w:p>
            <w:pPr>
              <w:pStyle w:val="TableParagraph"/>
              <w:spacing w:line="240" w:lineRule="auto" w:before="72"/>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日，经公司第四届董事会第二十次会议审议通过，同意用超募资金收购贵州新思</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维科技有限公司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股权。收购所用资金为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100.452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万元人民币，上述事项于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月实施完成。</w:t>
            </w:r>
          </w:p>
          <w:p>
            <w:pPr>
              <w:pStyle w:val="TableParagraph"/>
              <w:spacing w:line="240" w:lineRule="auto" w:before="10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日，经公司第四届董事会第二十二次会议审议通过，同意使用超募资金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暂时补充流动资金。上述款项于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日归还。</w:t>
            </w:r>
          </w:p>
          <w:p>
            <w:pPr>
              <w:pStyle w:val="TableParagraph"/>
              <w:spacing w:line="240" w:lineRule="auto" w:before="101"/>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日，经公司第四届董事会第三十二次会议审议通过，同意使用超募资金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4,000 </w:t>
            </w:r>
            <w:r>
              <w:rPr>
                <w:rFonts w:ascii="宋体" w:hAnsi="宋体" w:cs="宋体" w:eastAsia="宋体" w:hint="default"/>
                <w:sz w:val="18"/>
                <w:szCs w:val="18"/>
              </w:rPr>
              <w:t>万元</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暂时补充流动资金，使用期限不超过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个月。上述款项于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日归还。</w:t>
            </w:r>
          </w:p>
          <w:p>
            <w:pPr>
              <w:pStyle w:val="TableParagraph"/>
              <w:spacing w:line="240" w:lineRule="auto" w:before="104"/>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日，经公司第五届董事会第六次会议审议通过，同意使用超募资金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万元投资</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设立深圳一海通全球供应链管理有限公司。上述事项于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月实施完成。</w:t>
            </w:r>
          </w:p>
          <w:p>
            <w:pPr>
              <w:pStyle w:val="TableParagraph"/>
              <w:spacing w:line="300" w:lineRule="auto" w:before="103"/>
              <w:ind w:left="23" w:right="17"/>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日，经公司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年第一次临时股东大会审议通过，同意公司使用募集资金吸收合 并上海船舶运输科学研究所持有的中海信息系统有限公司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月，公司使用人民币 合计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5,158.12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其中募集资金合计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4,553.88 </w:t>
            </w:r>
            <w:r>
              <w:rPr>
                <w:rFonts w:ascii="宋体" w:hAnsi="宋体" w:cs="宋体" w:eastAsia="宋体" w:hint="default"/>
                <w:sz w:val="18"/>
                <w:szCs w:val="18"/>
              </w:rPr>
              <w:t>万元，利息收入合计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604.24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收购中海信息系统有 限公司</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股权。其中，变更</w:t>
            </w:r>
            <w:r>
              <w:rPr>
                <w:rFonts w:ascii="Times New Roman" w:hAnsi="Times New Roman" w:cs="Times New Roman" w:eastAsia="Times New Roman" w:hint="default"/>
                <w:sz w:val="18"/>
                <w:szCs w:val="18"/>
              </w:rPr>
              <w:t>“</w:t>
            </w:r>
            <w:r>
              <w:rPr>
                <w:rFonts w:ascii="宋体" w:hAnsi="宋体" w:cs="宋体" w:eastAsia="宋体" w:hint="default"/>
                <w:sz w:val="18"/>
                <w:szCs w:val="18"/>
              </w:rPr>
              <w:t>新一代高速公路收费综合业务平台研发、推广及技术支持服务中心项 </w:t>
            </w:r>
            <w:r>
              <w:rPr>
                <w:rFonts w:ascii="宋体" w:hAnsi="宋体" w:cs="宋体" w:eastAsia="宋体" w:hint="default"/>
                <w:spacing w:val="-1"/>
                <w:w w:val="100"/>
                <w:sz w:val="18"/>
                <w:szCs w:val="18"/>
              </w:rPr>
              <w:t>目</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资金</w:t>
            </w:r>
            <w:r>
              <w:rPr>
                <w:rFonts w:ascii="宋体" w:hAnsi="宋体" w:cs="宋体" w:eastAsia="宋体" w:hint="default"/>
                <w:spacing w:val="-39"/>
                <w:w w:val="100"/>
                <w:sz w:val="18"/>
                <w:szCs w:val="18"/>
              </w:rPr>
              <w:t> </w:t>
            </w:r>
            <w:r>
              <w:rPr>
                <w:rFonts w:ascii="Times New Roman" w:hAnsi="Times New Roman" w:cs="Times New Roman" w:eastAsia="Times New Roman" w:hint="default"/>
                <w:spacing w:val="-1"/>
                <w:sz w:val="18"/>
                <w:szCs w:val="18"/>
              </w:rPr>
              <w:t>2,600.00</w:t>
            </w:r>
            <w:r>
              <w:rPr>
                <w:rFonts w:ascii="Times New Roman" w:hAnsi="Times New Roman" w:cs="Times New Roman" w:eastAsia="Times New Roman" w:hint="default"/>
                <w:spacing w:val="7"/>
                <w:sz w:val="18"/>
                <w:szCs w:val="18"/>
              </w:rPr>
              <w:t> </w:t>
            </w:r>
            <w:r>
              <w:rPr>
                <w:rFonts w:ascii="宋体" w:hAnsi="宋体" w:cs="宋体" w:eastAsia="宋体" w:hint="default"/>
                <w:spacing w:val="-2"/>
                <w:sz w:val="18"/>
                <w:szCs w:val="18"/>
              </w:rPr>
              <w:t>万元（其中募集资金</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2,300</w:t>
            </w:r>
            <w:r>
              <w:rPr>
                <w:rFonts w:ascii="Times New Roman" w:hAnsi="Times New Roman" w:cs="Times New Roman" w:eastAsia="Times New Roman" w:hint="default"/>
                <w:spacing w:val="9"/>
                <w:sz w:val="18"/>
                <w:szCs w:val="18"/>
              </w:rPr>
              <w:t> </w:t>
            </w:r>
            <w:r>
              <w:rPr>
                <w:rFonts w:ascii="宋体" w:hAnsi="宋体" w:cs="宋体" w:eastAsia="宋体" w:hint="default"/>
                <w:spacing w:val="-2"/>
                <w:sz w:val="18"/>
                <w:szCs w:val="18"/>
              </w:rPr>
              <w:t>万元、利息收入</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300</w:t>
            </w:r>
            <w:r>
              <w:rPr>
                <w:rFonts w:ascii="Times New Roman" w:hAnsi="Times New Roman" w:cs="Times New Roman" w:eastAsia="Times New Roman" w:hint="default"/>
                <w:spacing w:val="7"/>
                <w:sz w:val="18"/>
                <w:szCs w:val="18"/>
              </w:rPr>
              <w:t> </w:t>
            </w:r>
            <w:r>
              <w:rPr>
                <w:rFonts w:ascii="宋体" w:hAnsi="宋体" w:cs="宋体" w:eastAsia="宋体" w:hint="default"/>
                <w:spacing w:val="-7"/>
                <w:w w:val="100"/>
                <w:sz w:val="18"/>
                <w:szCs w:val="18"/>
              </w:rPr>
              <w:t>万元），变更</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智能交通系统视频交通</w:t>
            </w:r>
          </w:p>
          <w:p>
            <w:pPr>
              <w:pStyle w:val="TableParagraph"/>
              <w:spacing w:line="240" w:lineRule="auto" w:before="13"/>
              <w:ind w:left="23" w:right="0"/>
              <w:jc w:val="both"/>
              <w:rPr>
                <w:rFonts w:ascii="宋体" w:hAnsi="宋体" w:cs="宋体" w:eastAsia="宋体" w:hint="default"/>
                <w:sz w:val="18"/>
                <w:szCs w:val="18"/>
              </w:rPr>
            </w:pPr>
            <w:r>
              <w:rPr>
                <w:rFonts w:ascii="宋体" w:hAnsi="宋体" w:cs="宋体" w:eastAsia="宋体" w:hint="default"/>
                <w:sz w:val="18"/>
                <w:szCs w:val="18"/>
              </w:rPr>
              <w:t>参数及事件监测器研发及产业化项目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1,500.00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万元（其中募集资金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1,300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万元、利息收入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pacing w:val="-29"/>
                <w:sz w:val="18"/>
                <w:szCs w:val="18"/>
              </w:rPr>
              <w:t>，</w:t>
            </w:r>
            <w:r>
              <w:rPr>
                <w:rFonts w:ascii="宋体" w:hAnsi="宋体" w:cs="宋体" w:eastAsia="宋体" w:hint="default"/>
                <w:sz w:val="18"/>
                <w:szCs w:val="18"/>
              </w:rPr>
              <w:t>使用</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销售及技术支持</w:t>
            </w:r>
            <w:r>
              <w:rPr>
                <w:rFonts w:ascii="宋体" w:hAnsi="宋体" w:cs="宋体" w:eastAsia="宋体" w:hint="default"/>
                <w:spacing w:val="2"/>
                <w:sz w:val="18"/>
                <w:szCs w:val="18"/>
              </w:rPr>
              <w:t>网</w:t>
            </w:r>
            <w:r>
              <w:rPr>
                <w:rFonts w:ascii="宋体" w:hAnsi="宋体" w:cs="宋体" w:eastAsia="宋体" w:hint="default"/>
                <w:sz w:val="18"/>
                <w:szCs w:val="18"/>
              </w:rPr>
              <w:t>络基地建设项</w:t>
            </w:r>
            <w:r>
              <w:rPr>
                <w:rFonts w:ascii="宋体" w:hAnsi="宋体" w:cs="宋体" w:eastAsia="宋体" w:hint="default"/>
                <w:spacing w:val="1"/>
                <w:sz w:val="18"/>
                <w:szCs w:val="18"/>
              </w:rPr>
              <w:t>目</w:t>
            </w:r>
            <w:r>
              <w:rPr>
                <w:rFonts w:ascii="Times New Roman" w:hAnsi="Times New Roman" w:cs="Times New Roman" w:eastAsia="Times New Roman" w:hint="default"/>
                <w:spacing w:val="-30"/>
                <w:w w:val="100"/>
                <w:sz w:val="18"/>
                <w:szCs w:val="18"/>
              </w:rPr>
              <w:t>”</w:t>
            </w:r>
            <w:r>
              <w:rPr>
                <w:rFonts w:ascii="宋体" w:hAnsi="宋体" w:cs="宋体" w:eastAsia="宋体" w:hint="default"/>
                <w:sz w:val="18"/>
                <w:szCs w:val="18"/>
              </w:rPr>
              <w:t>（已完成</w:t>
            </w:r>
            <w:r>
              <w:rPr>
                <w:rFonts w:ascii="宋体" w:hAnsi="宋体" w:cs="宋体" w:eastAsia="宋体" w:hint="default"/>
                <w:spacing w:val="-29"/>
                <w:sz w:val="18"/>
                <w:szCs w:val="18"/>
              </w:rPr>
              <w:t>）</w:t>
            </w:r>
            <w:r>
              <w:rPr>
                <w:rFonts w:ascii="宋体" w:hAnsi="宋体" w:cs="宋体" w:eastAsia="宋体" w:hint="default"/>
                <w:sz w:val="18"/>
                <w:szCs w:val="18"/>
              </w:rPr>
              <w:t>节余资金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r>
              <w:rPr>
                <w:rFonts w:ascii="宋体" w:hAnsi="宋体" w:cs="宋体" w:eastAsia="宋体" w:hint="default"/>
                <w:spacing w:val="-29"/>
                <w:sz w:val="18"/>
                <w:szCs w:val="18"/>
              </w:rPr>
              <w:t>元</w:t>
            </w:r>
            <w:r>
              <w:rPr>
                <w:rFonts w:ascii="宋体" w:hAnsi="宋体" w:cs="宋体" w:eastAsia="宋体" w:hint="default"/>
                <w:sz w:val="18"/>
                <w:szCs w:val="18"/>
              </w:rPr>
              <w:t>（其中募</w:t>
            </w:r>
            <w:r>
              <w:rPr>
                <w:rFonts w:ascii="宋体" w:hAnsi="宋体" w:cs="宋体" w:eastAsia="宋体" w:hint="default"/>
                <w:spacing w:val="-3"/>
                <w:sz w:val="18"/>
                <w:szCs w:val="18"/>
              </w:rPr>
              <w:t>集</w:t>
            </w:r>
            <w:r>
              <w:rPr>
                <w:rFonts w:ascii="宋体" w:hAnsi="宋体" w:cs="宋体" w:eastAsia="宋体" w:hint="default"/>
                <w:sz w:val="18"/>
                <w:szCs w:val="18"/>
              </w:rPr>
              <w:t>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0</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万元、利息收入</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94"/>
                <w:sz w:val="18"/>
                <w:szCs w:val="18"/>
              </w:rPr>
              <w:t>）</w:t>
            </w:r>
            <w:r>
              <w:rPr>
                <w:rFonts w:ascii="宋体" w:hAnsi="宋体" w:cs="宋体" w:eastAsia="宋体" w:hint="default"/>
                <w:sz w:val="18"/>
                <w:szCs w:val="18"/>
              </w:rPr>
              <w:t>，超募资金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万元。上</w:t>
            </w:r>
            <w:r>
              <w:rPr>
                <w:rFonts w:ascii="宋体" w:hAnsi="宋体" w:cs="宋体" w:eastAsia="宋体" w:hint="default"/>
                <w:spacing w:val="-3"/>
                <w:sz w:val="18"/>
                <w:szCs w:val="18"/>
              </w:rPr>
              <w:t>述</w:t>
            </w:r>
            <w:r>
              <w:rPr>
                <w:rFonts w:ascii="宋体" w:hAnsi="宋体" w:cs="宋体" w:eastAsia="宋体" w:hint="default"/>
                <w:sz w:val="18"/>
                <w:szCs w:val="18"/>
              </w:rPr>
              <w:t>事项于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年已完成。</w:t>
            </w:r>
          </w:p>
          <w:p>
            <w:pPr>
              <w:pStyle w:val="TableParagraph"/>
              <w:spacing w:line="240" w:lineRule="auto" w:before="102"/>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日，经公司第五届董事会第十三次会议审议通过，同意使用超募资金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 </w:t>
            </w:r>
            <w:r>
              <w:rPr>
                <w:rFonts w:ascii="宋体" w:hAnsi="宋体" w:cs="宋体" w:eastAsia="宋体" w:hint="default"/>
                <w:sz w:val="18"/>
                <w:szCs w:val="18"/>
              </w:rPr>
              <w:t>万元暂</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时补充流动资金，使用期限不超过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个月。上述款项于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日归还。</w:t>
            </w:r>
          </w:p>
          <w:p>
            <w:pPr>
              <w:pStyle w:val="TableParagraph"/>
              <w:spacing w:line="300" w:lineRule="auto" w:before="103"/>
              <w:ind w:left="23" w:right="26"/>
              <w:jc w:val="both"/>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日，经公司第五届董事会第十三次会议审议通过，同意</w:t>
            </w:r>
            <w:r>
              <w:rPr>
                <w:rFonts w:ascii="Times New Roman" w:hAnsi="Times New Roman" w:cs="Times New Roman" w:eastAsia="Times New Roman" w:hint="default"/>
                <w:sz w:val="18"/>
                <w:szCs w:val="18"/>
              </w:rPr>
              <w:t>“</w:t>
            </w:r>
            <w:r>
              <w:rPr>
                <w:rFonts w:ascii="宋体" w:hAnsi="宋体" w:cs="宋体" w:eastAsia="宋体" w:hint="default"/>
                <w:sz w:val="18"/>
                <w:szCs w:val="18"/>
              </w:rPr>
              <w:t>新一代高速公路收费综合 业务平台研发、推广及技术支持服务中心项目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智能交通系统视频参数及事件监测器研发及产业化 项目</w:t>
            </w:r>
            <w:r>
              <w:rPr>
                <w:rFonts w:ascii="Times New Roman" w:hAnsi="Times New Roman" w:cs="Times New Roman" w:eastAsia="Times New Roman" w:hint="default"/>
                <w:sz w:val="18"/>
                <w:szCs w:val="18"/>
              </w:rPr>
              <w:t>”</w:t>
            </w:r>
            <w:r>
              <w:rPr>
                <w:rFonts w:ascii="宋体" w:hAnsi="宋体" w:cs="宋体" w:eastAsia="宋体" w:hint="default"/>
                <w:sz w:val="18"/>
                <w:szCs w:val="18"/>
              </w:rPr>
              <w:t>建设完成，并将节余募集资金转入超募资金专用账户管理。上述事项于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月实施完成。</w:t>
            </w:r>
          </w:p>
          <w:p>
            <w:pPr>
              <w:pStyle w:val="TableParagraph"/>
              <w:spacing w:line="240" w:lineRule="auto" w:before="5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年第一次临时股东大会审议通过，同意公司使用超募资金（截</w:t>
            </w:r>
          </w:p>
          <w:p>
            <w:pPr>
              <w:pStyle w:val="TableParagraph"/>
              <w:spacing w:line="300" w:lineRule="auto" w:before="63"/>
              <w:ind w:left="23" w:right="-37"/>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71,859,900.55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元）用于支付公司收购中远网络（北京）有限公司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 中远网络物流信息科技有限公司</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股权、北京数字中远网络技术服务有限公司</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股权、中远网 络航海科技有限公司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股权、上海中远资讯科技有限公司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股权的部分对价。公司本次股权收 购项目应支付对价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155,774,201.67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元，资金来源为公司自有资金及超募资金。关于超募资金支付部分</w:t>
            </w:r>
          </w:p>
          <w:p>
            <w:pPr>
              <w:pStyle w:val="TableParagraph"/>
              <w:spacing w:line="240" w:lineRule="auto" w:before="13"/>
              <w:ind w:left="23" w:right="0"/>
              <w:jc w:val="both"/>
              <w:rPr>
                <w:rFonts w:ascii="宋体" w:hAnsi="宋体" w:cs="宋体" w:eastAsia="宋体" w:hint="default"/>
                <w:sz w:val="18"/>
                <w:szCs w:val="18"/>
              </w:rPr>
            </w:pPr>
            <w:r>
              <w:rPr>
                <w:rFonts w:ascii="宋体" w:hAnsi="宋体" w:cs="宋体" w:eastAsia="宋体" w:hint="default"/>
                <w:sz w:val="18"/>
                <w:szCs w:val="18"/>
              </w:rPr>
              <w:t>对价，公司于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月已使用超募资金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72,070,962.84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元（含利息）用于支付部分对价，上述事项</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月完成。</w:t>
            </w:r>
          </w:p>
        </w:tc>
      </w:tr>
    </w:tbl>
    <w:p>
      <w:pPr>
        <w:spacing w:after="0" w:line="240" w:lineRule="auto"/>
        <w:jc w:val="both"/>
        <w:rPr>
          <w:rFonts w:ascii="宋体" w:hAnsi="宋体" w:cs="宋体" w:eastAsia="宋体" w:hint="default"/>
          <w:sz w:val="18"/>
          <w:szCs w:val="18"/>
        </w:rPr>
        <w:sectPr>
          <w:pgSz w:w="11910" w:h="16840"/>
          <w:pgMar w:header="745" w:footer="979" w:top="1060" w:bottom="1160" w:left="920" w:right="0"/>
        </w:sectPr>
      </w:pPr>
    </w:p>
    <w:p>
      <w:pPr>
        <w:spacing w:line="240" w:lineRule="auto" w:before="0"/>
        <w:rPr>
          <w:rFonts w:ascii="Times New Roman" w:hAnsi="Times New Roman" w:cs="Times New Roman" w:eastAsia="Times New Roman" w:hint="default"/>
          <w:sz w:val="20"/>
          <w:szCs w:val="20"/>
        </w:rPr>
      </w:pPr>
      <w:r>
        <w:rPr/>
        <w:pict>
          <v:shape style="position:absolute;margin-left:51.060001pt;margin-top:71.999985pt;width:489.65pt;height:687.15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04"/>
                    <w:gridCol w:w="7974"/>
                  </w:tblGrid>
                  <w:tr>
                    <w:trPr>
                      <w:trHeight w:val="1611" w:hRule="exact"/>
                    </w:trPr>
                    <w:tc>
                      <w:tcPr>
                        <w:tcW w:w="18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3"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宋体" w:hAnsi="宋体" w:cs="宋体" w:eastAsia="宋体" w:hint="default"/>
                            <w:sz w:val="18"/>
                            <w:szCs w:val="18"/>
                          </w:rPr>
                          <w:t>月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日召开的第六届董事会第八次会议、第六届监事会第六次会议审议通过了《关 </w:t>
                        </w:r>
                        <w:r>
                          <w:rPr>
                            <w:rFonts w:ascii="宋体" w:hAnsi="宋体" w:cs="宋体" w:eastAsia="宋体" w:hint="default"/>
                            <w:spacing w:val="-3"/>
                            <w:sz w:val="18"/>
                            <w:szCs w:val="18"/>
                          </w:rPr>
                          <w:t>于全部募投项目结项并将节余募集资金及利息永久补充流动资金的议案》，公司首次公开发行股票募</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集资金投资项目目前已全部建设完成并达到预定可使用状态。公司董事会同意将全部募集资金投资项</w:t>
                        </w:r>
                        <w:r>
                          <w:rPr>
                            <w:rFonts w:ascii="宋体" w:hAnsi="宋体" w:cs="宋体" w:eastAsia="宋体" w:hint="default"/>
                            <w:sz w:val="18"/>
                            <w:szCs w:val="18"/>
                          </w:rPr>
                          <w:t> 目节余募集资金用于永久补充流动资金。截至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日，实际用于永久补充流动资金的结</w:t>
                        </w:r>
                      </w:p>
                      <w:p>
                        <w:pPr>
                          <w:pStyle w:val="TableParagraph"/>
                          <w:spacing w:line="240" w:lineRule="auto" w:before="3"/>
                          <w:ind w:left="23" w:right="0"/>
                          <w:jc w:val="both"/>
                          <w:rPr>
                            <w:rFonts w:ascii="宋体" w:hAnsi="宋体" w:cs="宋体" w:eastAsia="宋体" w:hint="default"/>
                            <w:sz w:val="18"/>
                            <w:szCs w:val="18"/>
                          </w:rPr>
                        </w:pPr>
                        <w:r>
                          <w:rPr>
                            <w:rFonts w:ascii="宋体" w:hAnsi="宋体" w:cs="宋体" w:eastAsia="宋体" w:hint="default"/>
                            <w:sz w:val="18"/>
                            <w:szCs w:val="18"/>
                          </w:rPr>
                          <w:t>余募集资金为</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3"/>
                            <w:sz w:val="18"/>
                            <w:szCs w:val="18"/>
                          </w:rPr>
                          <w:t>（</w:t>
                        </w:r>
                        <w:r>
                          <w:rPr>
                            <w:rFonts w:ascii="宋体" w:hAnsi="宋体" w:cs="宋体" w:eastAsia="宋体" w:hint="default"/>
                            <w:sz w:val="18"/>
                            <w:szCs w:val="18"/>
                          </w:rPr>
                          <w:t>含利息</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401" w:hRule="exact"/>
                    </w:trPr>
                    <w:tc>
                      <w:tcPr>
                        <w:tcW w:w="18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22" w:right="149"/>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1804" w:type="dxa"/>
                        <w:vMerge/>
                        <w:tcBorders>
                          <w:left w:val="single" w:sz="4" w:space="0" w:color="000000"/>
                          <w:right w:val="single" w:sz="4" w:space="0" w:color="000000"/>
                        </w:tcBorders>
                        <w:shd w:val="clear" w:color="auto" w:fill="D2D2D2"/>
                      </w:tcPr>
                      <w:p>
                        <w:pPr/>
                      </w:p>
                    </w:tc>
                    <w:tc>
                      <w:tcPr>
                        <w:tcW w:w="7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961" w:hRule="exact"/>
                    </w:trPr>
                    <w:tc>
                      <w:tcPr>
                        <w:tcW w:w="1804" w:type="dxa"/>
                        <w:vMerge/>
                        <w:tcBorders>
                          <w:left w:val="single" w:sz="4" w:space="0" w:color="000000"/>
                          <w:bottom w:val="single" w:sz="4" w:space="0" w:color="000000"/>
                          <w:right w:val="single" w:sz="4" w:space="0" w:color="000000"/>
                        </w:tcBorders>
                        <w:shd w:val="clear" w:color="auto" w:fill="D2D2D2"/>
                      </w:tcPr>
                      <w:p>
                        <w:pPr/>
                      </w:p>
                    </w:tc>
                    <w:tc>
                      <w:tcPr>
                        <w:tcW w:w="797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8"/>
                          <w:jc w:val="both"/>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39"/>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pacing w:val="-2"/>
                            <w:sz w:val="18"/>
                            <w:szCs w:val="18"/>
                          </w:rPr>
                          <w:t>年公司第四次临时股东大会审议通过，公司对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销售及技术支持网络基地建设项目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调整部分实</w:t>
                        </w:r>
                        <w:r>
                          <w:rPr>
                            <w:rFonts w:ascii="宋体" w:hAnsi="宋体" w:cs="宋体" w:eastAsia="宋体" w:hint="default"/>
                            <w:spacing w:val="-88"/>
                            <w:sz w:val="18"/>
                            <w:szCs w:val="18"/>
                          </w:rPr>
                          <w:t> </w:t>
                        </w:r>
                        <w:r>
                          <w:rPr>
                            <w:rFonts w:ascii="宋体" w:hAnsi="宋体" w:cs="宋体" w:eastAsia="宋体" w:hint="default"/>
                            <w:sz w:val="18"/>
                            <w:szCs w:val="18"/>
                          </w:rPr>
                          <w:t>施地点。具体情况如下：近几年来，湖北、山东、江西等省智能交通市场环境发生变化。结合公司业 务发展规划，为提高募集资金的使用效率，对部分实施地点进行调整：取消在湖北、山东、江西三地 区新建销售及技术支持网络基地。取消在广东省广州市新建销售及技术支持网络基地，变更为在广东 省东莞市和广西省南宁市新建销售及技术支持网络基地。本次项目的调整，没有改变该项目总投资计 划。</w:t>
                        </w:r>
                      </w:p>
                    </w:tc>
                  </w:tr>
                  <w:tr>
                    <w:trPr>
                      <w:trHeight w:val="403" w:hRule="exact"/>
                    </w:trPr>
                    <w:tc>
                      <w:tcPr>
                        <w:tcW w:w="18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0"/>
                          <w:ind w:left="22" w:right="149"/>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1804" w:type="dxa"/>
                        <w:vMerge/>
                        <w:tcBorders>
                          <w:left w:val="single" w:sz="4" w:space="0" w:color="000000"/>
                          <w:right w:val="single" w:sz="4" w:space="0" w:color="000000"/>
                        </w:tcBorders>
                        <w:shd w:val="clear" w:color="auto" w:fill="D2D2D2"/>
                      </w:tcPr>
                      <w:p>
                        <w:pPr/>
                      </w:p>
                    </w:tc>
                    <w:tc>
                      <w:tcPr>
                        <w:tcW w:w="7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2938" w:hRule="exact"/>
                    </w:trPr>
                    <w:tc>
                      <w:tcPr>
                        <w:tcW w:w="1804" w:type="dxa"/>
                        <w:vMerge/>
                        <w:tcBorders>
                          <w:left w:val="single" w:sz="4" w:space="0" w:color="000000"/>
                          <w:bottom w:val="single" w:sz="4" w:space="0" w:color="FFFFFF"/>
                          <w:right w:val="single" w:sz="4" w:space="0" w:color="000000"/>
                        </w:tcBorders>
                        <w:shd w:val="clear" w:color="auto" w:fill="D2D2D2"/>
                      </w:tcPr>
                      <w:p>
                        <w:pPr/>
                      </w:p>
                    </w:tc>
                    <w:tc>
                      <w:tcPr>
                        <w:tcW w:w="7974" w:type="dxa"/>
                        <w:tcBorders>
                          <w:top w:val="single" w:sz="4" w:space="0" w:color="000000"/>
                          <w:left w:val="single" w:sz="4" w:space="0" w:color="000000"/>
                          <w:bottom w:val="single" w:sz="4" w:space="0" w:color="FFFFFF"/>
                          <w:right w:val="single" w:sz="4" w:space="0" w:color="000000"/>
                        </w:tcBorders>
                      </w:tcPr>
                      <w:p>
                        <w:pPr>
                          <w:pStyle w:val="TableParagraph"/>
                          <w:spacing w:line="300" w:lineRule="auto" w:before="49"/>
                          <w:ind w:left="23" w:right="26"/>
                          <w:jc w:val="left"/>
                          <w:rPr>
                            <w:rFonts w:ascii="宋体" w:hAnsi="宋体" w:cs="宋体" w:eastAsia="宋体" w:hint="default"/>
                            <w:sz w:val="18"/>
                            <w:szCs w:val="18"/>
                          </w:rPr>
                        </w:pPr>
                        <w:r>
                          <w:rPr>
                            <w:rFonts w:ascii="Times New Roman" w:hAnsi="Times New Roman" w:cs="Times New Roman" w:eastAsia="Times New Roman" w:hint="default"/>
                            <w:spacing w:val="-21"/>
                            <w:sz w:val="18"/>
                            <w:szCs w:val="18"/>
                          </w:rPr>
                          <w:t>1</w:t>
                        </w:r>
                        <w:r>
                          <w:rPr>
                            <w:rFonts w:ascii="宋体" w:hAnsi="宋体" w:cs="宋体" w:eastAsia="宋体" w:hint="default"/>
                            <w:spacing w:val="-21"/>
                            <w:sz w:val="18"/>
                            <w:szCs w:val="18"/>
                          </w:rPr>
                          <w:t>、经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年公司第四次临时股东大会审议通过，公司停止建设</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智能配电板（柜）开发及产业化项目</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并将该项目变更为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研发中心综合楼项目</w:t>
                        </w:r>
                        <w:r>
                          <w:rPr>
                            <w:rFonts w:ascii="Times New Roman" w:hAnsi="Times New Roman" w:cs="Times New Roman" w:eastAsia="Times New Roman" w:hint="default"/>
                            <w:sz w:val="18"/>
                            <w:szCs w:val="18"/>
                          </w:rPr>
                          <w:t>”</w:t>
                        </w:r>
                        <w:r>
                          <w:rPr>
                            <w:rFonts w:ascii="宋体" w:hAnsi="宋体" w:cs="宋体" w:eastAsia="宋体" w:hint="default"/>
                            <w:sz w:val="18"/>
                            <w:szCs w:val="18"/>
                          </w:rPr>
                          <w:t>。根据该项目可行性研究报告测算，项目基本建设、设备购 置和研发、验证实验环境等建设总概算为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13,562.84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万元，项目所需资金来源为原</w:t>
                        </w:r>
                        <w:r>
                          <w:rPr>
                            <w:rFonts w:ascii="Times New Roman" w:hAnsi="Times New Roman" w:cs="Times New Roman" w:eastAsia="Times New Roman" w:hint="default"/>
                            <w:sz w:val="18"/>
                            <w:szCs w:val="18"/>
                          </w:rPr>
                          <w:t>“</w:t>
                        </w:r>
                        <w:r>
                          <w:rPr>
                            <w:rFonts w:ascii="宋体" w:hAnsi="宋体" w:cs="宋体" w:eastAsia="宋体" w:hint="default"/>
                            <w:sz w:val="18"/>
                            <w:szCs w:val="18"/>
                          </w:rPr>
                          <w:t>智能配电板（柜）</w:t>
                        </w:r>
                      </w:p>
                      <w:p>
                        <w:pPr>
                          <w:pStyle w:val="TableParagraph"/>
                          <w:spacing w:line="240" w:lineRule="auto" w:before="13"/>
                          <w:ind w:left="23" w:right="0"/>
                          <w:jc w:val="both"/>
                          <w:rPr>
                            <w:rFonts w:ascii="宋体" w:hAnsi="宋体" w:cs="宋体" w:eastAsia="宋体" w:hint="default"/>
                            <w:sz w:val="18"/>
                            <w:szCs w:val="18"/>
                          </w:rPr>
                        </w:pPr>
                        <w:r>
                          <w:rPr>
                            <w:rFonts w:ascii="宋体" w:hAnsi="宋体" w:cs="宋体" w:eastAsia="宋体" w:hint="default"/>
                            <w:sz w:val="18"/>
                            <w:szCs w:val="18"/>
                          </w:rPr>
                          <w:t>开发及产业化项目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的募投资金余额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2,999.15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万元，以及公司上市的超募资金约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10,563.69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314" w:lineRule="auto" w:before="104"/>
                          <w:ind w:left="23"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年公司第四次临时股东大会审议通过，公司对</w:t>
                        </w:r>
                        <w:r>
                          <w:rPr>
                            <w:rFonts w:ascii="Times New Roman" w:hAnsi="Times New Roman" w:cs="Times New Roman" w:eastAsia="Times New Roman" w:hint="default"/>
                            <w:sz w:val="18"/>
                            <w:szCs w:val="18"/>
                          </w:rPr>
                          <w:t>“</w:t>
                        </w:r>
                        <w:r>
                          <w:rPr>
                            <w:rFonts w:ascii="宋体" w:hAnsi="宋体" w:cs="宋体" w:eastAsia="宋体" w:hint="default"/>
                            <w:sz w:val="18"/>
                            <w:szCs w:val="18"/>
                          </w:rPr>
                          <w:t>销售及技术支持网络基地建设项目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变更部 分基地建设实施方式。具体情况如下：根据公司在西南地区的发展需要以及重庆市软件人才的优势， 公司拟依托重庆基地建设公司重庆软件研发基地，以服务西南地区高速公路收费、监控软件市场。由 此公司将取消成都办事处办公用房的购置计划，变更为租赁办公用房。同时将重庆和成都的购房资金 合并使用。</w:t>
                        </w:r>
                      </w:p>
                    </w:tc>
                  </w:tr>
                  <w:tr>
                    <w:trPr>
                      <w:trHeight w:val="403" w:hRule="exact"/>
                    </w:trPr>
                    <w:tc>
                      <w:tcPr>
                        <w:tcW w:w="1804"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22" w:right="149"/>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97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804" w:type="dxa"/>
                        <w:vMerge/>
                        <w:tcBorders>
                          <w:left w:val="single" w:sz="4" w:space="0" w:color="000000"/>
                          <w:bottom w:val="single" w:sz="4" w:space="0" w:color="000000"/>
                          <w:right w:val="single" w:sz="4" w:space="0" w:color="000000"/>
                        </w:tcBorders>
                        <w:shd w:val="clear" w:color="auto" w:fill="D2D2D2"/>
                      </w:tcPr>
                      <w:p>
                        <w:pPr/>
                      </w:p>
                    </w:tc>
                    <w:tc>
                      <w:tcPr>
                        <w:tcW w:w="79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2" w:right="149"/>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043" w:hRule="exact"/>
                    </w:trPr>
                    <w:tc>
                      <w:tcPr>
                        <w:tcW w:w="1804" w:type="dxa"/>
                        <w:vMerge/>
                        <w:tcBorders>
                          <w:left w:val="single" w:sz="4" w:space="0" w:color="000000"/>
                          <w:bottom w:val="single" w:sz="4" w:space="0" w:color="000000"/>
                          <w:right w:val="single" w:sz="4" w:space="0" w:color="000000"/>
                        </w:tcBorders>
                        <w:shd w:val="clear" w:color="auto" w:fill="D2D2D2"/>
                      </w:tcPr>
                      <w:p>
                        <w:pPr/>
                      </w:p>
                    </w:tc>
                    <w:tc>
                      <w:tcPr>
                        <w:tcW w:w="7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日，经公司第四届董事会第二十二次会议审议通过，同意用超募资金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万元暂</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时补充流动资金，使用期限不超过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个月。上述款项于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日归还。</w:t>
                        </w:r>
                      </w:p>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日，经公司第四届董事会第三十二次会议审议通过，同意用超募资金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 </w:t>
                        </w:r>
                        <w:r>
                          <w:rPr>
                            <w:rFonts w:ascii="宋体" w:hAnsi="宋体" w:cs="宋体" w:eastAsia="宋体" w:hint="default"/>
                            <w:sz w:val="18"/>
                            <w:szCs w:val="18"/>
                          </w:rPr>
                          <w:t>万元暂</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时补充流动资金，使用期限不超过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个月。上述款项于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日归还。</w:t>
                        </w:r>
                      </w:p>
                      <w:p>
                        <w:pPr>
                          <w:pStyle w:val="TableParagraph"/>
                          <w:spacing w:line="240" w:lineRule="auto" w:before="10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日，经公司第五届董事会第十三次会议审议通过，同意使用超募资金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 </w:t>
                        </w:r>
                        <w:r>
                          <w:rPr>
                            <w:rFonts w:ascii="宋体" w:hAnsi="宋体" w:cs="宋体" w:eastAsia="宋体" w:hint="default"/>
                            <w:sz w:val="18"/>
                            <w:szCs w:val="18"/>
                          </w:rPr>
                          <w:t>万元暂</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时补充流动资金，使用期限不超过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个月。上述款项于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日归还。</w:t>
                        </w:r>
                      </w:p>
                    </w:tc>
                  </w:tr>
                  <w:tr>
                    <w:trPr>
                      <w:trHeight w:val="401" w:hRule="exact"/>
                    </w:trPr>
                    <w:tc>
                      <w:tcPr>
                        <w:tcW w:w="18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14" w:lineRule="auto"/>
                          <w:ind w:left="22" w:right="149"/>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64" w:hRule="exact"/>
                    </w:trPr>
                    <w:tc>
                      <w:tcPr>
                        <w:tcW w:w="1804" w:type="dxa"/>
                        <w:vMerge/>
                        <w:tcBorders>
                          <w:left w:val="single" w:sz="4" w:space="0" w:color="000000"/>
                          <w:bottom w:val="single" w:sz="4" w:space="0" w:color="000000"/>
                          <w:right w:val="single" w:sz="4" w:space="0" w:color="000000"/>
                        </w:tcBorders>
                        <w:shd w:val="clear" w:color="auto" w:fill="D2D2D2"/>
                      </w:tcPr>
                      <w:p>
                        <w:pPr/>
                      </w:p>
                    </w:tc>
                    <w:tc>
                      <w:tcPr>
                        <w:tcW w:w="797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3" w:right="18"/>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日，经公司第五届董事会第十三次会议审议通过，同意</w:t>
                        </w:r>
                        <w:r>
                          <w:rPr>
                            <w:rFonts w:ascii="Times New Roman" w:hAnsi="Times New Roman" w:cs="Times New Roman" w:eastAsia="Times New Roman" w:hint="default"/>
                            <w:sz w:val="18"/>
                            <w:szCs w:val="18"/>
                          </w:rPr>
                          <w:t>“</w:t>
                        </w:r>
                        <w:r>
                          <w:rPr>
                            <w:rFonts w:ascii="宋体" w:hAnsi="宋体" w:cs="宋体" w:eastAsia="宋体" w:hint="default"/>
                            <w:sz w:val="18"/>
                            <w:szCs w:val="18"/>
                          </w:rPr>
                          <w:t>新一代高速公路收费综合 业务平台研发、推广及技术支持服务中心项目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智能交通系统视频参数及事件监测器研发及产业化 项目</w:t>
                        </w:r>
                        <w:r>
                          <w:rPr>
                            <w:rFonts w:ascii="Times New Roman" w:hAnsi="Times New Roman" w:cs="Times New Roman" w:eastAsia="Times New Roman" w:hint="default"/>
                            <w:sz w:val="18"/>
                            <w:szCs w:val="18"/>
                          </w:rPr>
                          <w:t>”</w:t>
                        </w:r>
                        <w:r>
                          <w:rPr>
                            <w:rFonts w:ascii="宋体" w:hAnsi="宋体" w:cs="宋体" w:eastAsia="宋体" w:hint="default"/>
                            <w:sz w:val="18"/>
                            <w:szCs w:val="18"/>
                          </w:rPr>
                          <w:t>建设完成，并将节余募集资金合计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187.72 </w:t>
                        </w:r>
                        <w:r>
                          <w:rPr>
                            <w:rFonts w:ascii="宋体" w:hAnsi="宋体" w:cs="宋体" w:eastAsia="宋体" w:hint="default"/>
                            <w:sz w:val="18"/>
                            <w:szCs w:val="18"/>
                          </w:rPr>
                          <w:t>万元转入超募资金用账户管理。在上述募投项目实施 建设过程中，公司本着谨慎节约的原则，在充分考虑项目配置的先进性、兼容性、合理性、实用性的 基础上，尽量减少募投成本，经济、合理地使用募集资金，一定程度上节约了募集资金。</w:t>
                        </w:r>
                      </w:p>
                      <w:p>
                        <w:pPr>
                          <w:pStyle w:val="TableParagraph"/>
                          <w:spacing w:line="240" w:lineRule="auto" w:before="68"/>
                          <w:ind w:left="23" w:right="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宋体" w:hAnsi="宋体" w:cs="宋体" w:eastAsia="宋体" w:hint="default"/>
                            <w:sz w:val="18"/>
                            <w:szCs w:val="18"/>
                          </w:rPr>
                          <w:t>月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日召开的第六届董事会第八次会议、第六届监事会第六次会议审议通过了《关于</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4"/>
          <w:szCs w:val="24"/>
        </w:rPr>
      </w:pPr>
    </w:p>
    <w:p>
      <w:pPr>
        <w:spacing w:before="44"/>
        <w:ind w:left="0" w:right="1035"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79" w:top="1060" w:bottom="1160" w:left="920" w:right="0"/>
        </w:sectPr>
      </w:pPr>
    </w:p>
    <w:p>
      <w:pPr>
        <w:spacing w:line="240" w:lineRule="auto" w:before="6"/>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1804"/>
        <w:gridCol w:w="7974"/>
      </w:tblGrid>
      <w:tr>
        <w:trPr>
          <w:trHeight w:val="1923" w:hRule="exact"/>
        </w:trPr>
        <w:tc>
          <w:tcPr>
            <w:tcW w:w="18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pacing w:val="-3"/>
                <w:sz w:val="18"/>
                <w:szCs w:val="18"/>
              </w:rPr>
              <w:t>全部募投项目结项并将节余募集资金及利息永久补充流动资金的议案》，公司首次公开发行股票募集</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资金投资项目目前已全部建设完成并达到预定可使用状态。公司董事会同意将全部募集资金投资项目</w:t>
            </w:r>
            <w:r>
              <w:rPr>
                <w:rFonts w:ascii="宋体" w:hAnsi="宋体" w:cs="宋体" w:eastAsia="宋体" w:hint="default"/>
                <w:sz w:val="18"/>
                <w:szCs w:val="18"/>
              </w:rPr>
              <w:t> 节余募集资金 </w:t>
            </w:r>
            <w:r>
              <w:rPr>
                <w:rFonts w:ascii="Times New Roman" w:hAnsi="Times New Roman" w:cs="Times New Roman" w:eastAsia="Times New Roman" w:hint="default"/>
                <w:sz w:val="18"/>
                <w:szCs w:val="18"/>
              </w:rPr>
              <w:t>2,389.59</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万元（含利息，实际金额以资金转出当日专户余额为准）用于永久补充流动</w:t>
            </w:r>
          </w:p>
          <w:p>
            <w:pPr>
              <w:pStyle w:val="TableParagraph"/>
              <w:spacing w:line="309" w:lineRule="auto"/>
              <w:ind w:left="23" w:right="105"/>
              <w:jc w:val="both"/>
              <w:rPr>
                <w:rFonts w:ascii="宋体" w:hAnsi="宋体" w:cs="宋体" w:eastAsia="宋体" w:hint="default"/>
                <w:sz w:val="18"/>
                <w:szCs w:val="18"/>
              </w:rPr>
            </w:pPr>
            <w:r>
              <w:rPr>
                <w:rFonts w:ascii="宋体" w:hAnsi="宋体" w:cs="宋体" w:eastAsia="宋体" w:hint="default"/>
                <w:sz w:val="18"/>
                <w:szCs w:val="18"/>
              </w:rPr>
              <w:t>资金。截至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日，实际用于永久补充流动资金的结余募集资金为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2,409.12 </w:t>
            </w:r>
            <w:r>
              <w:rPr>
                <w:rFonts w:ascii="宋体" w:hAnsi="宋体" w:cs="宋体" w:eastAsia="宋体" w:hint="default"/>
                <w:sz w:val="18"/>
                <w:szCs w:val="18"/>
              </w:rPr>
              <w:t>万元（含利 </w:t>
            </w:r>
            <w:r>
              <w:rPr>
                <w:rFonts w:ascii="宋体" w:hAnsi="宋体" w:cs="宋体" w:eastAsia="宋体" w:hint="default"/>
                <w:spacing w:val="-3"/>
                <w:sz w:val="18"/>
                <w:szCs w:val="18"/>
              </w:rPr>
              <w:t>息）。在以往募投项目实施建设中，公司始终秉承着谨慎性原则，充分评估项目实施方案，合理规划</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资金使用流向，使得募集资金能够更高效、更合理的使用，从而一定程度上节约了募集资金。</w:t>
            </w:r>
          </w:p>
        </w:tc>
      </w:tr>
      <w:tr>
        <w:trPr>
          <w:trHeight w:val="713" w:hRule="exact"/>
        </w:trPr>
        <w:tc>
          <w:tcPr>
            <w:tcW w:w="1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9"/>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报告期末，所有募集资金均已使用完毕。</w:t>
            </w:r>
          </w:p>
        </w:tc>
      </w:tr>
      <w:tr>
        <w:trPr>
          <w:trHeight w:val="1028" w:hRule="exact"/>
        </w:trPr>
        <w:tc>
          <w:tcPr>
            <w:tcW w:w="1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49"/>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spacing w:before="36"/>
        <w:ind w:left="2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）募集资金变更项目情况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2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958"/>
        <w:gridCol w:w="958"/>
        <w:gridCol w:w="958"/>
        <w:gridCol w:w="958"/>
        <w:gridCol w:w="958"/>
        <w:gridCol w:w="956"/>
        <w:gridCol w:w="958"/>
        <w:gridCol w:w="955"/>
        <w:gridCol w:w="958"/>
        <w:gridCol w:w="958"/>
      </w:tblGrid>
      <w:tr>
        <w:trPr>
          <w:trHeight w:val="1337"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384" w:right="22" w:hanging="361"/>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3"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3"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04"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339"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22"/>
              <w:jc w:val="left"/>
              <w:rPr>
                <w:rFonts w:ascii="宋体" w:hAnsi="宋体" w:cs="宋体" w:eastAsia="宋体" w:hint="default"/>
                <w:sz w:val="18"/>
                <w:szCs w:val="18"/>
              </w:rPr>
            </w:pPr>
            <w:r>
              <w:rPr>
                <w:rFonts w:ascii="宋体" w:hAnsi="宋体" w:cs="宋体" w:eastAsia="宋体" w:hint="default"/>
                <w:sz w:val="18"/>
                <w:szCs w:val="18"/>
              </w:rPr>
              <w:t>研发中心综 合楼项目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智能配电板</w:t>
            </w:r>
          </w:p>
          <w:p>
            <w:pPr>
              <w:pStyle w:val="TableParagraph"/>
              <w:spacing w:line="316" w:lineRule="auto" w:before="76"/>
              <w:ind w:left="24" w:right="23"/>
              <w:jc w:val="both"/>
              <w:rPr>
                <w:rFonts w:ascii="宋体" w:hAnsi="宋体" w:cs="宋体" w:eastAsia="宋体" w:hint="default"/>
                <w:sz w:val="18"/>
                <w:szCs w:val="18"/>
              </w:rPr>
            </w:pPr>
            <w:r>
              <w:rPr>
                <w:rFonts w:ascii="宋体" w:hAnsi="宋体" w:cs="宋体" w:eastAsia="宋体" w:hint="default"/>
                <w:sz w:val="18"/>
                <w:szCs w:val="18"/>
              </w:rPr>
              <w:t>（柜）开发 及产业化项 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13,562.84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104.24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12,700.42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93.64%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27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both"/>
              <w:rPr>
                <w:rFonts w:ascii="宋体" w:hAnsi="宋体" w:cs="宋体" w:eastAsia="宋体" w:hint="default"/>
                <w:sz w:val="18"/>
                <w:szCs w:val="18"/>
              </w:rPr>
            </w:pPr>
            <w:r>
              <w:rPr>
                <w:rFonts w:ascii="宋体" w:hAnsi="宋体" w:cs="宋体" w:eastAsia="宋体" w:hint="default"/>
                <w:sz w:val="18"/>
                <w:szCs w:val="18"/>
              </w:rPr>
              <w:t>新一代高速 公路收费综 合业务平台 研发、推广 及技术支持 服务中心项 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新一代高速 公路收费综 合业务平台 研发、推广 及技术支持 服务中心项 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1,245.25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97.44%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2,506.11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961"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智能交通系 统视频交通 参数及事件 检测器研发 及产业化项 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智能交通系 统视频交通 参数及事件 检测器研发 及产业化项 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1,230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1,190.9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96.82%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35.62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both"/>
              <w:rPr>
                <w:rFonts w:ascii="宋体" w:hAnsi="宋体" w:cs="宋体" w:eastAsia="宋体" w:hint="default"/>
                <w:sz w:val="18"/>
                <w:szCs w:val="18"/>
              </w:rPr>
            </w:pPr>
            <w:r>
              <w:rPr>
                <w:rFonts w:ascii="宋体" w:hAnsi="宋体" w:cs="宋体" w:eastAsia="宋体" w:hint="default"/>
                <w:sz w:val="18"/>
                <w:szCs w:val="18"/>
              </w:rPr>
              <w:t>销售及技术 支持网络基 地建设项目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3"/>
              <w:jc w:val="both"/>
              <w:rPr>
                <w:rFonts w:ascii="宋体" w:hAnsi="宋体" w:cs="宋体" w:eastAsia="宋体" w:hint="default"/>
                <w:sz w:val="18"/>
                <w:szCs w:val="18"/>
              </w:rPr>
            </w:pPr>
            <w:r>
              <w:rPr>
                <w:rFonts w:ascii="宋体" w:hAnsi="宋体" w:cs="宋体" w:eastAsia="宋体" w:hint="default"/>
                <w:sz w:val="18"/>
                <w:szCs w:val="18"/>
              </w:rPr>
              <w:t>销售及技术 支持网络基 地建设项目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2,238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1,893.5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84.61%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8"/>
        <w:gridCol w:w="958"/>
        <w:gridCol w:w="958"/>
        <w:gridCol w:w="956"/>
        <w:gridCol w:w="958"/>
        <w:gridCol w:w="955"/>
        <w:gridCol w:w="958"/>
        <w:gridCol w:w="958"/>
      </w:tblGrid>
      <w:tr>
        <w:trPr>
          <w:trHeight w:val="3834" w:hRule="exact"/>
        </w:trPr>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22"/>
              <w:jc w:val="both"/>
              <w:rPr>
                <w:rFonts w:ascii="宋体" w:hAnsi="宋体" w:cs="宋体" w:eastAsia="宋体" w:hint="default"/>
                <w:sz w:val="18"/>
                <w:szCs w:val="18"/>
              </w:rPr>
            </w:pPr>
            <w:r>
              <w:rPr>
                <w:rFonts w:ascii="宋体" w:hAnsi="宋体" w:cs="宋体" w:eastAsia="宋体" w:hint="default"/>
                <w:sz w:val="18"/>
                <w:szCs w:val="18"/>
              </w:rPr>
              <w:t>吸收合并中 海信息系统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新一代高速 公路收费综 合业务平台 研发、推广 及技术支持 服务中心项 目；智能交 通系统视频 交通参数及 事件检测器 研发及产业 化项目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w w:val="95"/>
                <w:sz w:val="18"/>
              </w:rPr>
              <w:t>5,158.12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w w:val="95"/>
                <w:sz w:val="18"/>
              </w:rPr>
              <w:t>5,158.12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78" w:right="0"/>
              <w:jc w:val="left"/>
              <w:rPr>
                <w:rFonts w:ascii="Times New Roman" w:hAnsi="Times New Roman" w:cs="Times New Roman" w:eastAsia="Times New Roman" w:hint="default"/>
                <w:sz w:val="18"/>
                <w:szCs w:val="18"/>
              </w:rPr>
            </w:pPr>
            <w:r>
              <w:rPr>
                <w:rFonts w:ascii="Times New Roman"/>
                <w:sz w:val="18"/>
              </w:rPr>
              <w:t>100.00%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9"/>
              <w:jc w:val="righ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383"/>
              <w:jc w:val="righ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23,466.96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104.24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22,188.19</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w w:val="95"/>
                <w:sz w:val="18"/>
              </w:rPr>
              <w:t>2,541.73</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413"/>
              <w:jc w:val="right"/>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7971"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9"/>
              <w:ind w:left="22" w:right="24"/>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年公司第四次临时股东大会审议通过，公司停止建设</w:t>
            </w:r>
            <w:r>
              <w:rPr>
                <w:rFonts w:ascii="Times New Roman" w:hAnsi="Times New Roman" w:cs="Times New Roman" w:eastAsia="Times New Roman" w:hint="default"/>
                <w:sz w:val="18"/>
                <w:szCs w:val="18"/>
              </w:rPr>
              <w:t>“</w:t>
            </w:r>
            <w:r>
              <w:rPr>
                <w:rFonts w:ascii="宋体" w:hAnsi="宋体" w:cs="宋体" w:eastAsia="宋体" w:hint="default"/>
                <w:sz w:val="18"/>
                <w:szCs w:val="18"/>
              </w:rPr>
              <w:t>智能配电板（柜） </w:t>
            </w:r>
            <w:r>
              <w:rPr>
                <w:rFonts w:ascii="宋体" w:hAnsi="宋体" w:cs="宋体" w:eastAsia="宋体" w:hint="default"/>
                <w:spacing w:val="-3"/>
                <w:sz w:val="18"/>
                <w:szCs w:val="18"/>
              </w:rPr>
              <w:t>开发及产业化项目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，并将该项目变更为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研发中心综合楼项目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。根据该项目可行性研</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8"/>
                <w:sz w:val="18"/>
                <w:szCs w:val="18"/>
              </w:rPr>
              <w:t>究报告测算，项目基本建设、设备购置和研发、验证实验环境等建设总概算为</w:t>
            </w:r>
            <w:r>
              <w:rPr>
                <w:rFonts w:ascii="宋体" w:hAnsi="宋体" w:cs="宋体" w:eastAsia="宋体" w:hint="default"/>
                <w:spacing w:val="-31"/>
                <w:sz w:val="18"/>
                <w:szCs w:val="18"/>
              </w:rPr>
              <w:t> </w:t>
            </w:r>
            <w:r>
              <w:rPr>
                <w:rFonts w:ascii="Times New Roman" w:hAnsi="Times New Roman" w:cs="Times New Roman" w:eastAsia="Times New Roman" w:hint="default"/>
                <w:spacing w:val="-1"/>
                <w:sz w:val="18"/>
                <w:szCs w:val="18"/>
              </w:rPr>
              <w:t>13,562.84</w:t>
            </w:r>
            <w:r>
              <w:rPr>
                <w:rFonts w:ascii="Times New Roman" w:hAnsi="Times New Roman" w:cs="Times New Roman" w:eastAsia="Times New Roman" w:hint="default"/>
                <w:spacing w:val="-23"/>
                <w:sz w:val="18"/>
                <w:szCs w:val="18"/>
              </w:rPr>
              <w:t> </w:t>
            </w:r>
            <w:r>
              <w:rPr>
                <w:rFonts w:ascii="Times New Roman" w:hAnsi="Times New Roman" w:cs="Times New Roman" w:eastAsia="Times New Roman" w:hint="default"/>
                <w:spacing w:val="-23"/>
                <w:sz w:val="18"/>
                <w:szCs w:val="18"/>
              </w:rPr>
            </w:r>
            <w:r>
              <w:rPr>
                <w:rFonts w:ascii="宋体" w:hAnsi="宋体" w:cs="宋体" w:eastAsia="宋体" w:hint="default"/>
                <w:sz w:val="18"/>
                <w:szCs w:val="18"/>
              </w:rPr>
              <w:t>万元，项目所需资金来源为原</w:t>
            </w:r>
            <w:r>
              <w:rPr>
                <w:rFonts w:ascii="Times New Roman" w:hAnsi="Times New Roman" w:cs="Times New Roman" w:eastAsia="Times New Roman" w:hint="default"/>
                <w:sz w:val="18"/>
                <w:szCs w:val="18"/>
              </w:rPr>
              <w:t>“</w:t>
            </w:r>
            <w:r>
              <w:rPr>
                <w:rFonts w:ascii="宋体" w:hAnsi="宋体" w:cs="宋体" w:eastAsia="宋体" w:hint="default"/>
                <w:sz w:val="18"/>
                <w:szCs w:val="18"/>
              </w:rPr>
              <w:t>智能配电板（柜）开发及产业化项目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的募集资金余额 </w:t>
            </w:r>
            <w:r>
              <w:rPr>
                <w:rFonts w:ascii="Times New Roman" w:hAnsi="Times New Roman" w:cs="Times New Roman" w:eastAsia="Times New Roman" w:hint="default"/>
                <w:sz w:val="18"/>
                <w:szCs w:val="18"/>
              </w:rPr>
              <w:t>2,999.15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万元，以及公司上市的超募资金约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10,563.69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万元。目前项目已完工并使用， 全部募集资金投资项目节余募集资金用于永久补充流动资金。</w:t>
            </w:r>
          </w:p>
          <w:p>
            <w:pPr>
              <w:pStyle w:val="TableParagraph"/>
              <w:spacing w:line="312" w:lineRule="auto" w:before="70"/>
              <w:ind w:left="23"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年公司第四次临时股东大会审议通过，公司对</w:t>
            </w:r>
            <w:r>
              <w:rPr>
                <w:rFonts w:ascii="Times New Roman" w:hAnsi="Times New Roman" w:cs="Times New Roman" w:eastAsia="Times New Roman" w:hint="default"/>
                <w:sz w:val="18"/>
                <w:szCs w:val="18"/>
              </w:rPr>
              <w:t>“</w:t>
            </w:r>
            <w:r>
              <w:rPr>
                <w:rFonts w:ascii="宋体" w:hAnsi="宋体" w:cs="宋体" w:eastAsia="宋体" w:hint="default"/>
                <w:sz w:val="18"/>
                <w:szCs w:val="18"/>
              </w:rPr>
              <w:t>销售及技术支持网络基地 </w:t>
            </w:r>
            <w:r>
              <w:rPr>
                <w:rFonts w:ascii="宋体" w:hAnsi="宋体" w:cs="宋体" w:eastAsia="宋体" w:hint="default"/>
                <w:spacing w:val="-3"/>
                <w:sz w:val="18"/>
                <w:szCs w:val="18"/>
              </w:rPr>
              <w:t>建设项目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变更部分基地建设实施方式及调整部分实施地点。具体情况如下：（</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）部</w:t>
            </w:r>
            <w:r>
              <w:rPr>
                <w:rFonts w:ascii="宋体" w:hAnsi="宋体" w:cs="宋体" w:eastAsia="宋体" w:hint="default"/>
                <w:spacing w:val="-68"/>
                <w:sz w:val="18"/>
                <w:szCs w:val="18"/>
              </w:rPr>
              <w:t> </w:t>
            </w:r>
            <w:r>
              <w:rPr>
                <w:rFonts w:ascii="宋体" w:hAnsi="宋体" w:cs="宋体" w:eastAsia="宋体" w:hint="default"/>
                <w:sz w:val="18"/>
                <w:szCs w:val="18"/>
              </w:rPr>
              <w:t>分基地建设实施方式的变更根据公司在西南地区的发展需要以及重庆市软件人才的 </w:t>
            </w:r>
            <w:r>
              <w:rPr>
                <w:rFonts w:ascii="宋体" w:hAnsi="宋体" w:cs="宋体" w:eastAsia="宋体" w:hint="default"/>
                <w:spacing w:val="-1"/>
                <w:sz w:val="18"/>
                <w:szCs w:val="18"/>
              </w:rPr>
              <w:t>优势，公司拟依托重庆基地建设公司重庆软件研发基地，以服务西南地区高速公路收</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费、监控软件市场。由此公司将取消成都办事处办公用房的购置计划，变更为租赁办</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公用房。同时将重庆和成都的购房资金合并使用。（</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）部分基地建设实施地点的变更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近几年来，湖北、山东、江西等省智能交通市场环境发生变化。结合公司业务发展规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划，为提高募集资金的使用效率，对部分实施地点进行调整：取消在湖北、山东、江</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
                <w:sz w:val="18"/>
                <w:szCs w:val="18"/>
              </w:rPr>
              <w:t>西三地区新建销售及技术支持网络基地。取消在广东省广州市新建销售及技术支持网</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
                <w:sz w:val="18"/>
                <w:szCs w:val="18"/>
              </w:rPr>
              <w:t>络基地，变更为在广东省东莞市和广西省南宁市新建销售及技术支持网络基地。本次</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项目的调整，没有改变该项目总投资计划。</w:t>
            </w:r>
          </w:p>
          <w:p>
            <w:pPr>
              <w:pStyle w:val="TableParagraph"/>
              <w:spacing w:line="300" w:lineRule="auto" w:before="63"/>
              <w:ind w:left="23" w:right="1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日，经公司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年第一次临时股东大会审议通过，同意公司使用 募集资金吸收合并上海船舶运输科学研究所持有的中海信息系统有限公司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 权，</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月，公司使用人民币合计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5,158.12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含利息收入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收购中海信息系统 有限公司</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股权。其中，变更</w:t>
            </w:r>
            <w:r>
              <w:rPr>
                <w:rFonts w:ascii="Times New Roman" w:hAnsi="Times New Roman" w:cs="Times New Roman" w:eastAsia="Times New Roman" w:hint="default"/>
                <w:sz w:val="18"/>
                <w:szCs w:val="18"/>
              </w:rPr>
              <w:t>“</w:t>
            </w:r>
            <w:r>
              <w:rPr>
                <w:rFonts w:ascii="宋体" w:hAnsi="宋体" w:cs="宋体" w:eastAsia="宋体" w:hint="default"/>
                <w:sz w:val="18"/>
                <w:szCs w:val="18"/>
              </w:rPr>
              <w:t>新一代高速公路收费综合业务平台研发、推广及技 术支持服务中心项目</w:t>
            </w:r>
            <w:r>
              <w:rPr>
                <w:rFonts w:ascii="Times New Roman" w:hAnsi="Times New Roman" w:cs="Times New Roman" w:eastAsia="Times New Roman" w:hint="default"/>
                <w:sz w:val="18"/>
                <w:szCs w:val="18"/>
              </w:rPr>
              <w:t>”</w:t>
            </w:r>
            <w:r>
              <w:rPr>
                <w:rFonts w:ascii="宋体" w:hAnsi="宋体" w:cs="宋体" w:eastAsia="宋体" w:hint="default"/>
                <w:sz w:val="18"/>
                <w:szCs w:val="18"/>
              </w:rPr>
              <w:t>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含利息收入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，变更</w:t>
            </w:r>
            <w:r>
              <w:rPr>
                <w:rFonts w:ascii="Times New Roman" w:hAnsi="Times New Roman" w:cs="Times New Roman" w:eastAsia="Times New Roman" w:hint="default"/>
                <w:sz w:val="18"/>
                <w:szCs w:val="18"/>
              </w:rPr>
              <w:t>“</w:t>
            </w:r>
            <w:r>
              <w:rPr>
                <w:rFonts w:ascii="宋体" w:hAnsi="宋体" w:cs="宋体" w:eastAsia="宋体" w:hint="default"/>
                <w:sz w:val="18"/>
                <w:szCs w:val="18"/>
              </w:rPr>
              <w:t>智能交通系统视频交通</w:t>
            </w:r>
          </w:p>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参数及事件监测器研发及产业化项目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含利息收入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，使用</w:t>
            </w:r>
            <w:r>
              <w:rPr>
                <w:rFonts w:ascii="Times New Roman" w:hAnsi="Times New Roman" w:cs="Times New Roman" w:eastAsia="Times New Roman" w:hint="default"/>
                <w:sz w:val="18"/>
                <w:szCs w:val="18"/>
              </w:rPr>
              <w:t>“</w:t>
            </w:r>
            <w:r>
              <w:rPr>
                <w:rFonts w:ascii="宋体" w:hAnsi="宋体" w:cs="宋体" w:eastAsia="宋体" w:hint="default"/>
                <w:sz w:val="18"/>
                <w:szCs w:val="18"/>
              </w:rPr>
              <w:t>销售及</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3"/>
                <w:sz w:val="18"/>
                <w:szCs w:val="18"/>
              </w:rPr>
              <w:t>技术支持网络基地建设项目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（已完成）节余资金 </w:t>
            </w:r>
            <w:r>
              <w:rPr>
                <w:rFonts w:ascii="Times New Roman" w:hAnsi="Times New Roman" w:cs="Times New Roman" w:eastAsia="Times New Roman" w:hint="default"/>
                <w:sz w:val="18"/>
                <w:szCs w:val="18"/>
              </w:rPr>
              <w:t>448.74</w:t>
            </w:r>
            <w:r>
              <w:rPr>
                <w:rFonts w:ascii="Times New Roman" w:hAnsi="Times New Roman" w:cs="Times New Roman" w:eastAsia="Times New Roman" w:hint="default"/>
                <w:spacing w:val="-19"/>
                <w:sz w:val="18"/>
                <w:szCs w:val="18"/>
              </w:rPr>
              <w:t>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含利息收入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，超募资金</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609.38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万元。上述事项于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月实施完成。</w:t>
            </w:r>
          </w:p>
        </w:tc>
      </w:tr>
      <w:tr>
        <w:trPr>
          <w:trHeight w:val="713"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8"/>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6"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8"/>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Times New Roman" w:hAnsi="Times New Roman" w:cs="Times New Roman" w:eastAsia="Times New Roman" w:hint="default"/>
          <w:sz w:val="26"/>
          <w:szCs w:val="26"/>
        </w:rPr>
      </w:pPr>
    </w:p>
    <w:p>
      <w:pPr>
        <w:pStyle w:val="Heading3"/>
        <w:spacing w:line="240" w:lineRule="auto" w:before="26"/>
        <w:ind w:right="1133"/>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、出售重大资产情况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40"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公司报告期未出售重大资产。</w:t>
      </w:r>
    </w:p>
    <w:p>
      <w:pPr>
        <w:spacing w:line="240" w:lineRule="auto" w:before="3"/>
        <w:rPr>
          <w:rFonts w:ascii="宋体" w:hAnsi="宋体" w:cs="宋体" w:eastAsia="宋体" w:hint="default"/>
          <w:sz w:val="21"/>
          <w:szCs w:val="21"/>
        </w:rPr>
      </w:pPr>
    </w:p>
    <w:p>
      <w:pPr>
        <w:spacing w:before="0"/>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、出售重大股权情况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1133"/>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79" w:top="1060" w:bottom="1160" w:left="980" w:right="0"/>
        </w:sectPr>
      </w:pPr>
    </w:p>
    <w:p>
      <w:pPr>
        <w:spacing w:before="44"/>
        <w:ind w:left="152"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152" w:right="-18"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851" w:space="4069"/>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贵州新思维 科技有限责 任公司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0"/>
              <w:jc w:val="left"/>
              <w:rPr>
                <w:rFonts w:ascii="宋体" w:hAnsi="宋体" w:cs="宋体" w:eastAsia="宋体" w:hint="default"/>
                <w:sz w:val="18"/>
                <w:szCs w:val="18"/>
              </w:rPr>
            </w:pPr>
            <w:r>
              <w:rPr>
                <w:rFonts w:ascii="宋体" w:hAnsi="宋体" w:cs="宋体" w:eastAsia="宋体" w:hint="default"/>
                <w:sz w:val="18"/>
                <w:szCs w:val="18"/>
              </w:rPr>
              <w:t>智能交通、 系统集成</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8"/>
              <w:jc w:val="center"/>
              <w:rPr>
                <w:rFonts w:ascii="Times New Roman" w:hAnsi="Times New Roman" w:cs="Times New Roman" w:eastAsia="Times New Roman" w:hint="default"/>
                <w:sz w:val="18"/>
                <w:szCs w:val="18"/>
              </w:rPr>
            </w:pPr>
            <w:r>
              <w:rPr>
                <w:rFonts w:ascii="Times New Roman"/>
                <w:sz w:val="18"/>
              </w:rPr>
              <w:t>3,000,000.00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104,517,859.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40,954,473.2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90,622,139.5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18,245,476.3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15,599,844.0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中远海运科 </w:t>
            </w:r>
            <w:r>
              <w:rPr>
                <w:rFonts w:ascii="宋体" w:hAnsi="宋体" w:cs="宋体" w:eastAsia="宋体" w:hint="default"/>
                <w:spacing w:val="-14"/>
                <w:sz w:val="18"/>
                <w:szCs w:val="18"/>
              </w:rPr>
              <w:t>技（北京）有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08"/>
              <w:jc w:val="left"/>
              <w:rPr>
                <w:rFonts w:ascii="宋体" w:hAnsi="宋体" w:cs="宋体" w:eastAsia="宋体" w:hint="default"/>
                <w:sz w:val="18"/>
                <w:szCs w:val="18"/>
              </w:rPr>
            </w:pPr>
            <w:r>
              <w:rPr>
                <w:rFonts w:ascii="宋体" w:hAnsi="宋体" w:cs="宋体" w:eastAsia="宋体" w:hint="default"/>
                <w:sz w:val="18"/>
                <w:szCs w:val="18"/>
              </w:rPr>
              <w:t>软件开发、 系统集成</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229,364,400.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131,041,310.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237,938,766.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16,398,890.8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13,624,886.8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北京中远海 运数字科技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both"/>
              <w:rPr>
                <w:rFonts w:ascii="宋体" w:hAnsi="宋体" w:cs="宋体" w:eastAsia="宋体" w:hint="default"/>
                <w:sz w:val="18"/>
                <w:szCs w:val="18"/>
              </w:rPr>
            </w:pPr>
            <w:r>
              <w:rPr>
                <w:rFonts w:ascii="宋体" w:hAnsi="宋体" w:cs="宋体" w:eastAsia="宋体" w:hint="default"/>
                <w:sz w:val="18"/>
                <w:szCs w:val="18"/>
              </w:rPr>
              <w:t>计算机、软 件及辅助设 备批发</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8"/>
              <w:jc w:val="center"/>
              <w:rPr>
                <w:rFonts w:ascii="Times New Roman" w:hAnsi="Times New Roman" w:cs="Times New Roman" w:eastAsia="Times New Roman" w:hint="default"/>
                <w:sz w:val="18"/>
                <w:szCs w:val="18"/>
              </w:rPr>
            </w:pPr>
            <w:r>
              <w:rPr>
                <w:rFonts w:ascii="Times New Roman"/>
                <w:sz w:val="18"/>
              </w:rPr>
              <w:t>1,241,550.00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27,697,881.2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4,429,026.39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42,568,325.5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376,658.27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401,893.29</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中远网络航 海科技有限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0"/>
              <w:jc w:val="left"/>
              <w:rPr>
                <w:rFonts w:ascii="宋体" w:hAnsi="宋体" w:cs="宋体" w:eastAsia="宋体" w:hint="default"/>
                <w:sz w:val="18"/>
                <w:szCs w:val="18"/>
              </w:rPr>
            </w:pPr>
            <w:r>
              <w:rPr>
                <w:rFonts w:ascii="宋体" w:hAnsi="宋体" w:cs="宋体" w:eastAsia="宋体" w:hint="default"/>
                <w:sz w:val="18"/>
                <w:szCs w:val="18"/>
              </w:rPr>
              <w:t>软件开发、 系统集成</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45,825,589.3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45,001,269.6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20,289,219.3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43,345.28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w w:val="95"/>
                <w:sz w:val="18"/>
              </w:rPr>
              <w:t>46,311.32</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line="348" w:lineRule="auto" w:before="118"/>
        <w:ind w:left="152" w:right="85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主要控股参股公司情况说明 无特殊情况说明</w:t>
      </w:r>
    </w:p>
    <w:p>
      <w:pPr>
        <w:spacing w:line="240" w:lineRule="auto" w:before="1"/>
        <w:rPr>
          <w:rFonts w:ascii="宋体" w:hAnsi="宋体" w:cs="宋体" w:eastAsia="宋体" w:hint="default"/>
          <w:sz w:val="19"/>
          <w:szCs w:val="19"/>
        </w:rPr>
      </w:pPr>
    </w:p>
    <w:p>
      <w:pPr>
        <w:pStyle w:val="Heading3"/>
        <w:spacing w:line="240" w:lineRule="auto"/>
        <w:ind w:right="1133"/>
        <w:jc w:val="left"/>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1133"/>
        <w:jc w:val="left"/>
        <w:rPr>
          <w:b w:val="0"/>
          <w:bCs w:val="0"/>
        </w:rPr>
      </w:pPr>
      <w:r>
        <w:rPr/>
        <w:t>九、公司未来发展的展望</w:t>
      </w:r>
      <w:r>
        <w:rPr>
          <w:b w:val="0"/>
          <w:bCs w:val="0"/>
        </w:rPr>
      </w:r>
    </w:p>
    <w:p>
      <w:pPr>
        <w:spacing w:line="240" w:lineRule="auto" w:before="3"/>
        <w:rPr>
          <w:rFonts w:ascii="宋体" w:hAnsi="宋体" w:cs="宋体" w:eastAsia="宋体" w:hint="default"/>
          <w:b/>
          <w:bCs/>
          <w:sz w:val="24"/>
          <w:szCs w:val="24"/>
        </w:rPr>
      </w:pPr>
    </w:p>
    <w:p>
      <w:pPr>
        <w:pStyle w:val="BodyText"/>
        <w:spacing w:line="295" w:lineRule="auto"/>
        <w:ind w:left="592" w:right="1133"/>
        <w:jc w:val="left"/>
      </w:pPr>
      <w:r>
        <w:rPr/>
        <w:t>（一）公司发展战略</w:t>
      </w:r>
      <w:r>
        <w:rPr>
          <w:w w:val="100"/>
        </w:rPr>
        <w:t> </w:t>
      </w:r>
      <w:r>
        <w:rPr>
          <w:spacing w:val="-5"/>
        </w:rPr>
        <w:t>公司未来整体发展战略是，充分发挥自身优势，有效利用资本市场，通过技术研发和科技产业</w:t>
      </w:r>
      <w:r>
        <w:rPr>
          <w:rFonts w:ascii="Times New Roman" w:hAnsi="Times New Roman" w:cs="Times New Roman" w:eastAsia="Times New Roman" w:hint="default"/>
          <w:spacing w:val="-5"/>
        </w:rPr>
        <w:t>“</w:t>
      </w:r>
      <w:r>
        <w:rPr>
          <w:spacing w:val="-5"/>
        </w:rPr>
        <w:t>两</w:t>
      </w:r>
    </w:p>
    <w:p>
      <w:pPr>
        <w:spacing w:after="0" w:line="295" w:lineRule="auto"/>
        <w:jc w:val="left"/>
        <w:sectPr>
          <w:type w:val="continuous"/>
          <w:pgSz w:w="11910" w:h="16840"/>
          <w:pgMar w:top="1060" w:bottom="1160" w:left="980" w:right="0"/>
        </w:sectPr>
      </w:pPr>
    </w:p>
    <w:p>
      <w:pPr>
        <w:spacing w:line="240" w:lineRule="auto" w:before="5"/>
        <w:rPr>
          <w:rFonts w:ascii="宋体" w:hAnsi="宋体" w:cs="宋体" w:eastAsia="宋体" w:hint="default"/>
          <w:sz w:val="24"/>
          <w:szCs w:val="24"/>
        </w:rPr>
      </w:pPr>
    </w:p>
    <w:p>
      <w:pPr>
        <w:pStyle w:val="BodyText"/>
        <w:spacing w:line="252" w:lineRule="auto" w:before="32"/>
        <w:ind w:right="1133"/>
        <w:jc w:val="left"/>
      </w:pPr>
      <w:r>
        <w:rPr/>
        <w:t>轮驱动</w:t>
      </w:r>
      <w:r>
        <w:rPr>
          <w:rFonts w:ascii="Times New Roman" w:hAnsi="Times New Roman" w:cs="Times New Roman" w:eastAsia="Times New Roman" w:hint="default"/>
        </w:rPr>
        <w:t>”</w:t>
      </w:r>
      <w:r>
        <w:rPr/>
        <w:t>，着力构建科技创新、大数据应用管理和科技信息产业化</w:t>
      </w:r>
      <w:r>
        <w:rPr>
          <w:rFonts w:ascii="Times New Roman" w:hAnsi="Times New Roman" w:cs="Times New Roman" w:eastAsia="Times New Roman" w:hint="default"/>
        </w:rPr>
        <w:t>“</w:t>
      </w:r>
      <w:r>
        <w:rPr/>
        <w:t>三大平台</w:t>
      </w:r>
      <w:r>
        <w:rPr>
          <w:rFonts w:ascii="Times New Roman" w:hAnsi="Times New Roman" w:cs="Times New Roman" w:eastAsia="Times New Roman" w:hint="default"/>
        </w:rPr>
        <w:t>”</w:t>
      </w:r>
      <w:r>
        <w:rPr/>
        <w:t>，积极开展技术创新、</w:t>
      </w:r>
      <w:r>
        <w:rPr>
          <w:w w:val="100"/>
        </w:rPr>
        <w:t> </w:t>
      </w:r>
      <w:r>
        <w:rPr>
          <w:spacing w:val="-2"/>
        </w:rPr>
        <w:t>商业模式和机制创新，努力发展成为智慧交通、智慧航运、智慧物流、智慧安防等领域领先的解决方</w:t>
      </w:r>
      <w:r>
        <w:rPr>
          <w:spacing w:val="-71"/>
        </w:rPr>
        <w:t> </w:t>
      </w:r>
      <w:r>
        <w:rPr>
          <w:spacing w:val="-71"/>
        </w:rPr>
      </w:r>
      <w:r>
        <w:rPr/>
        <w:t>案供应商和平台运营商。</w:t>
      </w:r>
    </w:p>
    <w:p>
      <w:pPr>
        <w:pStyle w:val="BodyText"/>
        <w:spacing w:line="240" w:lineRule="auto" w:before="54"/>
        <w:ind w:left="592" w:right="1133"/>
        <w:jc w:val="left"/>
      </w:pPr>
      <w:r>
        <w:rPr/>
        <w:t>（二）</w:t>
      </w:r>
      <w:r>
        <w:rPr>
          <w:rFonts w:ascii="Times New Roman" w:hAnsi="Times New Roman" w:cs="Times New Roman" w:eastAsia="Times New Roman" w:hint="default"/>
        </w:rPr>
        <w:t>2020</w:t>
      </w:r>
      <w:r>
        <w:rPr/>
        <w:t>年工作计划</w:t>
      </w:r>
    </w:p>
    <w:p>
      <w:pPr>
        <w:pStyle w:val="BodyText"/>
        <w:spacing w:line="244" w:lineRule="auto" w:before="46"/>
        <w:ind w:right="1128" w:firstLine="439"/>
        <w:jc w:val="both"/>
      </w:pPr>
      <w:r>
        <w:rPr>
          <w:rFonts w:ascii="Times New Roman" w:hAnsi="Times New Roman" w:cs="Times New Roman" w:eastAsia="Times New Roman" w:hint="default"/>
          <w:spacing w:val="-2"/>
        </w:rPr>
        <w:t>2020</w:t>
      </w:r>
      <w:r>
        <w:rPr>
          <w:spacing w:val="-2"/>
        </w:rPr>
        <w:t>年工作的总体要求是：贯彻落实新发展理念，持续创新改革，注重效率提升，做强做优科技</w:t>
      </w:r>
      <w:r>
        <w:rPr>
          <w:w w:val="100"/>
        </w:rPr>
        <w:t> </w:t>
      </w:r>
      <w:r>
        <w:rPr/>
        <w:t>与信息化产业。</w:t>
      </w:r>
    </w:p>
    <w:p>
      <w:pPr>
        <w:pStyle w:val="BodyText"/>
        <w:spacing w:line="278" w:lineRule="auto" w:before="60"/>
        <w:ind w:left="592" w:right="1133"/>
        <w:jc w:val="left"/>
      </w:pPr>
      <w:r>
        <w:rPr>
          <w:rFonts w:ascii="Times New Roman" w:hAnsi="Times New Roman" w:cs="Times New Roman" w:eastAsia="Times New Roman" w:hint="default"/>
        </w:rPr>
        <w:t>1</w:t>
      </w:r>
      <w:r>
        <w:rPr/>
        <w:t>、推进业务协同，实现公司各业务板块协调发展</w:t>
      </w:r>
      <w:r>
        <w:rPr>
          <w:w w:val="100"/>
        </w:rPr>
        <w:t> </w:t>
      </w:r>
      <w:r>
        <w:rPr>
          <w:spacing w:val="-2"/>
        </w:rPr>
        <w:t>充分发挥资源聚集优势和业务协同效应，坚持以客户为中心，积极开拓市场，在高质量发展上不</w:t>
      </w:r>
    </w:p>
    <w:p>
      <w:pPr>
        <w:pStyle w:val="BodyText"/>
        <w:spacing w:line="292" w:lineRule="auto"/>
        <w:ind w:left="592" w:right="1133" w:hanging="440"/>
        <w:jc w:val="left"/>
      </w:pPr>
      <w:r>
        <w:rPr/>
        <w:t>断取得新突破。</w:t>
      </w:r>
      <w:r>
        <w:rPr>
          <w:spacing w:val="-108"/>
        </w:rPr>
        <w:t> </w:t>
      </w:r>
      <w:r>
        <w:rPr>
          <w:spacing w:val="-108"/>
        </w:rPr>
      </w:r>
      <w:r>
        <w:rPr>
          <w:spacing w:val="-2"/>
        </w:rPr>
        <w:t>智慧交通板块强化以取消省界收费站项目建设为突破口，加强板块内部协同与联动，加快产业转</w:t>
      </w:r>
    </w:p>
    <w:p>
      <w:pPr>
        <w:pStyle w:val="BodyText"/>
        <w:spacing w:line="264" w:lineRule="exact"/>
        <w:ind w:right="0"/>
        <w:jc w:val="left"/>
      </w:pPr>
      <w:r>
        <w:rPr/>
        <w:t>型升级，争取在智慧高速、车路协同和自动驾驶等智慧交通市场占据先发优势地位；充分发挥区域合</w:t>
      </w:r>
    </w:p>
    <w:p>
      <w:pPr>
        <w:pStyle w:val="BodyText"/>
        <w:spacing w:line="295" w:lineRule="auto" w:before="24"/>
        <w:ind w:left="592" w:right="1133" w:hanging="440"/>
        <w:jc w:val="left"/>
      </w:pPr>
      <w:r>
        <w:rPr/>
        <w:t>资公司的合作优势，以技术和管理赋能，形成经营合力，培育新的效益增长点。</w:t>
      </w:r>
      <w:r>
        <w:rPr>
          <w:rFonts w:ascii="宋体" w:hAnsi="宋体" w:cs="宋体" w:eastAsia="宋体" w:hint="default"/>
          <w:w w:val="100"/>
        </w:rPr>
        <w:t> </w:t>
      </w:r>
      <w:r>
        <w:rPr>
          <w:spacing w:val="-1"/>
        </w:rPr>
        <w:t>智慧航运板块着力推动人工智能、区块链、物联网及</w:t>
      </w:r>
      <w:r>
        <w:rPr>
          <w:rFonts w:ascii="宋体" w:hAnsi="宋体" w:cs="宋体" w:eastAsia="宋体" w:hint="default"/>
          <w:spacing w:val="-1"/>
        </w:rPr>
        <w:t>5G</w:t>
      </w:r>
      <w:r>
        <w:rPr>
          <w:spacing w:val="-1"/>
        </w:rPr>
        <w:t>等技术在航运领域的应用，加快技术</w:t>
      </w:r>
      <w:r>
        <w:rPr>
          <w:rFonts w:ascii="宋体" w:hAnsi="宋体" w:cs="宋体" w:eastAsia="宋体" w:hint="default"/>
          <w:spacing w:val="-1"/>
        </w:rPr>
        <w:t>+</w:t>
      </w:r>
      <w:r>
        <w:rPr>
          <w:spacing w:val="-1"/>
        </w:rPr>
        <w:t>场</w:t>
      </w:r>
    </w:p>
    <w:p>
      <w:pPr>
        <w:pStyle w:val="BodyText"/>
        <w:spacing w:line="261" w:lineRule="exact"/>
        <w:ind w:right="0"/>
        <w:jc w:val="left"/>
      </w:pPr>
      <w:r>
        <w:rPr/>
        <w:t>景的融合。尽快实现平台型等创新成果的运营推广，努力打造智慧航运数据应用产品。积极开展集团</w:t>
      </w:r>
    </w:p>
    <w:p>
      <w:pPr>
        <w:pStyle w:val="BodyText"/>
        <w:spacing w:line="295" w:lineRule="auto" w:before="24"/>
        <w:ind w:left="592" w:right="1133" w:hanging="440"/>
        <w:jc w:val="left"/>
      </w:pPr>
      <w:r>
        <w:rPr/>
        <w:t>信息化建设成果在外部市场的推广应用。</w:t>
      </w:r>
      <w:r>
        <w:rPr>
          <w:rFonts w:ascii="宋体" w:hAnsi="宋体" w:cs="宋体" w:eastAsia="宋体" w:hint="default"/>
          <w:w w:val="100"/>
        </w:rPr>
        <w:t> </w:t>
      </w:r>
      <w:r>
        <w:rPr>
          <w:spacing w:val="-2"/>
        </w:rPr>
        <w:t>智慧物流板块持续加快“数字中台”技术能力建设，做好数据集成系统的推广实施，继续深挖烟</w:t>
      </w:r>
    </w:p>
    <w:p>
      <w:pPr>
        <w:pStyle w:val="BodyText"/>
        <w:spacing w:line="261" w:lineRule="exact"/>
        <w:ind w:right="1133"/>
        <w:jc w:val="left"/>
      </w:pPr>
      <w:r>
        <w:rPr/>
        <w:t>草物流、铁路行业等现有外部市场，积极开拓</w:t>
      </w:r>
      <w:r>
        <w:rPr>
          <w:spacing w:val="-7"/>
        </w:rPr>
        <w:t> </w:t>
      </w:r>
      <w:r>
        <w:rPr>
          <w:rFonts w:ascii="宋体" w:hAnsi="宋体" w:cs="宋体" w:eastAsia="宋体" w:hint="default"/>
          <w:spacing w:val="-7"/>
        </w:rPr>
      </w:r>
      <w:r>
        <w:rPr/>
        <w:t>“一带一路”建工类等新型外部市场；以集团采购及</w:t>
      </w:r>
    </w:p>
    <w:p>
      <w:pPr>
        <w:pStyle w:val="BodyText"/>
        <w:spacing w:line="292" w:lineRule="auto" w:before="24"/>
        <w:ind w:left="592" w:right="0" w:hanging="440"/>
        <w:jc w:val="left"/>
      </w:pPr>
      <w:r>
        <w:rPr/>
        <w:t>供应商管理系统建设为着力点，加强与外部电子商城的合作，探索新的商业模式和盈利能力。</w:t>
      </w:r>
      <w:r>
        <w:rPr>
          <w:rFonts w:ascii="宋体" w:hAnsi="宋体" w:cs="宋体" w:eastAsia="宋体" w:hint="default"/>
          <w:spacing w:val="-3"/>
          <w:w w:val="100"/>
        </w:rPr>
        <w:t> </w:t>
      </w:r>
      <w:r>
        <w:rPr>
          <w:rFonts w:ascii="宋体" w:hAnsi="宋体" w:cs="宋体" w:eastAsia="宋体" w:hint="default"/>
          <w:w w:val="100"/>
        </w:rPr>
        <w:t> </w:t>
      </w:r>
      <w:r>
        <w:rPr>
          <w:spacing w:val="-1"/>
        </w:rPr>
        <w:t>智慧安防板块继续深耕上海市场，进一步加强技术协同合作，构建基于人工智能技术的云、边、</w:t>
      </w:r>
    </w:p>
    <w:p>
      <w:pPr>
        <w:pStyle w:val="BodyText"/>
        <w:spacing w:line="264" w:lineRule="exact"/>
        <w:ind w:right="0"/>
        <w:jc w:val="left"/>
      </w:pPr>
      <w:r>
        <w:rPr/>
        <w:t>端产品平台，为建设平安城市提供实质性的自主研发产品平台和服务，以核心技术竞争力提升现有用</w:t>
      </w:r>
    </w:p>
    <w:p>
      <w:pPr>
        <w:pStyle w:val="BodyText"/>
        <w:spacing w:line="285" w:lineRule="auto" w:before="24"/>
        <w:ind w:left="592" w:right="1133" w:hanging="440"/>
        <w:jc w:val="left"/>
      </w:pPr>
      <w:r>
        <w:rPr/>
        <w:t>户粘性。根据现有市场和技术优势，积极参与制定安防行业的相关技术规范。</w:t>
      </w:r>
      <w:r>
        <w:rPr>
          <w:w w:val="100"/>
        </w:rPr>
        <w:t> </w:t>
      </w:r>
      <w:r>
        <w:rPr>
          <w:rFonts w:ascii="Times New Roman" w:hAnsi="Times New Roman" w:cs="Times New Roman" w:eastAsia="Times New Roman" w:hint="default"/>
        </w:rPr>
        <w:t>2</w:t>
      </w:r>
      <w:r>
        <w:rPr/>
        <w:t>、坚持科技创新，厚植技术发展新优势</w:t>
      </w:r>
      <w:r>
        <w:rPr>
          <w:w w:val="100"/>
        </w:rPr>
        <w:t> </w:t>
      </w:r>
      <w:r>
        <w:rPr>
          <w:spacing w:val="-2"/>
        </w:rPr>
        <w:t>围绕公司发展战略，加大研发资源投入，加强对前沿技术研究和应用，大力推动技术和商业模式</w:t>
      </w:r>
    </w:p>
    <w:p>
      <w:pPr>
        <w:pStyle w:val="BodyText"/>
        <w:spacing w:line="270" w:lineRule="exact"/>
        <w:ind w:left="592" w:right="0" w:hanging="440"/>
        <w:jc w:val="left"/>
      </w:pPr>
      <w:r>
        <w:rPr/>
        <w:t>创新项目，在交通、港航、物流、安防等产业领域持续探索新产品、新服务、新平台的研发与应用。</w:t>
      </w:r>
    </w:p>
    <w:p>
      <w:pPr>
        <w:pStyle w:val="BodyText"/>
        <w:spacing w:line="259" w:lineRule="auto" w:before="62"/>
        <w:ind w:right="1128" w:firstLine="439"/>
        <w:jc w:val="both"/>
      </w:pPr>
      <w:r>
        <w:rPr>
          <w:spacing w:val="-2"/>
        </w:rPr>
        <w:t>智慧交通领域，通过公司承接的取消省界收费站项目赢得了市场机会，为下一步数字化转型奠定</w:t>
      </w:r>
      <w:r>
        <w:rPr>
          <w:w w:val="100"/>
        </w:rPr>
        <w:t> </w:t>
      </w:r>
      <w:r>
        <w:rPr>
          <w:spacing w:val="-2"/>
        </w:rPr>
        <w:t>了重要的连接基础。未来公司将以《交通强国建设纲要》、《数字交通发展规划纲要》为指引，积极</w:t>
      </w:r>
      <w:r>
        <w:rPr>
          <w:spacing w:val="-71"/>
        </w:rPr>
        <w:t> </w:t>
      </w:r>
      <w:r>
        <w:rPr>
          <w:spacing w:val="-71"/>
        </w:rPr>
      </w:r>
      <w:r>
        <w:rPr>
          <w:spacing w:val="-2"/>
        </w:rPr>
        <w:t>应用云计算、大数据、边缘计算等新兴技术，紧跟“自由流收费</w:t>
      </w:r>
      <w:r>
        <w:rPr>
          <w:rFonts w:ascii="宋体" w:hAnsi="宋体" w:cs="宋体" w:eastAsia="宋体" w:hint="default"/>
          <w:spacing w:val="-2"/>
        </w:rPr>
        <w:t>-</w:t>
      </w:r>
      <w:r>
        <w:rPr>
          <w:spacing w:val="-2"/>
        </w:rPr>
        <w:t>全景交通道路数据图像应用</w:t>
      </w:r>
      <w:r>
        <w:rPr>
          <w:rFonts w:ascii="宋体" w:hAnsi="宋体" w:cs="宋体" w:eastAsia="宋体" w:hint="default"/>
          <w:spacing w:val="-2"/>
        </w:rPr>
        <w:t>-</w:t>
      </w:r>
      <w:r>
        <w:rPr>
          <w:spacing w:val="-2"/>
        </w:rPr>
        <w:t>车路协</w:t>
      </w:r>
      <w:r>
        <w:rPr>
          <w:spacing w:val="-66"/>
        </w:rPr>
        <w:t> </w:t>
      </w:r>
      <w:r>
        <w:rPr>
          <w:spacing w:val="-66"/>
        </w:rPr>
      </w:r>
      <w:r>
        <w:rPr/>
        <w:t>同</w:t>
      </w:r>
      <w:r>
        <w:rPr>
          <w:rFonts w:ascii="宋体" w:hAnsi="宋体" w:cs="宋体" w:eastAsia="宋体" w:hint="default"/>
        </w:rPr>
        <w:t>-</w:t>
      </w:r>
      <w:r>
        <w:rPr/>
        <w:t>自动驾驶”的发展步伐，抓住即将启动的全国高速公路视频联网项目契机，加速构建数字化的采</w:t>
      </w:r>
      <w:r>
        <w:rPr>
          <w:spacing w:val="-44"/>
        </w:rPr>
        <w:t> </w:t>
      </w:r>
      <w:r>
        <w:rPr>
          <w:spacing w:val="-44"/>
        </w:rPr>
      </w:r>
      <w:r>
        <w:rPr/>
        <w:t>集体系、网络化的传输体系和智能化的应用体系，推进智能交通数字化转型。</w:t>
      </w:r>
    </w:p>
    <w:p>
      <w:pPr>
        <w:pStyle w:val="BodyText"/>
        <w:spacing w:line="259" w:lineRule="auto" w:before="47"/>
        <w:ind w:right="1126" w:firstLine="439"/>
        <w:jc w:val="both"/>
        <w:rPr>
          <w:rFonts w:ascii="宋体" w:hAnsi="宋体" w:cs="宋体" w:eastAsia="宋体" w:hint="default"/>
        </w:rPr>
      </w:pPr>
      <w:r>
        <w:rPr>
          <w:spacing w:val="-2"/>
        </w:rPr>
        <w:t>智慧航运和智慧物流领域，加快推进和完善“数字中台”等中台体系建设和数字治理工作，通过</w:t>
      </w:r>
      <w:r>
        <w:rPr>
          <w:w w:val="100"/>
        </w:rPr>
        <w:t> </w:t>
      </w:r>
      <w:r>
        <w:rPr/>
        <w:t>自主研发和集成创新相结合，持续优化数据服务中台技术框架体系，推进集团“互联网</w:t>
      </w:r>
      <w:r>
        <w:rPr>
          <w:rFonts w:ascii="宋体" w:hAnsi="宋体" w:cs="宋体" w:eastAsia="宋体" w:hint="default"/>
        </w:rPr>
        <w:t>+</w:t>
      </w:r>
      <w:r>
        <w:rPr/>
        <w:t>”平台的合</w:t>
      </w:r>
      <w:r>
        <w:rPr>
          <w:spacing w:val="-41"/>
        </w:rPr>
        <w:t> </w:t>
      </w:r>
      <w:r>
        <w:rPr>
          <w:spacing w:val="-41"/>
        </w:rPr>
      </w:r>
      <w:r>
        <w:rPr>
          <w:spacing w:val="-2"/>
        </w:rPr>
        <w:t>作与推广，实现平台的模式创新；推进集团数据集成平台建设，汇集各板块运营、财务、投资、人力</w:t>
      </w:r>
      <w:r>
        <w:rPr>
          <w:spacing w:val="-75"/>
        </w:rPr>
        <w:t> </w:t>
      </w:r>
      <w:r>
        <w:rPr>
          <w:spacing w:val="-75"/>
        </w:rPr>
      </w:r>
      <w:r>
        <w:rPr/>
        <w:t>资源等数据，打通自下而上数据链条，加快构建数据管理体系。</w:t>
      </w:r>
      <w:r>
        <w:rPr>
          <w:rFonts w:ascii="宋体" w:hAnsi="宋体" w:cs="宋体" w:eastAsia="宋体" w:hint="default"/>
        </w:rPr>
        <w:t> </w:t>
      </w:r>
    </w:p>
    <w:p>
      <w:pPr>
        <w:pStyle w:val="BodyText"/>
        <w:spacing w:line="259" w:lineRule="auto" w:before="47"/>
        <w:ind w:right="0" w:firstLine="439"/>
        <w:jc w:val="left"/>
      </w:pPr>
      <w:r>
        <w:rPr/>
        <w:t>智慧安防领域，进一步加强技术协同合作，构建基于人工智能技术的云、边、端产品平台，推进</w:t>
      </w:r>
      <w:r>
        <w:rPr>
          <w:w w:val="100"/>
        </w:rPr>
        <w:t> </w:t>
      </w:r>
      <w:r>
        <w:rPr>
          <w:spacing w:val="-5"/>
        </w:rPr>
        <w:t>深度学习等新技术在视频产品中的应用，采用机器学习、深度学习等技术，优化升级高清事件检测器、</w:t>
      </w:r>
      <w:r>
        <w:rPr>
          <w:spacing w:val="-48"/>
        </w:rPr>
        <w:t> </w:t>
      </w:r>
      <w:r>
        <w:rPr>
          <w:spacing w:val="-48"/>
        </w:rPr>
      </w:r>
      <w:r>
        <w:rPr/>
        <w:t>违停抓拍等传统视频分析软件产品，丰富事件检测类型，提升软件系统及产品性能。</w:t>
      </w:r>
    </w:p>
    <w:p>
      <w:pPr>
        <w:pStyle w:val="BodyText"/>
        <w:spacing w:line="240" w:lineRule="auto" w:before="45"/>
        <w:ind w:left="592" w:right="1133"/>
        <w:jc w:val="left"/>
      </w:pPr>
      <w:r>
        <w:rPr>
          <w:rFonts w:ascii="Times New Roman" w:hAnsi="Times New Roman" w:cs="Times New Roman" w:eastAsia="Times New Roman" w:hint="default"/>
        </w:rPr>
        <w:t>3</w:t>
      </w:r>
      <w:r>
        <w:rPr/>
        <w:t>、加快改革步伐，充分激发企业发展活力</w:t>
      </w:r>
    </w:p>
    <w:p>
      <w:pPr>
        <w:pStyle w:val="BodyText"/>
        <w:spacing w:line="259" w:lineRule="auto" w:before="48"/>
        <w:ind w:right="1127" w:firstLine="439"/>
        <w:jc w:val="both"/>
        <w:rPr>
          <w:rFonts w:ascii="宋体" w:hAnsi="宋体" w:cs="宋体" w:eastAsia="宋体" w:hint="default"/>
        </w:rPr>
      </w:pPr>
      <w:r>
        <w:rPr>
          <w:rFonts w:ascii="宋体" w:hAnsi="宋体" w:cs="宋体" w:eastAsia="宋体" w:hint="default"/>
          <w:spacing w:val="-2"/>
        </w:rPr>
        <w:t>2020</w:t>
      </w:r>
      <w:r>
        <w:rPr>
          <w:spacing w:val="-2"/>
        </w:rPr>
        <w:t>年，公司将持续推进国有企业综合改革进程，坚持人才强企战略，积极深化公司全体员工人</w:t>
      </w:r>
      <w:r>
        <w:rPr>
          <w:w w:val="100"/>
        </w:rPr>
        <w:t> </w:t>
      </w:r>
      <w:r>
        <w:rPr>
          <w:spacing w:val="-2"/>
        </w:rPr>
        <w:t>事、用工和考核分配三项制度改革，实现下属公司的三项制度全覆盖，推进实施限制性股票激励计划</w:t>
      </w:r>
      <w:r>
        <w:rPr>
          <w:spacing w:val="-65"/>
        </w:rPr>
        <w:t> </w:t>
      </w:r>
      <w:r>
        <w:rPr>
          <w:spacing w:val="-65"/>
        </w:rPr>
      </w:r>
      <w:r>
        <w:rPr/>
        <w:t>授予登记工作。积极探索市场化用工制度改革，充分激发公司发展活力。</w:t>
      </w:r>
      <w:r>
        <w:rPr>
          <w:rFonts w:ascii="宋体" w:hAnsi="宋体" w:cs="宋体" w:eastAsia="宋体" w:hint="default"/>
        </w:rPr>
        <w:t> </w:t>
      </w:r>
    </w:p>
    <w:p>
      <w:pPr>
        <w:pStyle w:val="BodyText"/>
        <w:spacing w:line="259" w:lineRule="auto" w:before="47"/>
        <w:ind w:right="1131" w:firstLine="439"/>
        <w:jc w:val="both"/>
      </w:pPr>
      <w:r>
        <w:rPr/>
        <w:t>公司将继续强化信息化建设，通过</w:t>
      </w:r>
      <w:r>
        <w:rPr>
          <w:rFonts w:ascii="宋体" w:hAnsi="宋体" w:cs="宋体" w:eastAsia="宋体" w:hint="default"/>
        </w:rPr>
        <w:t>ERP</w:t>
      </w:r>
      <w:r>
        <w:rPr/>
        <w:t>、</w:t>
      </w:r>
      <w:r>
        <w:rPr>
          <w:rFonts w:ascii="宋体" w:hAnsi="宋体" w:cs="宋体" w:eastAsia="宋体" w:hint="default"/>
        </w:rPr>
        <w:t>OA</w:t>
      </w:r>
      <w:r>
        <w:rPr/>
        <w:t>等信息化系统优化业务流程管控、预算成本管理、内</w:t>
      </w:r>
      <w:r>
        <w:rPr>
          <w:w w:val="100"/>
        </w:rPr>
        <w:t> </w:t>
      </w:r>
      <w:r>
        <w:rPr/>
        <w:t>部风险控制，实现企业精益管理，进一步提高管理运营效率效益。</w:t>
      </w:r>
    </w:p>
    <w:p>
      <w:pPr>
        <w:spacing w:after="0" w:line="259" w:lineRule="auto"/>
        <w:jc w:val="both"/>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1133"/>
        <w:jc w:val="left"/>
        <w:rPr>
          <w:b w:val="0"/>
          <w:bCs w:val="0"/>
        </w:rPr>
      </w:pPr>
      <w:r>
        <w:rPr/>
        <w:t>十、接待调研、沟通、采访等活动</w:t>
      </w:r>
      <w:r>
        <w:rPr>
          <w:b w:val="0"/>
          <w:bCs w:val="0"/>
        </w:rPr>
      </w:r>
    </w:p>
    <w:p>
      <w:pPr>
        <w:spacing w:line="240" w:lineRule="auto" w:before="12"/>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、报告期内接待调研、沟通、采访等活动登记表</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40" w:lineRule="auto" w:before="0"/>
        <w:ind w:left="152" w:right="66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公司报告期内未发生接待调研、沟通、采访等活动。</w:t>
      </w:r>
    </w:p>
    <w:p>
      <w:pPr>
        <w:spacing w:after="0" w:line="3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762"/>
        <w:jc w:val="center"/>
        <w:rPr>
          <w:b w:val="0"/>
          <w:bCs w:val="0"/>
        </w:rPr>
      </w:pPr>
      <w:bookmarkStart w:name="_bookmark4" w:id="5"/>
      <w:bookmarkEnd w:id="5"/>
      <w:r>
        <w:rPr>
          <w:b w:val="0"/>
          <w:bCs w:val="0"/>
        </w:rPr>
      </w:r>
      <w:r>
        <w:rPr/>
        <w:t>第五节重要事项</w:t>
      </w:r>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1133"/>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71"/>
        <w:ind w:left="592" w:right="1133"/>
        <w:jc w:val="left"/>
      </w:pPr>
      <w:r>
        <w:rPr/>
        <w:t>报告期内，公司利润分配政策未作调整。</w:t>
      </w:r>
    </w:p>
    <w:p>
      <w:pPr>
        <w:spacing w:line="240" w:lineRule="auto" w:before="8"/>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398"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5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年（包括本报告期</w:t>
      </w:r>
      <w:r>
        <w:rPr>
          <w:rFonts w:ascii="宋体" w:hAnsi="宋体" w:cs="宋体" w:eastAsia="宋体" w:hint="default"/>
          <w:spacing w:val="-3"/>
          <w:sz w:val="18"/>
          <w:szCs w:val="18"/>
        </w:rPr>
        <w:t>）</w:t>
      </w:r>
      <w:r>
        <w:rPr>
          <w:rFonts w:ascii="宋体" w:hAnsi="宋体" w:cs="宋体" w:eastAsia="宋体" w:hint="default"/>
          <w:sz w:val="18"/>
          <w:szCs w:val="18"/>
        </w:rPr>
        <w:t>的普通股股利分配方案（预案</w:t>
      </w:r>
      <w:r>
        <w:rPr>
          <w:rFonts w:ascii="宋体" w:hAnsi="宋体" w:cs="宋体" w:eastAsia="宋体" w:hint="default"/>
          <w:spacing w:val="-89"/>
          <w:sz w:val="18"/>
          <w:szCs w:val="18"/>
        </w:rPr>
        <w:t>）</w:t>
      </w:r>
      <w:r>
        <w:rPr>
          <w:rFonts w:ascii="宋体" w:hAnsi="宋体" w:cs="宋体" w:eastAsia="宋体" w:hint="default"/>
          <w:sz w:val="18"/>
          <w:szCs w:val="18"/>
        </w:rPr>
        <w:t>、资本公积金转增股本方案（预案）情况</w:t>
      </w:r>
    </w:p>
    <w:p>
      <w:pPr>
        <w:pStyle w:val="BodyText"/>
        <w:spacing w:line="244" w:lineRule="auto" w:before="71"/>
        <w:ind w:right="1198" w:firstLine="439"/>
        <w:jc w:val="both"/>
      </w:pPr>
      <w:r>
        <w:rPr>
          <w:rFonts w:ascii="Times New Roman" w:hAnsi="Times New Roman" w:cs="Times New Roman" w:eastAsia="Times New Roman" w:hint="default"/>
          <w:spacing w:val="-1"/>
        </w:rPr>
        <w:t>1</w:t>
      </w:r>
      <w:r>
        <w:rPr>
          <w:spacing w:val="-1"/>
        </w:rPr>
        <w:t>、公司</w:t>
      </w:r>
      <w:r>
        <w:rPr>
          <w:rFonts w:ascii="Times New Roman" w:hAnsi="Times New Roman" w:cs="Times New Roman" w:eastAsia="Times New Roman" w:hint="default"/>
          <w:spacing w:val="-1"/>
        </w:rPr>
        <w:t>2017</w:t>
      </w:r>
      <w:r>
        <w:rPr>
          <w:spacing w:val="-1"/>
        </w:rPr>
        <w:t>年度利润分配方案为：以公司总股本</w:t>
      </w:r>
      <w:r>
        <w:rPr>
          <w:rFonts w:ascii="Times New Roman" w:hAnsi="Times New Roman" w:cs="Times New Roman" w:eastAsia="Times New Roman" w:hint="default"/>
          <w:spacing w:val="-1"/>
        </w:rPr>
        <w:t>303,240,000</w:t>
      </w:r>
      <w:r>
        <w:rPr>
          <w:spacing w:val="-1"/>
        </w:rPr>
        <w:t>股为基数，向全体股东每</w:t>
      </w:r>
      <w:r>
        <w:rPr>
          <w:rFonts w:ascii="Times New Roman" w:hAnsi="Times New Roman" w:cs="Times New Roman" w:eastAsia="Times New Roman" w:hint="default"/>
          <w:spacing w:val="-1"/>
        </w:rPr>
        <w:t>10</w:t>
      </w:r>
      <w:r>
        <w:rPr>
          <w:spacing w:val="-1"/>
        </w:rPr>
        <w:t>股派发</w:t>
      </w:r>
      <w:r>
        <w:rPr>
          <w:w w:val="100"/>
        </w:rPr>
        <w:t> </w:t>
      </w:r>
      <w:r>
        <w:rPr/>
        <w:t>现金红利</w:t>
      </w:r>
      <w:r>
        <w:rPr>
          <w:rFonts w:ascii="Times New Roman" w:hAnsi="Times New Roman" w:cs="Times New Roman" w:eastAsia="Times New Roman" w:hint="default"/>
        </w:rPr>
        <w:t>0.50</w:t>
      </w:r>
      <w:r>
        <w:rPr/>
        <w:t>元（含税），不送红股，不以公积金转增股本。</w:t>
      </w:r>
    </w:p>
    <w:p>
      <w:pPr>
        <w:pStyle w:val="BodyText"/>
        <w:spacing w:line="244" w:lineRule="auto" w:before="43"/>
        <w:ind w:right="1131" w:firstLine="439"/>
        <w:jc w:val="both"/>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2018</w:t>
      </w:r>
      <w:r>
        <w:rPr/>
        <w:t>年度利润分配方案为：以公司总股本</w:t>
      </w:r>
      <w:r>
        <w:rPr>
          <w:rFonts w:ascii="Times New Roman" w:hAnsi="Times New Roman" w:cs="Times New Roman" w:eastAsia="Times New Roman" w:hint="default"/>
        </w:rPr>
        <w:t>303,240,000</w:t>
      </w:r>
      <w:r>
        <w:rPr/>
        <w:t>股为基数，向全体股东每</w:t>
      </w:r>
      <w:r>
        <w:rPr>
          <w:rFonts w:ascii="Times New Roman" w:hAnsi="Times New Roman" w:cs="Times New Roman" w:eastAsia="Times New Roman" w:hint="default"/>
        </w:rPr>
        <w:t>10</w:t>
      </w:r>
      <w:r>
        <w:rPr/>
        <w:t>股派发</w:t>
      </w:r>
      <w:r>
        <w:rPr>
          <w:w w:val="100"/>
        </w:rPr>
        <w:t> </w:t>
      </w:r>
      <w:r>
        <w:rPr/>
        <w:t>现金红利</w:t>
      </w:r>
      <w:r>
        <w:rPr>
          <w:rFonts w:ascii="Times New Roman" w:hAnsi="Times New Roman" w:cs="Times New Roman" w:eastAsia="Times New Roman" w:hint="default"/>
        </w:rPr>
        <w:t>0.50</w:t>
      </w:r>
      <w:r>
        <w:rPr/>
        <w:t>元（含税），不送红股，不以公积金转增股本。</w:t>
      </w:r>
    </w:p>
    <w:p>
      <w:pPr>
        <w:pStyle w:val="BodyText"/>
        <w:spacing w:line="244" w:lineRule="auto" w:before="43"/>
        <w:ind w:right="1128" w:firstLine="439"/>
        <w:jc w:val="both"/>
      </w:pP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2019</w:t>
      </w:r>
      <w:r>
        <w:rPr/>
        <w:t>年度利润分配预案为：由于公司总股本在分配方案实施前可能会由于股份回购等原</w:t>
      </w:r>
      <w:r>
        <w:rPr>
          <w:w w:val="100"/>
        </w:rPr>
        <w:t> </w:t>
      </w:r>
      <w:r>
        <w:rPr>
          <w:spacing w:val="-2"/>
        </w:rPr>
        <w:t>因发生变化，故公司拟以未来实施分配方案时股权登记日的总股本为基数，向全体股东每</w:t>
      </w:r>
      <w:r>
        <w:rPr>
          <w:rFonts w:ascii="Times New Roman" w:hAnsi="Times New Roman" w:cs="Times New Roman" w:eastAsia="Times New Roman" w:hint="default"/>
          <w:spacing w:val="-2"/>
        </w:rPr>
        <w:t>10</w:t>
      </w:r>
      <w:r>
        <w:rPr>
          <w:spacing w:val="-2"/>
        </w:rPr>
        <w:t>股派发现</w:t>
      </w:r>
      <w:r>
        <w:rPr>
          <w:spacing w:val="-66"/>
        </w:rPr>
        <w:t> </w:t>
      </w:r>
      <w:r>
        <w:rPr>
          <w:spacing w:val="-66"/>
        </w:rPr>
      </w:r>
      <w:r>
        <w:rPr>
          <w:spacing w:val="-5"/>
        </w:rPr>
        <w:t>金红利</w:t>
      </w:r>
      <w:r>
        <w:rPr>
          <w:rFonts w:ascii="Times New Roman" w:hAnsi="Times New Roman" w:cs="Times New Roman" w:eastAsia="Times New Roman" w:hint="default"/>
          <w:spacing w:val="-5"/>
        </w:rPr>
        <w:t>0.50</w:t>
      </w:r>
      <w:r>
        <w:rPr>
          <w:spacing w:val="-5"/>
        </w:rPr>
        <w:t>元（含税），不送红股，不以公积金转增股本。暂以董事会审议时公司的总股本</w:t>
      </w:r>
      <w:r>
        <w:rPr>
          <w:rFonts w:ascii="Times New Roman" w:hAnsi="Times New Roman" w:cs="Times New Roman" w:eastAsia="Times New Roman" w:hint="default"/>
          <w:spacing w:val="-5"/>
        </w:rPr>
        <w:t>309,400,100</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spacing w:val="-1"/>
        </w:rPr>
        <w:t>股计算，现金分红总额为</w:t>
      </w:r>
      <w:r>
        <w:rPr>
          <w:rFonts w:ascii="Times New Roman" w:hAnsi="Times New Roman" w:cs="Times New Roman" w:eastAsia="Times New Roman" w:hint="default"/>
          <w:spacing w:val="-1"/>
        </w:rPr>
        <w:t>15,470,005.00</w:t>
      </w:r>
      <w:r>
        <w:rPr>
          <w:spacing w:val="-1"/>
        </w:rPr>
        <w:t>元。董事会审议上述利润分配方案后至权益分派实施公告确定</w:t>
      </w:r>
      <w:r>
        <w:rPr>
          <w:spacing w:val="-49"/>
        </w:rPr>
        <w:t> </w:t>
      </w:r>
      <w:r>
        <w:rPr>
          <w:spacing w:val="-49"/>
        </w:rPr>
      </w:r>
      <w:r>
        <w:rPr/>
        <w:t>的股权登记日前公司总股本发生变动的，将按照现金分红总额不变的原则对分配比例进行调整。</w:t>
      </w:r>
    </w:p>
    <w:p>
      <w:pPr>
        <w:spacing w:before="88"/>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7"/>
        <w:gridCol w:w="1195"/>
        <w:gridCol w:w="1197"/>
        <w:gridCol w:w="1184"/>
        <w:gridCol w:w="1208"/>
        <w:gridCol w:w="1184"/>
      </w:tblGrid>
      <w:tr>
        <w:trPr>
          <w:trHeight w:val="161" w:hRule="exact"/>
        </w:trPr>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
        </w:tc>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51" w:right="41"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1" w:right="53"/>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7" w:type="dxa"/>
            <w:vMerge/>
            <w:tcBorders>
              <w:left w:val="single" w:sz="4" w:space="0" w:color="000000"/>
              <w:right w:val="single" w:sz="4" w:space="0" w:color="000000"/>
            </w:tcBorders>
            <w:shd w:val="clear" w:color="auto" w:fill="D2D2D2"/>
          </w:tcPr>
          <w:p>
            <w:pPr/>
          </w:p>
        </w:tc>
        <w:tc>
          <w:tcPr>
            <w:tcW w:w="11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41"/>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2"/>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51"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23" w:right="141"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1"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15,470,005.00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96,640,953.70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16.01%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15,470,005.00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16.01%</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15,162,000.00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83,190,054.62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18.23%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15,162,000.00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18.23%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5"/>
        <w:gridCol w:w="1198"/>
        <w:gridCol w:w="1195"/>
        <w:gridCol w:w="1196"/>
        <w:gridCol w:w="1198"/>
      </w:tblGrid>
      <w:tr>
        <w:trPr>
          <w:trHeight w:val="40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15,162,000.00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75,950,988.59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9" w:right="0"/>
              <w:jc w:val="left"/>
              <w:rPr>
                <w:rFonts w:ascii="Times New Roman" w:hAnsi="Times New Roman" w:cs="Times New Roman" w:eastAsia="Times New Roman" w:hint="default"/>
                <w:sz w:val="18"/>
                <w:szCs w:val="18"/>
              </w:rPr>
            </w:pPr>
            <w:r>
              <w:rPr>
                <w:rFonts w:ascii="Times New Roman"/>
                <w:sz w:val="18"/>
              </w:rPr>
              <w:t>19.96%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8" w:right="0"/>
              <w:jc w:val="lef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15,162,000.00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9" w:right="0"/>
              <w:jc w:val="left"/>
              <w:rPr>
                <w:rFonts w:ascii="Times New Roman" w:hAnsi="Times New Roman" w:cs="Times New Roman" w:eastAsia="Times New Roman" w:hint="default"/>
                <w:sz w:val="18"/>
                <w:szCs w:val="18"/>
              </w:rPr>
            </w:pPr>
            <w:r>
              <w:rPr>
                <w:rFonts w:ascii="Times New Roman"/>
                <w:sz w:val="18"/>
              </w:rPr>
              <w:t>19.96%</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5"/>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1133"/>
        <w:jc w:val="left"/>
        <w:rPr>
          <w:b w:val="0"/>
          <w:bCs w:val="0"/>
        </w:rPr>
      </w:pPr>
      <w:r>
        <w:rPr/>
        <w:t>二、本报告期利润分配及资本公积金转增股本情况</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773"/>
        <w:gridCol w:w="5786"/>
      </w:tblGrid>
      <w:tr>
        <w:trPr>
          <w:trHeight w:val="403"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w:t>
            </w:r>
          </w:p>
        </w:tc>
      </w:tr>
      <w:tr>
        <w:trPr>
          <w:trHeight w:val="404"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hAnsi="宋体" w:cs="宋体" w:eastAsia="宋体" w:hint="default"/>
                <w:sz w:val="18"/>
                <w:szCs w:val="18"/>
              </w:rPr>
              <w:t>以未来实施分配方案时股权登记日的总股本</w:t>
            </w:r>
          </w:p>
        </w:tc>
      </w:tr>
      <w:tr>
        <w:trPr>
          <w:trHeight w:val="403"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15,470,005.00</w:t>
            </w:r>
          </w:p>
        </w:tc>
      </w:tr>
      <w:tr>
        <w:trPr>
          <w:trHeight w:val="401" w:hRule="exact"/>
        </w:trPr>
        <w:tc>
          <w:tcPr>
            <w:tcW w:w="37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786" w:type="dxa"/>
            <w:tcBorders>
              <w:top w:val="single" w:sz="4" w:space="0" w:color="000000"/>
              <w:left w:val="single" w:sz="2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15,470,005.00</w:t>
            </w:r>
          </w:p>
        </w:tc>
      </w:tr>
      <w:tr>
        <w:trPr>
          <w:trHeight w:val="401"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539,697,593.18</w:t>
            </w:r>
          </w:p>
        </w:tc>
      </w:tr>
      <w:tr>
        <w:trPr>
          <w:trHeight w:val="715"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2"/>
                <w:sz w:val="18"/>
                <w:szCs w:val="18"/>
              </w:rPr>
              <w:t>现金分红总额（含其他方式）占利润分配总额的</w:t>
            </w:r>
            <w:r>
              <w:rPr>
                <w:rFonts w:ascii="宋体" w:hAnsi="宋体" w:cs="宋体" w:eastAsia="宋体" w:hint="default"/>
                <w:sz w:val="18"/>
                <w:szCs w:val="18"/>
              </w:rPr>
              <w:t> 比例</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公司发展阶段属成熟期且无重大资金支出安排的，进行利润分配时，现金分红在本次利润分配中所占比例最低应达到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80</w:t>
            </w:r>
            <w:r>
              <w:rPr>
                <w:rFonts w:ascii="宋体" w:hAnsi="宋体" w:cs="宋体" w:eastAsia="宋体" w:hint="default"/>
                <w:spacing w:val="-1"/>
                <w:sz w:val="18"/>
                <w:szCs w:val="18"/>
              </w:rPr>
              <w:t>％</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651"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年度利润分配预案为：由于公司总股本在分配方案实施前可能会由于股份回购等原因发生变化，故公司拟以未</w:t>
            </w:r>
          </w:p>
          <w:p>
            <w:pPr>
              <w:pStyle w:val="TableParagraph"/>
              <w:spacing w:line="240" w:lineRule="auto" w:before="63"/>
              <w:ind w:left="12" w:right="0"/>
              <w:jc w:val="both"/>
              <w:rPr>
                <w:rFonts w:ascii="宋体" w:hAnsi="宋体" w:cs="宋体" w:eastAsia="宋体" w:hint="default"/>
                <w:sz w:val="18"/>
                <w:szCs w:val="18"/>
              </w:rPr>
            </w:pPr>
            <w:r>
              <w:rPr>
                <w:rFonts w:ascii="宋体" w:hAnsi="宋体" w:cs="宋体" w:eastAsia="宋体" w:hint="default"/>
                <w:sz w:val="18"/>
                <w:szCs w:val="18"/>
              </w:rPr>
              <w:t>来实施分配方案时股权登记日的总股本为基数</w:t>
            </w:r>
            <w:r>
              <w:rPr>
                <w:rFonts w:ascii="宋体" w:hAnsi="宋体" w:cs="宋体" w:eastAsia="宋体" w:hint="default"/>
                <w:spacing w:val="-20"/>
                <w:sz w:val="18"/>
                <w:szCs w:val="18"/>
              </w:rPr>
              <w:t>，</w:t>
            </w:r>
            <w:r>
              <w:rPr>
                <w:rFonts w:ascii="宋体" w:hAnsi="宋体" w:cs="宋体" w:eastAsia="宋体" w:hint="default"/>
                <w:sz w:val="18"/>
                <w:szCs w:val="18"/>
              </w:rPr>
              <w:t>向全体股东每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股派发现金</w:t>
            </w:r>
            <w:r>
              <w:rPr>
                <w:rFonts w:ascii="宋体" w:hAnsi="宋体" w:cs="宋体" w:eastAsia="宋体" w:hint="default"/>
                <w:spacing w:val="-3"/>
                <w:sz w:val="18"/>
                <w:szCs w:val="18"/>
              </w:rPr>
              <w:t>红</w:t>
            </w:r>
            <w:r>
              <w:rPr>
                <w:rFonts w:ascii="宋体" w:hAnsi="宋体" w:cs="宋体" w:eastAsia="宋体" w:hint="default"/>
                <w:sz w:val="18"/>
                <w:szCs w:val="18"/>
              </w:rPr>
              <w:t>利</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pacing w:val="-22"/>
                <w:sz w:val="18"/>
                <w:szCs w:val="18"/>
              </w:rPr>
              <w:t>元</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pacing w:val="-20"/>
                <w:sz w:val="18"/>
                <w:szCs w:val="18"/>
              </w:rPr>
              <w:t>，</w:t>
            </w:r>
            <w:r>
              <w:rPr>
                <w:rFonts w:ascii="宋体" w:hAnsi="宋体" w:cs="宋体" w:eastAsia="宋体" w:hint="default"/>
                <w:sz w:val="18"/>
                <w:szCs w:val="18"/>
              </w:rPr>
              <w:t>不送红</w:t>
            </w:r>
            <w:r>
              <w:rPr>
                <w:rFonts w:ascii="宋体" w:hAnsi="宋体" w:cs="宋体" w:eastAsia="宋体" w:hint="default"/>
                <w:spacing w:val="2"/>
                <w:sz w:val="18"/>
                <w:szCs w:val="18"/>
              </w:rPr>
              <w:t>股</w:t>
            </w:r>
            <w:r>
              <w:rPr>
                <w:rFonts w:ascii="宋体" w:hAnsi="宋体" w:cs="宋体" w:eastAsia="宋体" w:hint="default"/>
                <w:spacing w:val="-20"/>
                <w:sz w:val="18"/>
                <w:szCs w:val="18"/>
              </w:rPr>
              <w:t>，</w:t>
            </w:r>
            <w:r>
              <w:rPr>
                <w:rFonts w:ascii="宋体" w:hAnsi="宋体" w:cs="宋体" w:eastAsia="宋体" w:hint="default"/>
                <w:sz w:val="18"/>
                <w:szCs w:val="18"/>
              </w:rPr>
              <w:t>不以公</w:t>
            </w:r>
            <w:r>
              <w:rPr>
                <w:rFonts w:ascii="宋体" w:hAnsi="宋体" w:cs="宋体" w:eastAsia="宋体" w:hint="default"/>
                <w:spacing w:val="2"/>
                <w:sz w:val="18"/>
                <w:szCs w:val="18"/>
              </w:rPr>
              <w:t>积</w:t>
            </w:r>
            <w:r>
              <w:rPr>
                <w:rFonts w:ascii="宋体" w:hAnsi="宋体" w:cs="宋体" w:eastAsia="宋体" w:hint="default"/>
                <w:sz w:val="18"/>
                <w:szCs w:val="18"/>
              </w:rPr>
              <w:t>金</w:t>
            </w:r>
          </w:p>
          <w:p>
            <w:pPr>
              <w:pStyle w:val="TableParagraph"/>
              <w:spacing w:line="309" w:lineRule="auto" w:before="63"/>
              <w:ind w:left="12" w:right="22"/>
              <w:jc w:val="both"/>
              <w:rPr>
                <w:rFonts w:ascii="宋体" w:hAnsi="宋体" w:cs="宋体" w:eastAsia="宋体" w:hint="default"/>
                <w:sz w:val="18"/>
                <w:szCs w:val="18"/>
              </w:rPr>
            </w:pPr>
            <w:r>
              <w:rPr>
                <w:rFonts w:ascii="宋体" w:hAnsi="宋体" w:cs="宋体" w:eastAsia="宋体" w:hint="default"/>
                <w:sz w:val="18"/>
                <w:szCs w:val="18"/>
              </w:rPr>
              <w:t>转增股本。暂以董事会审议时公司的总股本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309,400,100 </w:t>
            </w:r>
            <w:r>
              <w:rPr>
                <w:rFonts w:ascii="宋体" w:hAnsi="宋体" w:cs="宋体" w:eastAsia="宋体" w:hint="default"/>
                <w:sz w:val="18"/>
                <w:szCs w:val="18"/>
              </w:rPr>
              <w:t>股计算，现金分红总额为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15,470,005.00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元。董事会审议上述利润 </w:t>
            </w:r>
            <w:r>
              <w:rPr>
                <w:rFonts w:ascii="宋体" w:hAnsi="宋体" w:cs="宋体" w:eastAsia="宋体" w:hint="default"/>
                <w:spacing w:val="-1"/>
                <w:sz w:val="18"/>
                <w:szCs w:val="18"/>
              </w:rPr>
              <w:t>分配方案后至权益分派实施公告确定的股权登记日前公司总股本发生变动的，将按照现金分红总额不变的原则对分配比例</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进行调整。</w:t>
            </w:r>
          </w:p>
        </w:tc>
      </w:tr>
    </w:tbl>
    <w:p>
      <w:pPr>
        <w:spacing w:line="240" w:lineRule="auto" w:before="1"/>
        <w:rPr>
          <w:rFonts w:ascii="宋体" w:hAnsi="宋体" w:cs="宋体" w:eastAsia="宋体" w:hint="default"/>
          <w:sz w:val="18"/>
          <w:szCs w:val="18"/>
        </w:rPr>
      </w:pPr>
    </w:p>
    <w:p>
      <w:pPr>
        <w:pStyle w:val="Heading3"/>
        <w:spacing w:line="240" w:lineRule="auto" w:before="26"/>
        <w:ind w:right="1133"/>
        <w:jc w:val="left"/>
        <w:rPr>
          <w:b w:val="0"/>
          <w:bCs w:val="0"/>
        </w:rPr>
      </w:pPr>
      <w:r>
        <w:rPr/>
        <w:t>三、承诺事项履行情况</w:t>
      </w:r>
      <w:r>
        <w:rPr>
          <w:b w:val="0"/>
          <w:bCs w:val="0"/>
        </w:rPr>
      </w:r>
    </w:p>
    <w:p>
      <w:pPr>
        <w:spacing w:line="240" w:lineRule="auto" w:before="10"/>
        <w:rPr>
          <w:rFonts w:ascii="宋体" w:hAnsi="宋体" w:cs="宋体" w:eastAsia="宋体" w:hint="default"/>
          <w:b/>
          <w:bCs/>
          <w:sz w:val="24"/>
          <w:szCs w:val="24"/>
        </w:rPr>
      </w:pPr>
    </w:p>
    <w:p>
      <w:pPr>
        <w:spacing w:line="259" w:lineRule="auto" w:before="0"/>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、公司实际控制人、股东、关联方、收购人以及公司等承诺相关方在报告期内履行完毕及截至报告期末</w:t>
      </w:r>
      <w:r>
        <w:rPr>
          <w:rFonts w:ascii="宋体" w:hAnsi="宋体" w:cs="宋体" w:eastAsia="宋体" w:hint="default"/>
          <w:b/>
          <w:bCs/>
          <w:spacing w:val="-65"/>
          <w:sz w:val="21"/>
          <w:szCs w:val="21"/>
        </w:rPr>
        <w:t> </w:t>
      </w:r>
      <w:r>
        <w:rPr>
          <w:rFonts w:ascii="宋体" w:hAnsi="宋体" w:cs="宋体" w:eastAsia="宋体" w:hint="default"/>
          <w:b/>
          <w:bCs/>
          <w:spacing w:val="-65"/>
          <w:sz w:val="21"/>
          <w:szCs w:val="21"/>
        </w:rPr>
      </w:r>
      <w:r>
        <w:rPr>
          <w:rFonts w:ascii="宋体" w:hAnsi="宋体" w:cs="宋体" w:eastAsia="宋体" w:hint="default"/>
          <w:b/>
          <w:bCs/>
          <w:sz w:val="21"/>
          <w:szCs w:val="21"/>
        </w:rPr>
        <w:t>尚未履行完毕的承诺事项</w:t>
      </w:r>
      <w:r>
        <w:rPr>
          <w:rFonts w:ascii="宋体" w:hAnsi="宋体" w:cs="宋体" w:eastAsia="宋体" w:hint="default"/>
          <w:sz w:val="21"/>
          <w:szCs w:val="21"/>
        </w:rPr>
      </w:r>
    </w:p>
    <w:p>
      <w:pPr>
        <w:spacing w:line="240" w:lineRule="auto" w:before="1"/>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826"/>
        <w:gridCol w:w="1123"/>
        <w:gridCol w:w="1128"/>
        <w:gridCol w:w="1126"/>
        <w:gridCol w:w="1126"/>
        <w:gridCol w:w="1121"/>
        <w:gridCol w:w="1106"/>
      </w:tblGrid>
      <w:tr>
        <w:trPr>
          <w:trHeight w:val="403" w:hRule="exact"/>
        </w:trPr>
        <w:tc>
          <w:tcPr>
            <w:tcW w:w="2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607" w:hRule="exact"/>
        </w:trPr>
        <w:tc>
          <w:tcPr>
            <w:tcW w:w="28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3"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316" w:lineRule="auto"/>
              <w:ind w:left="16" w:right="187"/>
              <w:jc w:val="both"/>
              <w:rPr>
                <w:rFonts w:ascii="宋体" w:hAnsi="宋体" w:cs="宋体" w:eastAsia="宋体" w:hint="default"/>
                <w:sz w:val="18"/>
                <w:szCs w:val="18"/>
              </w:rPr>
            </w:pPr>
            <w:r>
              <w:rPr>
                <w:rFonts w:ascii="宋体" w:hAnsi="宋体" w:cs="宋体" w:eastAsia="宋体" w:hint="default"/>
                <w:sz w:val="18"/>
                <w:szCs w:val="18"/>
              </w:rPr>
              <w:t>中国远洋海 运集团有限 公司</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316" w:lineRule="auto"/>
              <w:ind w:left="26" w:right="191"/>
              <w:jc w:val="both"/>
              <w:rPr>
                <w:rFonts w:ascii="宋体" w:hAnsi="宋体" w:cs="宋体" w:eastAsia="宋体" w:hint="default"/>
                <w:sz w:val="18"/>
                <w:szCs w:val="18"/>
              </w:rPr>
            </w:pPr>
            <w:r>
              <w:rPr>
                <w:rFonts w:ascii="宋体" w:hAnsi="宋体" w:cs="宋体" w:eastAsia="宋体" w:hint="default"/>
                <w:sz w:val="18"/>
                <w:szCs w:val="18"/>
              </w:rPr>
              <w:t>关于上市公 司独立性的 承诺</w:t>
            </w:r>
          </w:p>
        </w:tc>
        <w:tc>
          <w:tcPr>
            <w:tcW w:w="1126"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本次无偿划 转完成后，在 本集团直接 或间接持有 中海科技控 股股权期间，</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706" w:hRule="exact"/>
        </w:trPr>
        <w:tc>
          <w:tcPr>
            <w:tcW w:w="28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102"/>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3" w:type="dxa"/>
            <w:vMerge/>
            <w:tcBorders>
              <w:left w:val="single" w:sz="10" w:space="0" w:color="D2D2D2"/>
              <w:right w:val="single" w:sz="4" w:space="0" w:color="000000"/>
            </w:tcBorders>
          </w:tcPr>
          <w:p>
            <w:pP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610" w:hRule="exact"/>
        </w:trPr>
        <w:tc>
          <w:tcPr>
            <w:tcW w:w="28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3" w:type="dxa"/>
            <w:vMerge/>
            <w:tcBorders>
              <w:left w:val="single" w:sz="10" w:space="0" w:color="D2D2D2"/>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10348"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其自身并通 过中国远洋 运输</w:t>
            </w:r>
            <w:r>
              <w:rPr>
                <w:rFonts w:ascii="Times New Roman" w:hAnsi="Times New Roman" w:cs="Times New Roman" w:eastAsia="Times New Roman" w:hint="default"/>
                <w:sz w:val="18"/>
                <w:szCs w:val="18"/>
              </w:rPr>
              <w:t>(</w:t>
            </w:r>
            <w:r>
              <w:rPr>
                <w:rFonts w:ascii="宋体" w:hAnsi="宋体" w:cs="宋体" w:eastAsia="宋体" w:hint="default"/>
                <w:sz w:val="18"/>
                <w:szCs w:val="18"/>
              </w:rPr>
              <w:t>集团</w:t>
            </w:r>
            <w:r>
              <w:rPr>
                <w:rFonts w:ascii="Times New Roman" w:hAnsi="Times New Roman" w:cs="Times New Roman" w:eastAsia="Times New Roman" w:hint="default"/>
                <w:sz w:val="18"/>
                <w:szCs w:val="18"/>
              </w:rPr>
              <w:t>)</w:t>
            </w:r>
            <w:r>
              <w:rPr>
                <w:rFonts w:ascii="宋体" w:hAnsi="宋体" w:cs="宋体" w:eastAsia="宋体" w:hint="default"/>
                <w:sz w:val="18"/>
                <w:szCs w:val="18"/>
              </w:rPr>
              <w:t>总 公司、中国海 运</w:t>
            </w:r>
            <w:r>
              <w:rPr>
                <w:rFonts w:ascii="Times New Roman" w:hAnsi="Times New Roman" w:cs="Times New Roman" w:eastAsia="Times New Roman" w:hint="default"/>
                <w:sz w:val="18"/>
                <w:szCs w:val="18"/>
              </w:rPr>
              <w:t>(</w:t>
            </w:r>
            <w:r>
              <w:rPr>
                <w:rFonts w:ascii="宋体" w:hAnsi="宋体" w:cs="宋体" w:eastAsia="宋体" w:hint="default"/>
                <w:sz w:val="18"/>
                <w:szCs w:val="18"/>
              </w:rPr>
              <w:t>集团</w:t>
            </w:r>
            <w:r>
              <w:rPr>
                <w:rFonts w:ascii="Times New Roman" w:hAnsi="Times New Roman" w:cs="Times New Roman" w:eastAsia="Times New Roman" w:hint="default"/>
                <w:sz w:val="18"/>
                <w:szCs w:val="18"/>
              </w:rPr>
              <w:t>)</w:t>
            </w:r>
            <w:r>
              <w:rPr>
                <w:rFonts w:ascii="宋体" w:hAnsi="宋体" w:cs="宋体" w:eastAsia="宋体" w:hint="default"/>
                <w:sz w:val="18"/>
                <w:szCs w:val="18"/>
              </w:rPr>
              <w:t>总公 司将持续在 人员、财务、 机构、资产、 业务等方面 与中海科技 保持相互独 立，并严格遵 守中国证监 会关于上市 公司独立性 的相关规定， 不利用控股 股东地位违 反上市公司 规范运作程 序，干预上市 公司经营决 策，损害上市 公司和其他 股东的合法 权益。本集团 及本集团控 制的其他企 业保证不以 任何方式占 用前述上市 公司及子公 司的资金。</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3483"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6" w:lineRule="auto"/>
              <w:ind w:left="23" w:right="187"/>
              <w:jc w:val="both"/>
              <w:rPr>
                <w:rFonts w:ascii="宋体" w:hAnsi="宋体" w:cs="宋体" w:eastAsia="宋体" w:hint="default"/>
                <w:sz w:val="18"/>
                <w:szCs w:val="18"/>
              </w:rPr>
            </w:pPr>
            <w:r>
              <w:rPr>
                <w:rFonts w:ascii="宋体" w:hAnsi="宋体" w:cs="宋体" w:eastAsia="宋体" w:hint="default"/>
                <w:sz w:val="18"/>
                <w:szCs w:val="18"/>
              </w:rPr>
              <w:t>中国远洋海 运集团有限 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6" w:lineRule="auto"/>
              <w:ind w:left="26" w:right="191"/>
              <w:jc w:val="both"/>
              <w:rPr>
                <w:rFonts w:ascii="宋体" w:hAnsi="宋体" w:cs="宋体" w:eastAsia="宋体" w:hint="default"/>
                <w:sz w:val="18"/>
                <w:szCs w:val="18"/>
              </w:rPr>
            </w:pPr>
            <w:r>
              <w:rPr>
                <w:rFonts w:ascii="宋体" w:hAnsi="宋体" w:cs="宋体" w:eastAsia="宋体" w:hint="default"/>
                <w:sz w:val="18"/>
                <w:szCs w:val="18"/>
              </w:rPr>
              <w:t>关于关联交 易方面的承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在本集团直 接或间接持 有中海科技 控股股权期 间：</w:t>
            </w:r>
            <w:r>
              <w:rPr>
                <w:rFonts w:ascii="Times New Roman" w:hAnsi="Times New Roman" w:cs="Times New Roman" w:eastAsia="Times New Roman" w:hint="default"/>
                <w:sz w:val="18"/>
                <w:szCs w:val="18"/>
              </w:rPr>
              <w:t>1</w:t>
            </w:r>
            <w:r>
              <w:rPr>
                <w:rFonts w:ascii="宋体" w:hAnsi="宋体" w:cs="宋体" w:eastAsia="宋体" w:hint="default"/>
                <w:sz w:val="18"/>
                <w:szCs w:val="18"/>
              </w:rPr>
              <w:t>、本集 团及所控制 的其他企业 将尽可能地 避免与上市 公司之间不 必要的关联</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交易发生；对</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持续经营所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发生的必要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的关联交易，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应以双方协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议规定的方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式进行处理，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遵循市场化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定价原则，遵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守有关法律、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法规和规范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性文件的要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求和中海科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技的公司章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程、关联交易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制度的规定。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、本集团及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所控制的其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他企业将尽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可能地避免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和减少与上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市公司之间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将来可能发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生的关联交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易；对于无法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避免或者有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合理原因而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发生的关联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交易，本集团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将根据有关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法律、法规和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规范性文件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的要求，以及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中海科技的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公司章程、关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联交易制度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的规定，遵循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市场化的公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正、公平、公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开的一般商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业原则，与中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海科技签订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关联交易协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议，并确保关</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8164"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联交易的公 允性和合规 </w:t>
            </w:r>
            <w:r>
              <w:rPr>
                <w:rFonts w:ascii="宋体" w:hAnsi="宋体" w:cs="宋体" w:eastAsia="宋体" w:hint="default"/>
                <w:spacing w:val="-2"/>
                <w:sz w:val="18"/>
                <w:szCs w:val="18"/>
              </w:rPr>
              <w:t>性，按照相关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法律法规及 规范性文件 的要求履行 交易程序及 信息披露义 务。</w:t>
            </w:r>
            <w:r>
              <w:rPr>
                <w:rFonts w:ascii="Times New Roman" w:hAnsi="Times New Roman" w:cs="Times New Roman" w:eastAsia="Times New Roman" w:hint="default"/>
                <w:sz w:val="18"/>
                <w:szCs w:val="18"/>
              </w:rPr>
              <w:t>3</w:t>
            </w:r>
            <w:r>
              <w:rPr>
                <w:rFonts w:ascii="宋体" w:hAnsi="宋体" w:cs="宋体" w:eastAsia="宋体" w:hint="default"/>
                <w:sz w:val="18"/>
                <w:szCs w:val="18"/>
              </w:rPr>
              <w:t>、本集 团有关规范 关联交易的 </w:t>
            </w:r>
            <w:r>
              <w:rPr>
                <w:rFonts w:ascii="宋体" w:hAnsi="宋体" w:cs="宋体" w:eastAsia="宋体" w:hint="default"/>
                <w:spacing w:val="-2"/>
                <w:sz w:val="18"/>
                <w:szCs w:val="18"/>
              </w:rPr>
              <w:t>承诺，将同样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适用于本集 团所控制的 </w:t>
            </w:r>
            <w:r>
              <w:rPr>
                <w:rFonts w:ascii="宋体" w:hAnsi="宋体" w:cs="宋体" w:eastAsia="宋体" w:hint="default"/>
                <w:spacing w:val="-2"/>
                <w:sz w:val="18"/>
                <w:szCs w:val="18"/>
              </w:rPr>
              <w:t>其他企业；本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集团将在合 法权限范围 内促成本集 团所控制的 其他企业履 行规范与上 市公司之间 已经存在的 或可能发生 的关联交易 的义务。</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5667"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6" w:lineRule="auto"/>
              <w:ind w:left="23" w:right="187"/>
              <w:jc w:val="both"/>
              <w:rPr>
                <w:rFonts w:ascii="宋体" w:hAnsi="宋体" w:cs="宋体" w:eastAsia="宋体" w:hint="default"/>
                <w:sz w:val="18"/>
                <w:szCs w:val="18"/>
              </w:rPr>
            </w:pPr>
            <w:r>
              <w:rPr>
                <w:rFonts w:ascii="宋体" w:hAnsi="宋体" w:cs="宋体" w:eastAsia="宋体" w:hint="default"/>
                <w:sz w:val="18"/>
                <w:szCs w:val="18"/>
              </w:rPr>
              <w:t>中国远洋海 运集团有限 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6" w:lineRule="auto"/>
              <w:ind w:left="26" w:right="191"/>
              <w:jc w:val="both"/>
              <w:rPr>
                <w:rFonts w:ascii="宋体" w:hAnsi="宋体" w:cs="宋体" w:eastAsia="宋体" w:hint="default"/>
                <w:sz w:val="18"/>
                <w:szCs w:val="18"/>
              </w:rPr>
            </w:pPr>
            <w:r>
              <w:rPr>
                <w:rFonts w:ascii="宋体" w:hAnsi="宋体" w:cs="宋体" w:eastAsia="宋体" w:hint="default"/>
                <w:sz w:val="18"/>
                <w:szCs w:val="18"/>
              </w:rPr>
              <w:t>关于同业竞 争方面的承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一、在本集团 直接或间接 持有中海科 技控股股权 期间，除上述 已披露情形 外，本集团及 其他下属公 司将不采取 任何行为或 措施，从事对 中海科技及 其子公司主 营业务构成 或可能构成 实质性竞争 的业务活动， 且不会侵害</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中海科技及</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其子公司的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合法权益，包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括但不限于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未来设立其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他子公司或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合营、联营企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业从事与中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海科技及其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子公司现有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主营业务构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成实质性竞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争的业务，或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用其他的方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式直接或间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接的参与中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海科技及其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子公司现有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二、如本集团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及本集团控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制的公司可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能在将来与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中海科技在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主营业务方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面发生实质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性同业竞争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或与中海科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技发生实质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性利益冲突，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本集团将放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弃或将促使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本集团控制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的公司放弃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可能发生同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业竞争的业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务机会，或将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本集团和本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集团控制的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公司产生同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业竞争的业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务以公平、公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允的市场价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格，在适当时</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7852"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机全部注入 中海科技。 </w:t>
            </w:r>
            <w:r>
              <w:rPr>
                <w:rFonts w:ascii="宋体" w:hAnsi="宋体" w:cs="宋体" w:eastAsia="宋体" w:hint="default"/>
                <w:spacing w:val="-2"/>
                <w:sz w:val="18"/>
                <w:szCs w:val="18"/>
              </w:rPr>
              <w:t>三、本集团不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会利用从中 海科技了解 或知悉的信 息协助第三 方从事或参 与与中海科 技现有从事 业务存在实 质性竞争或 潜在竞争的 任何经营活 </w:t>
            </w:r>
            <w:r>
              <w:rPr>
                <w:rFonts w:ascii="宋体" w:hAnsi="宋体" w:cs="宋体" w:eastAsia="宋体" w:hint="default"/>
                <w:spacing w:val="-2"/>
                <w:sz w:val="18"/>
                <w:szCs w:val="18"/>
              </w:rPr>
              <w:t>动。四、若因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本集团及本 集团控制的 公司违反上 述承诺而导 致中海科技 权益受到损 </w:t>
            </w:r>
            <w:r>
              <w:rPr>
                <w:rFonts w:ascii="宋体" w:hAnsi="宋体" w:cs="宋体" w:eastAsia="宋体" w:hint="default"/>
                <w:spacing w:val="-2"/>
                <w:sz w:val="18"/>
                <w:szCs w:val="18"/>
              </w:rPr>
              <w:t>害的，本集团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将依法承担 相应的赔偿 责任。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3833"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60"/>
              <w:ind w:left="23" w:right="19"/>
              <w:jc w:val="left"/>
              <w:rPr>
                <w:rFonts w:ascii="宋体" w:hAnsi="宋体" w:cs="宋体" w:eastAsia="宋体" w:hint="default"/>
                <w:sz w:val="18"/>
                <w:szCs w:val="18"/>
              </w:rPr>
            </w:pPr>
            <w:r>
              <w:rPr>
                <w:rFonts w:ascii="宋体" w:hAnsi="宋体" w:cs="宋体" w:eastAsia="宋体" w:hint="default"/>
                <w:spacing w:val="-3"/>
                <w:sz w:val="18"/>
                <w:szCs w:val="18"/>
              </w:rPr>
              <w:t>中国海运（集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团）总公司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9" w:lineRule="auto"/>
              <w:ind w:left="26" w:right="191"/>
              <w:jc w:val="both"/>
              <w:rPr>
                <w:rFonts w:ascii="宋体" w:hAnsi="宋体" w:cs="宋体" w:eastAsia="宋体" w:hint="default"/>
                <w:sz w:val="18"/>
                <w:szCs w:val="18"/>
              </w:rPr>
            </w:pPr>
            <w:r>
              <w:rPr>
                <w:rFonts w:ascii="宋体" w:hAnsi="宋体" w:cs="宋体" w:eastAsia="宋体" w:hint="default"/>
                <w:sz w:val="18"/>
                <w:szCs w:val="18"/>
              </w:rPr>
              <w:t>关于关联交 易方面的承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在本次收购 完成后，对于 必要的经常 性关联交易， 将继续规范 运作，保持关 联交易的公 允性、履行程 序的合法性， 保持被收购 公司经营独 立性。</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2235"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9" w:lineRule="auto"/>
              <w:ind w:left="23" w:right="187"/>
              <w:jc w:val="both"/>
              <w:rPr>
                <w:rFonts w:ascii="宋体" w:hAnsi="宋体" w:cs="宋体" w:eastAsia="宋体" w:hint="default"/>
                <w:sz w:val="18"/>
                <w:szCs w:val="18"/>
              </w:rPr>
            </w:pPr>
            <w:r>
              <w:rPr>
                <w:rFonts w:ascii="宋体" w:hAnsi="宋体" w:cs="宋体" w:eastAsia="宋体" w:hint="default"/>
                <w:sz w:val="18"/>
                <w:szCs w:val="18"/>
              </w:rPr>
              <w:t>上海船舶运 输科学研究 所</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9" w:lineRule="auto"/>
              <w:ind w:left="26" w:right="191"/>
              <w:jc w:val="both"/>
              <w:rPr>
                <w:rFonts w:ascii="宋体" w:hAnsi="宋体" w:cs="宋体" w:eastAsia="宋体" w:hint="default"/>
                <w:sz w:val="18"/>
                <w:szCs w:val="18"/>
              </w:rPr>
            </w:pPr>
            <w:r>
              <w:rPr>
                <w:rFonts w:ascii="宋体" w:hAnsi="宋体" w:cs="宋体" w:eastAsia="宋体" w:hint="default"/>
                <w:sz w:val="18"/>
                <w:szCs w:val="18"/>
              </w:rPr>
              <w:t>关于同业竞 争方面的承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本所在作为 中海科技的 控股股东期 </w:t>
            </w:r>
            <w:r>
              <w:rPr>
                <w:rFonts w:ascii="宋体" w:hAnsi="宋体" w:cs="宋体" w:eastAsia="宋体" w:hint="default"/>
                <w:spacing w:val="-2"/>
                <w:sz w:val="18"/>
                <w:szCs w:val="18"/>
              </w:rPr>
              <w:t>间，将采取有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效措施，保证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本所及下属 控股子公司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2859"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（除中海科 </w:t>
            </w:r>
            <w:r>
              <w:rPr>
                <w:rFonts w:ascii="宋体" w:hAnsi="宋体" w:cs="宋体" w:eastAsia="宋体" w:hint="default"/>
                <w:spacing w:val="-2"/>
                <w:sz w:val="18"/>
                <w:szCs w:val="18"/>
              </w:rPr>
              <w:t>技外）不从事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或参与任何 可能对中海 科技从事的 经营业务构 成竞争或可 能构成竞争 的业务。</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0972"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187"/>
              <w:jc w:val="both"/>
              <w:rPr>
                <w:rFonts w:ascii="宋体" w:hAnsi="宋体" w:cs="宋体" w:eastAsia="宋体" w:hint="default"/>
                <w:sz w:val="18"/>
                <w:szCs w:val="18"/>
              </w:rPr>
            </w:pPr>
            <w:r>
              <w:rPr>
                <w:rFonts w:ascii="宋体" w:hAnsi="宋体" w:cs="宋体" w:eastAsia="宋体" w:hint="default"/>
                <w:sz w:val="18"/>
                <w:szCs w:val="18"/>
              </w:rPr>
              <w:t>上海船舶运 输科学研究 所</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6" w:right="191"/>
              <w:jc w:val="both"/>
              <w:rPr>
                <w:rFonts w:ascii="宋体" w:hAnsi="宋体" w:cs="宋体" w:eastAsia="宋体" w:hint="default"/>
                <w:sz w:val="18"/>
                <w:szCs w:val="18"/>
              </w:rPr>
            </w:pPr>
            <w:r>
              <w:rPr>
                <w:rFonts w:ascii="宋体" w:hAnsi="宋体" w:cs="宋体" w:eastAsia="宋体" w:hint="default"/>
                <w:sz w:val="18"/>
                <w:szCs w:val="18"/>
              </w:rPr>
              <w:t>关于关联交 易方面的承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本所将严格 遵守《公司 </w:t>
            </w:r>
            <w:r>
              <w:rPr>
                <w:rFonts w:ascii="宋体" w:hAnsi="宋体" w:cs="宋体" w:eastAsia="宋体" w:hint="default"/>
                <w:spacing w:val="-28"/>
                <w:sz w:val="18"/>
                <w:szCs w:val="18"/>
              </w:rPr>
              <w:t>法》、《公司章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8"/>
                <w:sz w:val="18"/>
                <w:szCs w:val="18"/>
              </w:rPr>
              <w:t>程》、《关联交</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易管理制 </w:t>
            </w:r>
            <w:r>
              <w:rPr>
                <w:rFonts w:ascii="宋体" w:hAnsi="宋体" w:cs="宋体" w:eastAsia="宋体" w:hint="default"/>
                <w:spacing w:val="-28"/>
                <w:sz w:val="18"/>
                <w:szCs w:val="18"/>
              </w:rPr>
              <w:t>度》、《股东大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会议事规 </w:t>
            </w:r>
            <w:r>
              <w:rPr>
                <w:rFonts w:ascii="宋体" w:hAnsi="宋体" w:cs="宋体" w:eastAsia="宋体" w:hint="default"/>
                <w:spacing w:val="-28"/>
                <w:sz w:val="18"/>
                <w:szCs w:val="18"/>
              </w:rPr>
              <w:t>则》、《董事会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议事规则》等</w:t>
            </w:r>
            <w:r>
              <w:rPr>
                <w:rFonts w:ascii="宋体" w:hAnsi="宋体" w:cs="宋体" w:eastAsia="宋体" w:hint="default"/>
                <w:sz w:val="18"/>
                <w:szCs w:val="18"/>
              </w:rPr>
              <w:t> 法律法规及 中海科技关 于关联交易 的管理规定， 避免和减少 关联交易，自 觉维护中海 科技及全体 股东的利益， 将不利用本 所在中海科 技中的地位， 为本所或本 所控股子公 司在与中海 科技的关联 交易中谋取 不正当利益； 如果本所或 本所控股子 公司与中海 科技不可避 免地出现关 联交易，本所 将严格执行 相关回避制</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66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度，依法诚信 地履行股东 的义务，不会 利用关联人 的地位，就上 述关联交易 采取任何行 动以促使中 海科技股东 大会、董事会 作出侵犯中 海科技及其 他股东合法 权益的决议； 中海科技与 本所或本所 控股子公司 之间的关联 交易将遵循 公正、公平的 原则进行。</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2897"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87"/>
              <w:jc w:val="both"/>
              <w:rPr>
                <w:rFonts w:ascii="宋体" w:hAnsi="宋体" w:cs="宋体" w:eastAsia="宋体" w:hint="default"/>
                <w:sz w:val="18"/>
                <w:szCs w:val="18"/>
              </w:rPr>
            </w:pPr>
            <w:r>
              <w:rPr>
                <w:rFonts w:ascii="宋体" w:hAnsi="宋体" w:cs="宋体" w:eastAsia="宋体" w:hint="default"/>
                <w:sz w:val="18"/>
                <w:szCs w:val="18"/>
              </w:rPr>
              <w:t>上海船舶运 输科学研究 所</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6" w:right="191"/>
              <w:jc w:val="both"/>
              <w:rPr>
                <w:rFonts w:ascii="宋体" w:hAnsi="宋体" w:cs="宋体" w:eastAsia="宋体" w:hint="default"/>
                <w:sz w:val="18"/>
                <w:szCs w:val="18"/>
              </w:rPr>
            </w:pPr>
            <w:r>
              <w:rPr>
                <w:rFonts w:ascii="宋体" w:hAnsi="宋体" w:cs="宋体" w:eastAsia="宋体" w:hint="default"/>
                <w:sz w:val="18"/>
                <w:szCs w:val="18"/>
              </w:rPr>
              <w:t>其他对公司 中小股东所 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0"/>
              <w:jc w:val="both"/>
              <w:rPr>
                <w:rFonts w:ascii="宋体" w:hAnsi="宋体" w:cs="宋体" w:eastAsia="宋体" w:hint="default"/>
                <w:sz w:val="18"/>
                <w:szCs w:val="18"/>
              </w:rPr>
            </w:pPr>
            <w:r>
              <w:rPr>
                <w:rFonts w:ascii="宋体" w:hAnsi="宋体" w:cs="宋体" w:eastAsia="宋体" w:hint="default"/>
                <w:sz w:val="18"/>
                <w:szCs w:val="18"/>
              </w:rPr>
              <w:t>本所承诺不 利用中海科 技控股股东 身份从事任 何损害或可 能损害中海 科技及其他 股东权益的 活动。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404"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2"/>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spacing w:line="259" w:lineRule="auto" w:before="36"/>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、公司资产或项目存在盈利预测，且报告期仍处在盈利预测期间，公司就资产或项目达到原盈利预测及</w:t>
      </w:r>
      <w:r>
        <w:rPr>
          <w:rFonts w:ascii="宋体" w:hAnsi="宋体" w:cs="宋体" w:eastAsia="宋体" w:hint="default"/>
          <w:b/>
          <w:bCs/>
          <w:spacing w:val="-65"/>
          <w:sz w:val="21"/>
          <w:szCs w:val="21"/>
        </w:rPr>
        <w:t> </w:t>
      </w:r>
      <w:r>
        <w:rPr>
          <w:rFonts w:ascii="宋体" w:hAnsi="宋体" w:cs="宋体" w:eastAsia="宋体" w:hint="default"/>
          <w:b/>
          <w:bCs/>
          <w:spacing w:val="-65"/>
          <w:sz w:val="21"/>
          <w:szCs w:val="21"/>
        </w:rPr>
      </w:r>
      <w:r>
        <w:rPr>
          <w:rFonts w:ascii="宋体" w:hAnsi="宋体" w:cs="宋体" w:eastAsia="宋体" w:hint="default"/>
          <w:b/>
          <w:bCs/>
          <w:sz w:val="21"/>
          <w:szCs w:val="21"/>
        </w:rPr>
        <w:t>其原因做出说明</w:t>
      </w:r>
      <w:r>
        <w:rPr>
          <w:rFonts w:ascii="宋体" w:hAnsi="宋体" w:cs="宋体" w:eastAsia="宋体" w:hint="default"/>
          <w:sz w:val="21"/>
          <w:szCs w:val="21"/>
        </w:rPr>
      </w:r>
    </w:p>
    <w:p>
      <w:pPr>
        <w:spacing w:line="240" w:lineRule="auto" w:before="3"/>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1133"/>
        <w:jc w:val="left"/>
        <w:rPr>
          <w:b w:val="0"/>
          <w:bCs w:val="0"/>
        </w:rPr>
      </w:pPr>
      <w:r>
        <w:rPr/>
        <w:t>四、控股股东及其关联方对上市公司的非经营性占用资金情况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公司报告期不存在控股股东及其关联方对上市公司的非经营性占用资金。</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1133"/>
        <w:jc w:val="left"/>
        <w:rPr>
          <w:b w:val="0"/>
          <w:bCs w:val="0"/>
        </w:rPr>
      </w:pPr>
      <w:r>
        <w:rPr/>
        <w:t>六、与上年度财务报告相比，会计政策、会计估计和核算方法发生变化的情况说明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73"/>
        <w:ind w:left="592" w:right="1133"/>
        <w:jc w:val="left"/>
      </w:pPr>
      <w:r>
        <w:rPr/>
        <w:t>（</w:t>
      </w:r>
      <w:r>
        <w:rPr>
          <w:rFonts w:ascii="Times New Roman" w:hAnsi="Times New Roman" w:cs="Times New Roman" w:eastAsia="Times New Roman" w:hint="default"/>
        </w:rPr>
        <w:t>1</w:t>
      </w:r>
      <w:r>
        <w:rPr/>
        <w:t>）重要会计政策变更</w:t>
      </w:r>
    </w:p>
    <w:p>
      <w:pPr>
        <w:pStyle w:val="BodyText"/>
        <w:spacing w:line="240" w:lineRule="auto" w:before="7"/>
        <w:ind w:left="592" w:right="1133"/>
        <w:jc w:val="left"/>
      </w:pPr>
      <w:r>
        <w:rPr/>
        <w:t>①因执行新企业会计准则的会计政策变更</w:t>
      </w:r>
    </w:p>
    <w:p>
      <w:pPr>
        <w:pStyle w:val="BodyText"/>
        <w:spacing w:line="244" w:lineRule="auto" w:before="24"/>
        <w:ind w:right="1127" w:firstLine="439"/>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月以来财政部发布了修订后的《企业会计准则第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金融工具确认和计量》、《企</w:t>
      </w:r>
      <w:r>
        <w:rPr>
          <w:w w:val="100"/>
        </w:rPr>
        <w:t> </w:t>
      </w:r>
      <w:r>
        <w:rPr>
          <w:spacing w:val="-2"/>
        </w:rPr>
        <w:t>业会计准则第</w:t>
      </w:r>
      <w:r>
        <w:rPr>
          <w:rFonts w:ascii="Times New Roman" w:hAnsi="Times New Roman" w:cs="Times New Roman" w:eastAsia="Times New Roman" w:hint="default"/>
          <w:spacing w:val="-2"/>
        </w:rPr>
        <w:t>23</w:t>
      </w:r>
      <w:r>
        <w:rPr>
          <w:spacing w:val="-2"/>
        </w:rPr>
        <w:t>号</w:t>
      </w:r>
      <w:r>
        <w:rPr>
          <w:rFonts w:ascii="Times New Roman" w:hAnsi="Times New Roman" w:cs="Times New Roman" w:eastAsia="Times New Roman" w:hint="default"/>
          <w:spacing w:val="-2"/>
        </w:rPr>
        <w:t>——</w:t>
      </w:r>
      <w:r>
        <w:rPr>
          <w:spacing w:val="-2"/>
        </w:rPr>
        <w:t>金融资产转移》、《企业会计准则第</w:t>
      </w:r>
      <w:r>
        <w:rPr>
          <w:rFonts w:ascii="Times New Roman" w:hAnsi="Times New Roman" w:cs="Times New Roman" w:eastAsia="Times New Roman" w:hint="default"/>
          <w:spacing w:val="-2"/>
        </w:rPr>
        <w:t>24</w:t>
      </w:r>
      <w:r>
        <w:rPr>
          <w:spacing w:val="-2"/>
        </w:rPr>
        <w:t>号</w:t>
      </w:r>
      <w:r>
        <w:rPr>
          <w:rFonts w:ascii="Times New Roman" w:hAnsi="Times New Roman" w:cs="Times New Roman" w:eastAsia="Times New Roman" w:hint="default"/>
          <w:spacing w:val="-2"/>
        </w:rPr>
        <w:t>——</w:t>
      </w:r>
      <w:r>
        <w:rPr>
          <w:spacing w:val="-2"/>
        </w:rPr>
        <w:t>套期会计》、《企业会计准则第</w:t>
      </w:r>
      <w:r>
        <w:rPr>
          <w:spacing w:val="-67"/>
        </w:rPr>
        <w:t> </w:t>
      </w:r>
      <w:r>
        <w:rPr>
          <w:spacing w:val="-67"/>
        </w:rPr>
      </w:r>
      <w:r>
        <w:rPr>
          <w:rFonts w:ascii="Times New Roman" w:hAnsi="Times New Roman" w:cs="Times New Roman" w:eastAsia="Times New Roman" w:hint="default"/>
          <w:spacing w:val="-2"/>
        </w:rPr>
        <w:t>37</w:t>
      </w:r>
      <w:r>
        <w:rPr>
          <w:spacing w:val="-2"/>
        </w:rPr>
        <w:t>号</w:t>
      </w:r>
      <w:r>
        <w:rPr>
          <w:rFonts w:ascii="Times New Roman" w:hAnsi="Times New Roman" w:cs="Times New Roman" w:eastAsia="Times New Roman" w:hint="default"/>
          <w:spacing w:val="-2"/>
        </w:rPr>
        <w:t>——</w:t>
      </w:r>
      <w:r>
        <w:rPr>
          <w:spacing w:val="-2"/>
        </w:rPr>
        <w:t>金融工具列报》，要求其他境内上市公司自</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日起施行新金融工具准则（保险公司</w:t>
      </w:r>
      <w:r>
        <w:rPr>
          <w:spacing w:val="-59"/>
        </w:rPr>
        <w:t> </w:t>
      </w:r>
      <w:r>
        <w:rPr>
          <w:spacing w:val="-59"/>
        </w:rPr>
      </w:r>
      <w:r>
        <w:rPr/>
        <w:t>除外）。</w:t>
      </w:r>
    </w:p>
    <w:p>
      <w:pPr>
        <w:pStyle w:val="BodyText"/>
        <w:spacing w:line="244" w:lineRule="auto" w:before="19"/>
        <w:ind w:right="1133" w:firstLine="439"/>
        <w:jc w:val="left"/>
      </w:pPr>
      <w:r>
        <w:rPr>
          <w:spacing w:val="-2"/>
        </w:rPr>
        <w:t>经本公司第六届董事会第八次会议、第六届监事会第六次会议审议通过，本公司自</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w:t>
      </w:r>
      <w:r>
        <w:rPr>
          <w:w w:val="100"/>
        </w:rPr>
        <w:t> </w:t>
      </w:r>
      <w:r>
        <w:rPr/>
        <w:t>起执行财政部上述经修订的企业会计准则。</w:t>
      </w:r>
    </w:p>
    <w:p>
      <w:pPr>
        <w:pStyle w:val="BodyText"/>
        <w:spacing w:line="240" w:lineRule="auto" w:before="19"/>
        <w:ind w:left="592" w:right="0"/>
        <w:jc w:val="left"/>
        <w:rPr>
          <w:rFonts w:ascii="Times New Roman" w:hAnsi="Times New Roman" w:cs="Times New Roman" w:eastAsia="Times New Roman" w:hint="default"/>
        </w:rPr>
      </w:pPr>
      <w:r>
        <w:rPr>
          <w:spacing w:val="-3"/>
        </w:rPr>
        <w:t>本公司根据新金融工具准则相关规定，结合管理层管理金融资产的业务模式，自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  </w:t>
      </w:r>
      <w:r>
        <w:rPr/>
        <w:t>月</w:t>
      </w:r>
      <w:r>
        <w:rPr>
          <w:spacing w:val="-53"/>
        </w:rPr>
        <w:t> </w:t>
      </w:r>
      <w:r>
        <w:rPr>
          <w:rFonts w:ascii="Times New Roman" w:hAnsi="Times New Roman" w:cs="Times New Roman" w:eastAsia="Times New Roman" w:hint="default"/>
        </w:rPr>
        <w:t>1</w:t>
      </w:r>
    </w:p>
    <w:p>
      <w:pPr>
        <w:pStyle w:val="BodyText"/>
        <w:spacing w:line="244" w:lineRule="auto" w:before="7"/>
        <w:ind w:right="1133"/>
        <w:jc w:val="left"/>
      </w:pPr>
      <w:r>
        <w:rPr/>
        <w:t>日起施行新金融工具准则，不重述 </w:t>
      </w:r>
      <w:r>
        <w:rPr>
          <w:rFonts w:ascii="Times New Roman" w:hAnsi="Times New Roman" w:cs="Times New Roman" w:eastAsia="Times New Roman" w:hint="default"/>
        </w:rPr>
        <w:t>2018 </w:t>
      </w:r>
      <w:r>
        <w:rPr/>
        <w:t>年比较期间数据。本次新旧准则转换数据对 </w:t>
      </w: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t>年期初留</w:t>
      </w:r>
      <w:r>
        <w:rPr>
          <w:w w:val="100"/>
        </w:rPr>
        <w:t> </w:t>
      </w:r>
      <w:r>
        <w:rPr/>
        <w:t>存收益和其他综合收益无影响。</w:t>
      </w:r>
    </w:p>
    <w:p>
      <w:pPr>
        <w:pStyle w:val="BodyText"/>
        <w:spacing w:line="261" w:lineRule="auto" w:before="19"/>
        <w:ind w:left="592" w:right="1133"/>
        <w:jc w:val="left"/>
      </w:pPr>
      <w:r>
        <w:rPr/>
        <w:t>②财务报表列报</w:t>
      </w:r>
      <w:r>
        <w:rPr>
          <w:spacing w:val="-108"/>
        </w:rPr>
        <w:t> </w:t>
      </w:r>
      <w:r>
        <w:rPr>
          <w:spacing w:val="-108"/>
        </w:rPr>
      </w:r>
      <w:r>
        <w:rPr>
          <w:spacing w:val="-3"/>
        </w:rPr>
        <w:t>本公司</w:t>
      </w:r>
      <w:r>
        <w:rPr>
          <w:rFonts w:ascii="Times New Roman" w:hAnsi="Times New Roman" w:cs="Times New Roman" w:eastAsia="Times New Roman" w:hint="default"/>
          <w:spacing w:val="-3"/>
        </w:rPr>
        <w:t>2019</w:t>
      </w:r>
      <w:r>
        <w:rPr>
          <w:spacing w:val="-3"/>
        </w:rPr>
        <w:t>年度财务报表根据财会</w:t>
      </w:r>
      <w:r>
        <w:rPr>
          <w:rFonts w:ascii="Times New Roman" w:hAnsi="Times New Roman" w:cs="Times New Roman" w:eastAsia="Times New Roman" w:hint="default"/>
          <w:spacing w:val="-3"/>
        </w:rPr>
        <w:t>[2019]6</w:t>
      </w:r>
      <w:r>
        <w:rPr>
          <w:spacing w:val="-3"/>
        </w:rPr>
        <w:t>号规定的财务报表格式编制，并采用追溯调整法变更了</w:t>
      </w:r>
    </w:p>
    <w:p>
      <w:pPr>
        <w:pStyle w:val="BodyText"/>
        <w:spacing w:line="273" w:lineRule="exact"/>
        <w:ind w:right="1133"/>
        <w:jc w:val="left"/>
      </w:pPr>
      <w:r>
        <w:rPr/>
        <w:t>相关财务报表列报。</w:t>
      </w:r>
    </w:p>
    <w:p>
      <w:pPr>
        <w:pStyle w:val="BodyText"/>
        <w:spacing w:line="240" w:lineRule="auto" w:before="24"/>
        <w:ind w:left="592" w:right="1133"/>
        <w:jc w:val="left"/>
      </w:pPr>
      <w:r>
        <w:rPr/>
        <w:t>相关列报调整影响如下：</w:t>
      </w:r>
    </w:p>
    <w:p>
      <w:pPr>
        <w:spacing w:line="240" w:lineRule="auto" w:before="7"/>
        <w:rPr>
          <w:rFonts w:ascii="宋体" w:hAnsi="宋体" w:cs="宋体" w:eastAsia="宋体" w:hint="default"/>
          <w:sz w:val="3"/>
          <w:szCs w:val="3"/>
        </w:rPr>
      </w:pPr>
    </w:p>
    <w:tbl>
      <w:tblPr>
        <w:tblW w:w="0" w:type="auto"/>
        <w:jc w:val="left"/>
        <w:tblInd w:w="604" w:type="dxa"/>
        <w:tblLayout w:type="fixed"/>
        <w:tblCellMar>
          <w:top w:w="0" w:type="dxa"/>
          <w:left w:w="0" w:type="dxa"/>
          <w:bottom w:w="0" w:type="dxa"/>
          <w:right w:w="0" w:type="dxa"/>
        </w:tblCellMar>
        <w:tblLook w:val="01E0"/>
      </w:tblPr>
      <w:tblGrid>
        <w:gridCol w:w="2336"/>
        <w:gridCol w:w="2179"/>
        <w:gridCol w:w="2033"/>
        <w:gridCol w:w="2177"/>
      </w:tblGrid>
      <w:tr>
        <w:trPr>
          <w:trHeight w:val="341"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2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2018</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31</w:t>
            </w:r>
            <w:r>
              <w:rPr>
                <w:rFonts w:ascii="宋体" w:hAnsi="宋体" w:cs="宋体" w:eastAsia="宋体" w:hint="default"/>
                <w:sz w:val="20"/>
                <w:szCs w:val="20"/>
              </w:rPr>
              <w:t>日</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调整数</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8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2019</w:t>
            </w:r>
            <w:r>
              <w:rPr>
                <w:rFonts w:ascii="宋体" w:hAnsi="宋体" w:cs="宋体" w:eastAsia="宋体" w:hint="default"/>
                <w:sz w:val="20"/>
                <w:szCs w:val="20"/>
              </w:rPr>
              <w:t>年</w:t>
            </w:r>
            <w:r>
              <w:rPr>
                <w:rFonts w:ascii="Times New Roman" w:hAnsi="Times New Roman" w:cs="Times New Roman" w:eastAsia="Times New Roman" w:hint="default"/>
                <w:sz w:val="20"/>
                <w:szCs w:val="20"/>
              </w:rPr>
              <w:t>1</w:t>
            </w:r>
            <w:r>
              <w:rPr>
                <w:rFonts w:ascii="宋体" w:hAnsi="宋体" w:cs="宋体" w:eastAsia="宋体" w:hint="default"/>
                <w:sz w:val="20"/>
                <w:szCs w:val="20"/>
              </w:rPr>
              <w:t>月</w:t>
            </w:r>
            <w:r>
              <w:rPr>
                <w:rFonts w:ascii="Times New Roman" w:hAnsi="Times New Roman" w:cs="Times New Roman" w:eastAsia="Times New Roman" w:hint="default"/>
                <w:sz w:val="20"/>
                <w:szCs w:val="20"/>
              </w:rPr>
              <w:t>1</w:t>
            </w:r>
            <w:r>
              <w:rPr>
                <w:rFonts w:ascii="宋体" w:hAnsi="宋体" w:cs="宋体" w:eastAsia="宋体" w:hint="default"/>
                <w:sz w:val="20"/>
                <w:szCs w:val="20"/>
              </w:rPr>
              <w:t>日</w:t>
            </w:r>
          </w:p>
        </w:tc>
      </w:tr>
      <w:tr>
        <w:trPr>
          <w:trHeight w:val="343"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sz w:val="20"/>
                <w:szCs w:val="20"/>
              </w:rPr>
              <w:t>应收票据及应收账款</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140,868,225.45</w:t>
            </w:r>
            <w:r>
              <w:rPr>
                <w:rFonts w:ascii="Times New Roman"/>
                <w:sz w:val="20"/>
              </w:rPr>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-140,868,225.45</w:t>
            </w:r>
            <w:r>
              <w:rPr>
                <w:rFonts w:ascii="Times New Roman"/>
                <w:sz w:val="20"/>
              </w:rPr>
            </w:r>
          </w:p>
        </w:tc>
        <w:tc>
          <w:tcPr>
            <w:tcW w:w="217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2179"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13,134,121.31</w:t>
            </w:r>
            <w:r>
              <w:rPr>
                <w:rFonts w:ascii="Times New Roman"/>
                <w:sz w:val="20"/>
              </w:rPr>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13,134,121.31</w:t>
            </w:r>
            <w:r>
              <w:rPr>
                <w:rFonts w:ascii="Times New Roman"/>
                <w:sz w:val="20"/>
              </w:rPr>
            </w:r>
          </w:p>
        </w:tc>
      </w:tr>
      <w:tr>
        <w:trPr>
          <w:trHeight w:val="343"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2179"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127,734,104.14</w:t>
            </w:r>
            <w:r>
              <w:rPr>
                <w:rFonts w:ascii="Times New Roman"/>
                <w:sz w:val="20"/>
              </w:rPr>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127,734,104.14</w:t>
            </w:r>
            <w:r>
              <w:rPr>
                <w:rFonts w:ascii="Times New Roman"/>
                <w:sz w:val="20"/>
              </w:rPr>
            </w:r>
          </w:p>
        </w:tc>
      </w:tr>
      <w:tr>
        <w:trPr>
          <w:trHeight w:val="341"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应付票据及应付账款</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245,690,000.78</w:t>
            </w:r>
            <w:r>
              <w:rPr>
                <w:rFonts w:ascii="Times New Roman"/>
                <w:sz w:val="20"/>
              </w:rPr>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-245,690,000.78</w:t>
            </w:r>
            <w:r>
              <w:rPr>
                <w:rFonts w:ascii="Times New Roman"/>
                <w:sz w:val="20"/>
              </w:rPr>
            </w:r>
          </w:p>
        </w:tc>
        <w:tc>
          <w:tcPr>
            <w:tcW w:w="2177"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sz w:val="20"/>
                <w:szCs w:val="20"/>
              </w:rPr>
              <w:t>应付票据</w:t>
            </w:r>
            <w:r>
              <w:rPr>
                <w:rFonts w:ascii="宋体" w:hAnsi="宋体" w:cs="宋体" w:eastAsia="宋体" w:hint="default"/>
                <w:sz w:val="20"/>
                <w:szCs w:val="20"/>
              </w:rPr>
              <w:t> </w:t>
            </w:r>
          </w:p>
        </w:tc>
        <w:tc>
          <w:tcPr>
            <w:tcW w:w="2179"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9,665,542.00</w:t>
            </w:r>
            <w:r>
              <w:rPr>
                <w:rFonts w:ascii="Times New Roman"/>
                <w:sz w:val="20"/>
              </w:rPr>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9,665,542.00</w:t>
            </w:r>
            <w:r>
              <w:rPr>
                <w:rFonts w:ascii="Times New Roman"/>
                <w:sz w:val="20"/>
              </w:rPr>
            </w:r>
          </w:p>
        </w:tc>
      </w:tr>
      <w:tr>
        <w:trPr>
          <w:trHeight w:val="341"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应付账款</w:t>
            </w:r>
            <w:r>
              <w:rPr>
                <w:rFonts w:ascii="宋体" w:hAnsi="宋体" w:cs="宋体" w:eastAsia="宋体" w:hint="default"/>
                <w:sz w:val="20"/>
                <w:szCs w:val="20"/>
              </w:rPr>
              <w:t> </w:t>
            </w:r>
          </w:p>
        </w:tc>
        <w:tc>
          <w:tcPr>
            <w:tcW w:w="2179"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236,024,458.78</w:t>
            </w:r>
            <w:r>
              <w:rPr>
                <w:rFonts w:ascii="Times New Roman"/>
                <w:sz w:val="20"/>
              </w:rPr>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236,024,458.78</w:t>
            </w:r>
            <w:r>
              <w:rPr>
                <w:rFonts w:ascii="Times New Roman"/>
                <w:sz w:val="20"/>
              </w:rPr>
            </w:r>
          </w:p>
        </w:tc>
      </w:tr>
    </w:tbl>
    <w:p>
      <w:pPr>
        <w:pStyle w:val="BodyText"/>
        <w:spacing w:line="283" w:lineRule="exact"/>
        <w:ind w:left="592" w:right="1133"/>
        <w:jc w:val="left"/>
      </w:pPr>
      <w:r>
        <w:rPr/>
        <w:t>（</w:t>
      </w:r>
      <w:r>
        <w:rPr>
          <w:rFonts w:ascii="Times New Roman" w:hAnsi="Times New Roman" w:cs="Times New Roman" w:eastAsia="Times New Roman" w:hint="default"/>
        </w:rPr>
        <w:t>2</w:t>
      </w:r>
      <w:r>
        <w:rPr/>
        <w:t>）重要会计估计变更</w:t>
      </w:r>
    </w:p>
    <w:p>
      <w:pPr>
        <w:pStyle w:val="BodyText"/>
        <w:spacing w:line="240" w:lineRule="auto" w:before="48"/>
        <w:ind w:left="592" w:right="1133"/>
        <w:jc w:val="left"/>
      </w:pPr>
      <w:r>
        <w:rPr/>
        <w:t>报告期本公司无需要披露的重要会计估计变更。</w:t>
      </w:r>
    </w:p>
    <w:p>
      <w:pPr>
        <w:spacing w:line="240" w:lineRule="auto" w:before="7"/>
        <w:rPr>
          <w:rFonts w:ascii="宋体" w:hAnsi="宋体" w:cs="宋体" w:eastAsia="宋体" w:hint="default"/>
          <w:sz w:val="23"/>
          <w:szCs w:val="23"/>
        </w:rPr>
      </w:pPr>
    </w:p>
    <w:p>
      <w:pPr>
        <w:pStyle w:val="Heading3"/>
        <w:spacing w:line="240" w:lineRule="auto"/>
        <w:ind w:right="1133"/>
        <w:jc w:val="left"/>
        <w:rPr>
          <w:b w:val="0"/>
          <w:bCs w:val="0"/>
        </w:rPr>
      </w:pPr>
      <w:r>
        <w:rPr/>
        <w:t>七、报告期内发生重大会计差错更正需追溯重述的情况说明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66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公司报告期无重大会计差错更正需追溯重述的情况。</w:t>
      </w:r>
    </w:p>
    <w:p>
      <w:pPr>
        <w:spacing w:line="240" w:lineRule="auto" w:before="8"/>
        <w:rPr>
          <w:rFonts w:ascii="宋体" w:hAnsi="宋体" w:cs="宋体" w:eastAsia="宋体" w:hint="default"/>
          <w:sz w:val="19"/>
          <w:szCs w:val="19"/>
        </w:rPr>
      </w:pPr>
    </w:p>
    <w:p>
      <w:pPr>
        <w:pStyle w:val="Heading3"/>
        <w:spacing w:line="240" w:lineRule="auto"/>
        <w:ind w:right="1133"/>
        <w:jc w:val="left"/>
        <w:rPr>
          <w:b w:val="0"/>
          <w:bCs w:val="0"/>
        </w:rPr>
      </w:pPr>
      <w:r>
        <w:rPr/>
        <w:t>八、与上年度财务报告相比，合并报表范围发生变化的情况说明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spacing w:line="338" w:lineRule="auto" w:before="0"/>
        <w:ind w:left="152" w:right="7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公司报告期无合并报表范围发生变化的情况。</w:t>
      </w:r>
    </w:p>
    <w:p>
      <w:pPr>
        <w:spacing w:after="0" w:line="338"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1133"/>
        <w:jc w:val="left"/>
        <w:rPr>
          <w:b w:val="0"/>
          <w:bCs w:val="0"/>
        </w:rPr>
      </w:pPr>
      <w:r>
        <w:rPr/>
        <w:t>九、聘任、解聘会计师事务所情况</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86</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王辉、朱小伟</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40" w:lineRule="auto" w:before="115"/>
        <w:ind w:left="15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是否在审计期间改聘会计师事务所</w:t>
      </w:r>
    </w:p>
    <w:p>
      <w:pPr>
        <w:spacing w:line="338" w:lineRule="auto" w:before="41"/>
        <w:ind w:left="15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更换会计师事务所是否履行审批程序</w:t>
      </w:r>
    </w:p>
    <w:p>
      <w:pPr>
        <w:spacing w:line="340" w:lineRule="auto" w:before="43"/>
        <w:ind w:left="152" w:right="73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对改聘、变更会计师事务所情况的详细说明</w:t>
      </w:r>
    </w:p>
    <w:p>
      <w:pPr>
        <w:pStyle w:val="BodyText"/>
        <w:spacing w:line="259" w:lineRule="auto" w:before="9"/>
        <w:ind w:right="1021" w:firstLine="439"/>
        <w:jc w:val="both"/>
      </w:pPr>
      <w:r>
        <w:rPr/>
        <w:t>公司于</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5</w:t>
      </w:r>
      <w:r>
        <w:rPr/>
        <w:t>日、</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26</w:t>
      </w:r>
      <w:r>
        <w:rPr/>
        <w:t>日分别召开第六届董事会第十次会议、</w:t>
      </w:r>
      <w:r>
        <w:rPr>
          <w:rFonts w:ascii="宋体" w:hAnsi="宋体" w:cs="宋体" w:eastAsia="宋体" w:hint="default"/>
        </w:rPr>
        <w:t>2018</w:t>
      </w:r>
      <w:r>
        <w:rPr/>
        <w:t>年度股东大会审</w:t>
      </w:r>
      <w:r>
        <w:rPr>
          <w:w w:val="100"/>
        </w:rPr>
        <w:t> </w:t>
      </w:r>
      <w:r>
        <w:rPr>
          <w:spacing w:val="-2"/>
        </w:rPr>
        <w:t>议通过了《关于聘请会计师事务所的议案》。公司聘请信永中和会计师事务所（特殊普通合伙）为公</w:t>
      </w:r>
      <w:r>
        <w:rPr>
          <w:spacing w:val="-75"/>
        </w:rPr>
        <w:t> </w:t>
      </w:r>
      <w:r>
        <w:rPr>
          <w:spacing w:val="-75"/>
        </w:rPr>
      </w:r>
      <w:r>
        <w:rPr>
          <w:spacing w:val="-2"/>
        </w:rPr>
        <w:t>司</w:t>
      </w:r>
      <w:r>
        <w:rPr>
          <w:rFonts w:ascii="宋体" w:hAnsi="宋体" w:cs="宋体" w:eastAsia="宋体" w:hint="default"/>
          <w:spacing w:val="-2"/>
        </w:rPr>
        <w:t>2019</w:t>
      </w:r>
      <w:r>
        <w:rPr>
          <w:spacing w:val="-2"/>
        </w:rPr>
        <w:t>年度审计机构，为公司提供</w:t>
      </w:r>
      <w:r>
        <w:rPr>
          <w:rFonts w:ascii="宋体" w:hAnsi="宋体" w:cs="宋体" w:eastAsia="宋体" w:hint="default"/>
          <w:spacing w:val="-2"/>
        </w:rPr>
        <w:t>2019</w:t>
      </w:r>
      <w:r>
        <w:rPr>
          <w:spacing w:val="-2"/>
        </w:rPr>
        <w:t>年度的审计服务。按照《财政部、国资委关于会计师事务所承</w:t>
      </w:r>
      <w:r>
        <w:rPr>
          <w:spacing w:val="-64"/>
        </w:rPr>
        <w:t> </w:t>
      </w:r>
      <w:r>
        <w:rPr>
          <w:spacing w:val="-64"/>
        </w:rPr>
      </w:r>
      <w:r>
        <w:rPr>
          <w:spacing w:val="-2"/>
        </w:rPr>
        <w:t>担中央企业财务决算审计有关问题的通知》（财会〔</w:t>
      </w:r>
      <w:r>
        <w:rPr>
          <w:rFonts w:ascii="宋体" w:hAnsi="宋体" w:cs="宋体" w:eastAsia="宋体" w:hint="default"/>
          <w:spacing w:val="-2"/>
        </w:rPr>
        <w:t>2011</w:t>
      </w:r>
      <w:r>
        <w:rPr>
          <w:spacing w:val="-2"/>
        </w:rPr>
        <w:t>〕</w:t>
      </w:r>
      <w:r>
        <w:rPr>
          <w:rFonts w:ascii="宋体" w:hAnsi="宋体" w:cs="宋体" w:eastAsia="宋体" w:hint="default"/>
          <w:spacing w:val="-2"/>
        </w:rPr>
        <w:t>24</w:t>
      </w:r>
      <w:r>
        <w:rPr>
          <w:spacing w:val="-2"/>
        </w:rPr>
        <w:t>号）规定，会计师事务所承担同一家中</w:t>
      </w:r>
      <w:r>
        <w:rPr>
          <w:spacing w:val="-65"/>
        </w:rPr>
        <w:t> </w:t>
      </w:r>
      <w:r>
        <w:rPr>
          <w:spacing w:val="-65"/>
        </w:rPr>
      </w:r>
      <w:r>
        <w:rPr/>
        <w:t>央企业财务决算审计业务连续审计年限应不超过</w:t>
      </w:r>
      <w:r>
        <w:rPr>
          <w:rFonts w:ascii="宋体" w:hAnsi="宋体" w:cs="宋体" w:eastAsia="宋体" w:hint="default"/>
        </w:rPr>
        <w:t>8</w:t>
      </w:r>
      <w:r>
        <w:rPr/>
        <w:t>年。公司原任审计机构天职国际会计师事务所（特</w:t>
      </w:r>
      <w:r>
        <w:rPr>
          <w:spacing w:val="-42"/>
        </w:rPr>
        <w:t> </w:t>
      </w:r>
      <w:r>
        <w:rPr>
          <w:spacing w:val="-42"/>
        </w:rPr>
      </w:r>
      <w:r>
        <w:rPr/>
        <w:t>殊普通合伙）已连续</w:t>
      </w:r>
      <w:r>
        <w:rPr>
          <w:rFonts w:ascii="宋体" w:hAnsi="宋体" w:cs="宋体" w:eastAsia="宋体" w:hint="default"/>
        </w:rPr>
        <w:t>8</w:t>
      </w:r>
      <w:r>
        <w:rPr/>
        <w:t>年为公司提供审计服务，根据上述规定，不再续聘。具体内容详见公司于</w:t>
      </w:r>
      <w:r>
        <w:rPr>
          <w:rFonts w:ascii="宋体" w:hAnsi="宋体" w:cs="宋体" w:eastAsia="宋体" w:hint="default"/>
        </w:rPr>
        <w:t>2019</w:t>
      </w:r>
      <w:r>
        <w:rPr>
          <w:rFonts w:ascii="宋体" w:hAnsi="宋体" w:cs="宋体" w:eastAsia="宋体" w:hint="default"/>
          <w:spacing w:val="-42"/>
        </w:rPr>
        <w:t> </w:t>
      </w:r>
      <w:r>
        <w:rPr>
          <w:rFonts w:ascii="宋体" w:hAnsi="宋体" w:cs="宋体" w:eastAsia="宋体" w:hint="default"/>
          <w:spacing w:val="-42"/>
        </w:rPr>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6</w:t>
      </w:r>
      <w:r>
        <w:rPr>
          <w:spacing w:val="-2"/>
        </w:rPr>
        <w:t>日、</w:t>
      </w:r>
      <w:r>
        <w:rPr>
          <w:rFonts w:ascii="宋体" w:hAnsi="宋体" w:cs="宋体" w:eastAsia="宋体" w:hint="default"/>
          <w:spacing w:val="-2"/>
        </w:rPr>
        <w:t>2019</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27</w:t>
      </w:r>
      <w:r>
        <w:rPr>
          <w:spacing w:val="-2"/>
        </w:rPr>
        <w:t>日在《证券时报》和巨潮资讯网披露的《第六届董事会第十次会议决议公告》</w:t>
      </w:r>
    </w:p>
    <w:p>
      <w:pPr>
        <w:pStyle w:val="BodyText"/>
        <w:spacing w:line="240" w:lineRule="auto" w:before="6"/>
        <w:ind w:right="1133"/>
        <w:jc w:val="left"/>
      </w:pPr>
      <w:r>
        <w:rPr/>
        <w:t>（公告编号：</w:t>
      </w:r>
      <w:r>
        <w:rPr>
          <w:rFonts w:ascii="宋体" w:hAnsi="宋体" w:cs="宋体" w:eastAsia="宋体" w:hint="default"/>
        </w:rPr>
        <w:t>2019-015</w:t>
      </w:r>
      <w:r>
        <w:rPr/>
        <w:t>）、《</w:t>
      </w:r>
      <w:r>
        <w:rPr>
          <w:rFonts w:ascii="宋体" w:hAnsi="宋体" w:cs="宋体" w:eastAsia="宋体" w:hint="default"/>
        </w:rPr>
        <w:t>2018</w:t>
      </w:r>
      <w:r>
        <w:rPr/>
        <w:t>年度股东大会决议公告》（公告编号：</w:t>
      </w:r>
      <w:r>
        <w:rPr>
          <w:rFonts w:ascii="宋体" w:hAnsi="宋体" w:cs="宋体" w:eastAsia="宋体" w:hint="default"/>
        </w:rPr>
        <w:t>2019-018</w:t>
      </w:r>
      <w:r>
        <w:rPr/>
        <w:t>）。</w:t>
      </w:r>
    </w:p>
    <w:p>
      <w:pPr>
        <w:spacing w:before="95"/>
        <w:ind w:left="152" w:right="1133" w:firstLine="0"/>
        <w:jc w:val="left"/>
        <w:rPr>
          <w:rFonts w:ascii="宋体" w:hAnsi="宋体" w:cs="宋体" w:eastAsia="宋体" w:hint="default"/>
          <w:sz w:val="18"/>
          <w:szCs w:val="18"/>
        </w:rPr>
      </w:pPr>
      <w:r>
        <w:rPr>
          <w:rFonts w:ascii="宋体" w:hAnsi="宋体" w:cs="宋体" w:eastAsia="宋体" w:hint="default"/>
          <w:sz w:val="18"/>
          <w:szCs w:val="18"/>
        </w:rPr>
        <w:t>聘请内部控制审计会计师事务所、财务顾问或保荐人情况</w:t>
      </w:r>
    </w:p>
    <w:p>
      <w:pPr>
        <w:spacing w:before="117"/>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1133"/>
        <w:jc w:val="left"/>
        <w:rPr>
          <w:b w:val="0"/>
          <w:bCs w:val="0"/>
        </w:rPr>
      </w:pPr>
      <w:r>
        <w:rPr/>
        <w:t>十、年度报告披露后面临暂停上市和终止上市情况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1133"/>
        <w:jc w:val="left"/>
        <w:rPr>
          <w:b w:val="0"/>
          <w:bCs w:val="0"/>
        </w:rPr>
      </w:pPr>
      <w:r>
        <w:rPr/>
        <w:t>十一、破产重整相关事项</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公司报告期未发生破产重整相关事项。</w:t>
      </w:r>
    </w:p>
    <w:p>
      <w:pPr>
        <w:spacing w:line="240" w:lineRule="auto" w:before="8"/>
        <w:rPr>
          <w:rFonts w:ascii="宋体" w:hAnsi="宋体" w:cs="宋体" w:eastAsia="宋体" w:hint="default"/>
          <w:sz w:val="19"/>
          <w:szCs w:val="19"/>
        </w:rPr>
      </w:pPr>
    </w:p>
    <w:p>
      <w:pPr>
        <w:pStyle w:val="Heading3"/>
        <w:spacing w:line="240" w:lineRule="auto"/>
        <w:ind w:right="1133"/>
        <w:jc w:val="left"/>
        <w:rPr>
          <w:b w:val="0"/>
          <w:bCs w:val="0"/>
        </w:rPr>
      </w:pPr>
      <w:r>
        <w:rPr/>
        <w:t>十二、重大诉讼、仲裁事项</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本报告期公司无重大诉讼、仲裁事项。</w:t>
      </w:r>
    </w:p>
    <w:p>
      <w:pPr>
        <w:spacing w:after="0" w:line="338"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1133"/>
        <w:jc w:val="left"/>
        <w:rPr>
          <w:b w:val="0"/>
          <w:bCs w:val="0"/>
        </w:rPr>
      </w:pPr>
      <w:r>
        <w:rPr/>
        <w:t>十三、处罚及整改情况</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 公司报告期不存在处罚及整改情况。</w:t>
      </w:r>
    </w:p>
    <w:p>
      <w:pPr>
        <w:spacing w:line="240" w:lineRule="auto" w:before="8"/>
        <w:rPr>
          <w:rFonts w:ascii="宋体" w:hAnsi="宋体" w:cs="宋体" w:eastAsia="宋体" w:hint="default"/>
          <w:sz w:val="19"/>
          <w:szCs w:val="19"/>
        </w:rPr>
      </w:pPr>
    </w:p>
    <w:p>
      <w:pPr>
        <w:pStyle w:val="Heading3"/>
        <w:spacing w:line="240" w:lineRule="auto"/>
        <w:ind w:right="1133"/>
        <w:jc w:val="left"/>
        <w:rPr>
          <w:b w:val="0"/>
          <w:bCs w:val="0"/>
        </w:rPr>
      </w:pPr>
      <w:r>
        <w:rPr/>
        <w:t>十四、公司及其控股股东、实际控制人的诚信状况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1133"/>
        <w:jc w:val="left"/>
        <w:rPr>
          <w:b w:val="0"/>
          <w:bCs w:val="0"/>
        </w:rPr>
      </w:pP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59" w:lineRule="auto" w:before="73"/>
        <w:ind w:left="592" w:right="1133"/>
        <w:jc w:val="left"/>
      </w:pPr>
      <w:r>
        <w:rPr/>
        <w:t>公司</w:t>
      </w:r>
      <w:r>
        <w:rPr>
          <w:rFonts w:ascii="宋体" w:hAnsi="宋体" w:cs="宋体" w:eastAsia="宋体" w:hint="default"/>
        </w:rPr>
        <w:t>2019</w:t>
      </w:r>
      <w:r>
        <w:rPr/>
        <w:t>年限制性股票激励计划</w:t>
      </w:r>
      <w:r>
        <w:rPr>
          <w:rFonts w:ascii="宋体" w:hAnsi="宋体" w:cs="宋体" w:eastAsia="宋体" w:hint="default"/>
          <w:w w:val="100"/>
        </w:rPr>
        <w:t> </w:t>
      </w:r>
      <w:r>
        <w:rPr/>
        <w:t>公司于</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9</w:t>
      </w:r>
      <w:r>
        <w:rPr/>
        <w:t>日、</w:t>
      </w:r>
      <w:r>
        <w:rPr>
          <w:rFonts w:ascii="宋体" w:hAnsi="宋体" w:cs="宋体" w:eastAsia="宋体" w:hint="default"/>
        </w:rPr>
        <w:t>2020</w:t>
      </w:r>
      <w:r>
        <w:rPr/>
        <w:t>年</w:t>
      </w:r>
      <w:r>
        <w:rPr>
          <w:rFonts w:ascii="宋体" w:hAnsi="宋体" w:cs="宋体" w:eastAsia="宋体" w:hint="default"/>
        </w:rPr>
        <w:t>2</w:t>
      </w:r>
      <w:r>
        <w:rPr/>
        <w:t>月</w:t>
      </w:r>
      <w:r>
        <w:rPr>
          <w:rFonts w:ascii="宋体" w:hAnsi="宋体" w:cs="宋体" w:eastAsia="宋体" w:hint="default"/>
        </w:rPr>
        <w:t>5</w:t>
      </w:r>
      <w:r>
        <w:rPr/>
        <w:t>日分别召开第六届董事会第十五次会议、第六届监事会第十</w:t>
      </w:r>
    </w:p>
    <w:p>
      <w:pPr>
        <w:pStyle w:val="BodyText"/>
        <w:spacing w:line="259" w:lineRule="auto" w:before="6"/>
        <w:ind w:right="0"/>
        <w:jc w:val="left"/>
        <w:rPr>
          <w:rFonts w:ascii="宋体" w:hAnsi="宋体" w:cs="宋体" w:eastAsia="宋体" w:hint="default"/>
        </w:rPr>
      </w:pPr>
      <w:r>
        <w:rPr/>
        <w:t>次会议、</w:t>
      </w:r>
      <w:r>
        <w:rPr>
          <w:rFonts w:ascii="宋体" w:hAnsi="宋体" w:cs="宋体" w:eastAsia="宋体" w:hint="default"/>
        </w:rPr>
        <w:t>2020</w:t>
      </w:r>
      <w:r>
        <w:rPr/>
        <w:t>年第一次临时股东大会审议通过了《关于</w:t>
      </w:r>
      <w:r>
        <w:rPr>
          <w:rFonts w:ascii="宋体" w:hAnsi="宋体" w:cs="宋体" w:eastAsia="宋体" w:hint="default"/>
        </w:rPr>
        <w:t>&lt;</w:t>
      </w:r>
      <w:r>
        <w:rPr/>
        <w:t>中远海运科技股份有限公司</w:t>
      </w:r>
      <w:r>
        <w:rPr>
          <w:rFonts w:ascii="宋体" w:hAnsi="宋体" w:cs="宋体" w:eastAsia="宋体" w:hint="default"/>
        </w:rPr>
        <w:t>2019</w:t>
      </w:r>
      <w:r>
        <w:rPr/>
        <w:t>年限制性股</w:t>
      </w:r>
      <w:r>
        <w:rPr>
          <w:spacing w:val="-43"/>
        </w:rPr>
        <w:t> </w:t>
      </w:r>
      <w:r>
        <w:rPr>
          <w:spacing w:val="-43"/>
        </w:rPr>
      </w:r>
      <w:r>
        <w:rPr>
          <w:spacing w:val="-2"/>
        </w:rPr>
        <w:t>票激励计划（草案）</w:t>
      </w:r>
      <w:r>
        <w:rPr>
          <w:rFonts w:ascii="宋体" w:hAnsi="宋体" w:cs="宋体" w:eastAsia="宋体" w:hint="default"/>
          <w:spacing w:val="-2"/>
        </w:rPr>
        <w:t>&gt;</w:t>
      </w:r>
      <w:r>
        <w:rPr>
          <w:spacing w:val="-2"/>
        </w:rPr>
        <w:t>及其摘要的议案》、《关于</w:t>
      </w:r>
      <w:r>
        <w:rPr>
          <w:rFonts w:ascii="宋体" w:hAnsi="宋体" w:cs="宋体" w:eastAsia="宋体" w:hint="default"/>
          <w:spacing w:val="-2"/>
        </w:rPr>
        <w:t>&lt;</w:t>
      </w:r>
      <w:r>
        <w:rPr>
          <w:spacing w:val="-2"/>
        </w:rPr>
        <w:t>中远海运科技股份有限公司</w:t>
      </w:r>
      <w:r>
        <w:rPr>
          <w:rFonts w:ascii="宋体" w:hAnsi="宋体" w:cs="宋体" w:eastAsia="宋体" w:hint="default"/>
          <w:spacing w:val="-2"/>
        </w:rPr>
        <w:t>2019</w:t>
      </w:r>
      <w:r>
        <w:rPr>
          <w:spacing w:val="-2"/>
        </w:rPr>
        <w:t>年限制性股票激励</w:t>
      </w:r>
      <w:r>
        <w:rPr>
          <w:spacing w:val="-63"/>
        </w:rPr>
        <w:t> </w:t>
      </w:r>
      <w:r>
        <w:rPr>
          <w:spacing w:val="-63"/>
        </w:rPr>
      </w:r>
      <w:r>
        <w:rPr>
          <w:spacing w:val="-2"/>
        </w:rPr>
        <w:t>计划管理办法</w:t>
      </w:r>
      <w:r>
        <w:rPr>
          <w:rFonts w:ascii="宋体" w:hAnsi="宋体" w:cs="宋体" w:eastAsia="宋体" w:hint="default"/>
          <w:spacing w:val="-2"/>
        </w:rPr>
        <w:t>&gt;</w:t>
      </w:r>
      <w:r>
        <w:rPr>
          <w:spacing w:val="-2"/>
        </w:rPr>
        <w:t>的议案》、《关于</w:t>
      </w:r>
      <w:r>
        <w:rPr>
          <w:rFonts w:ascii="宋体" w:hAnsi="宋体" w:cs="宋体" w:eastAsia="宋体" w:hint="default"/>
          <w:spacing w:val="-2"/>
        </w:rPr>
        <w:t>&lt;</w:t>
      </w:r>
      <w:r>
        <w:rPr>
          <w:spacing w:val="-2"/>
        </w:rPr>
        <w:t>中远海运科技股份有限公司</w:t>
      </w:r>
      <w:r>
        <w:rPr>
          <w:rFonts w:ascii="宋体" w:hAnsi="宋体" w:cs="宋体" w:eastAsia="宋体" w:hint="default"/>
          <w:spacing w:val="-2"/>
        </w:rPr>
        <w:t>2019</w:t>
      </w:r>
      <w:r>
        <w:rPr>
          <w:spacing w:val="-2"/>
        </w:rPr>
        <w:t>年限制性股票激励计划实施考核办</w:t>
      </w:r>
      <w:r>
        <w:rPr>
          <w:spacing w:val="-66"/>
        </w:rPr>
        <w:t> </w:t>
      </w:r>
      <w:r>
        <w:rPr>
          <w:spacing w:val="-66"/>
        </w:rPr>
      </w:r>
      <w:r>
        <w:rPr>
          <w:spacing w:val="-2"/>
        </w:rPr>
        <w:t>法</w:t>
      </w:r>
      <w:r>
        <w:rPr>
          <w:rFonts w:ascii="宋体" w:hAnsi="宋体" w:cs="宋体" w:eastAsia="宋体" w:hint="default"/>
          <w:spacing w:val="-2"/>
        </w:rPr>
        <w:t>&gt;</w:t>
      </w:r>
      <w:r>
        <w:rPr>
          <w:spacing w:val="-2"/>
        </w:rPr>
        <w:t>的议案》和《关于提请股东大会授权董事会办理公司</w:t>
      </w:r>
      <w:r>
        <w:rPr>
          <w:rFonts w:ascii="宋体" w:hAnsi="宋体" w:cs="宋体" w:eastAsia="宋体" w:hint="default"/>
          <w:spacing w:val="-2"/>
        </w:rPr>
        <w:t>2019</w:t>
      </w:r>
      <w:r>
        <w:rPr>
          <w:spacing w:val="-2"/>
        </w:rPr>
        <w:t>年限制性股票激励计划相关事项的议案》</w:t>
      </w:r>
      <w:r>
        <w:rPr>
          <w:spacing w:val="-69"/>
        </w:rPr>
        <w:t> </w:t>
      </w:r>
      <w:r>
        <w:rPr>
          <w:spacing w:val="-69"/>
        </w:rPr>
      </w:r>
      <w:r>
        <w:rPr>
          <w:spacing w:val="-2"/>
        </w:rPr>
        <w:t>等相关议案。公司于</w:t>
      </w:r>
      <w:r>
        <w:rPr>
          <w:rFonts w:ascii="宋体" w:hAnsi="宋体" w:cs="宋体" w:eastAsia="宋体" w:hint="default"/>
          <w:spacing w:val="-2"/>
        </w:rPr>
        <w:t>2020</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7</w:t>
      </w:r>
      <w:r>
        <w:rPr>
          <w:spacing w:val="-2"/>
        </w:rPr>
        <w:t>日召开第六届董事会第十八次会议、第六届监事会第十一次会议，分</w:t>
      </w:r>
      <w:r>
        <w:rPr>
          <w:spacing w:val="-61"/>
        </w:rPr>
        <w:t> </w:t>
      </w:r>
      <w:r>
        <w:rPr>
          <w:spacing w:val="-61"/>
        </w:rPr>
      </w:r>
      <w:r>
        <w:rPr>
          <w:spacing w:val="-2"/>
        </w:rPr>
        <w:t>别审议通过了《关于授予限制性股票的议案》。具体内容详见公司在《证券时报》和巨潮资讯网披露</w:t>
      </w:r>
      <w:r>
        <w:rPr>
          <w:spacing w:val="-71"/>
        </w:rPr>
        <w:t> </w:t>
      </w:r>
      <w:r>
        <w:rPr>
          <w:spacing w:val="-71"/>
        </w:rPr>
      </w:r>
      <w:r>
        <w:rPr/>
        <w:t>的相关公告。</w:t>
      </w:r>
      <w:r>
        <w:rPr>
          <w:rFonts w:ascii="宋体" w:hAnsi="宋体" w:cs="宋体" w:eastAsia="宋体" w:hint="default"/>
        </w:rPr>
        <w:t> </w:t>
      </w:r>
    </w:p>
    <w:p>
      <w:pPr>
        <w:pStyle w:val="BodyText"/>
        <w:spacing w:line="259" w:lineRule="auto" w:before="7"/>
        <w:ind w:right="0" w:firstLine="439"/>
        <w:jc w:val="left"/>
      </w:pPr>
      <w:r>
        <w:rPr/>
        <w:t>本次限制性股票以</w:t>
      </w:r>
      <w:r>
        <w:rPr>
          <w:rFonts w:ascii="宋体" w:hAnsi="宋体" w:cs="宋体" w:eastAsia="宋体" w:hint="default"/>
        </w:rPr>
        <w:t>2020</w:t>
      </w:r>
      <w:r>
        <w:rPr/>
        <w:t>年</w:t>
      </w:r>
      <w:r>
        <w:rPr>
          <w:rFonts w:ascii="宋体" w:hAnsi="宋体" w:cs="宋体" w:eastAsia="宋体" w:hint="default"/>
        </w:rPr>
        <w:t>2</w:t>
      </w:r>
      <w:r>
        <w:rPr/>
        <w:t>月</w:t>
      </w:r>
      <w:r>
        <w:rPr>
          <w:rFonts w:ascii="宋体" w:hAnsi="宋体" w:cs="宋体" w:eastAsia="宋体" w:hint="default"/>
        </w:rPr>
        <w:t>7</w:t>
      </w:r>
      <w:r>
        <w:rPr/>
        <w:t>日为首次授予日，首次授予价格为</w:t>
      </w:r>
      <w:r>
        <w:rPr>
          <w:rFonts w:ascii="宋体" w:hAnsi="宋体" w:cs="宋体" w:eastAsia="宋体" w:hint="default"/>
        </w:rPr>
        <w:t>5.49</w:t>
      </w:r>
      <w:r>
        <w:rPr/>
        <w:t>元</w:t>
      </w:r>
      <w:r>
        <w:rPr>
          <w:rFonts w:ascii="宋体" w:hAnsi="宋体" w:cs="宋体" w:eastAsia="宋体" w:hint="default"/>
        </w:rPr>
        <w:t>/</w:t>
      </w:r>
      <w:r>
        <w:rPr/>
        <w:t>股</w:t>
      </w:r>
      <w:r>
        <w:rPr>
          <w:rFonts w:ascii="宋体" w:hAnsi="宋体" w:cs="宋体" w:eastAsia="宋体" w:hint="default"/>
        </w:rPr>
        <w:t>,</w:t>
      </w:r>
      <w:r>
        <w:rPr/>
        <w:t>向</w:t>
      </w:r>
      <w:r>
        <w:rPr>
          <w:rFonts w:ascii="宋体" w:hAnsi="宋体" w:cs="宋体" w:eastAsia="宋体" w:hint="default"/>
        </w:rPr>
        <w:t>100</w:t>
      </w:r>
      <w:r>
        <w:rPr/>
        <w:t>名激励对象首</w:t>
      </w:r>
      <w:r>
        <w:rPr>
          <w:w w:val="100"/>
        </w:rPr>
        <w:t> </w:t>
      </w:r>
      <w:r>
        <w:rPr>
          <w:spacing w:val="-2"/>
        </w:rPr>
        <w:t>次授予合计</w:t>
      </w:r>
      <w:r>
        <w:rPr>
          <w:rFonts w:ascii="宋体" w:hAnsi="宋体" w:cs="宋体" w:eastAsia="宋体" w:hint="default"/>
          <w:spacing w:val="-2"/>
        </w:rPr>
        <w:t>6,686,500</w:t>
      </w:r>
      <w:r>
        <w:rPr>
          <w:spacing w:val="-2"/>
        </w:rPr>
        <w:t>股限制性股票。在公司授予日</w:t>
      </w:r>
      <w:r>
        <w:rPr>
          <w:rFonts w:ascii="宋体" w:hAnsi="宋体" w:cs="宋体" w:eastAsia="宋体" w:hint="default"/>
          <w:spacing w:val="-2"/>
        </w:rPr>
        <w:t>2</w:t>
      </w:r>
      <w:r>
        <w:rPr>
          <w:spacing w:val="-2"/>
        </w:rPr>
        <w:t>月</w:t>
      </w:r>
      <w:r>
        <w:rPr>
          <w:rFonts w:ascii="宋体" w:hAnsi="宋体" w:cs="宋体" w:eastAsia="宋体" w:hint="default"/>
          <w:spacing w:val="-2"/>
        </w:rPr>
        <w:t>7</w:t>
      </w:r>
      <w:r>
        <w:rPr>
          <w:spacing w:val="-2"/>
        </w:rPr>
        <w:t>日后办理限制性股票资金缴纳的过程中，</w:t>
      </w:r>
      <w:r>
        <w:rPr>
          <w:rFonts w:ascii="宋体" w:hAnsi="宋体" w:cs="宋体" w:eastAsia="宋体" w:hint="default"/>
          <w:spacing w:val="-2"/>
        </w:rPr>
        <w:t>4</w:t>
      </w:r>
      <w:r>
        <w:rPr>
          <w:spacing w:val="-2"/>
        </w:rPr>
        <w:t>名</w:t>
      </w:r>
      <w:r>
        <w:rPr>
          <w:spacing w:val="-57"/>
        </w:rPr>
        <w:t> </w:t>
      </w:r>
      <w:r>
        <w:rPr>
          <w:spacing w:val="-2"/>
        </w:rPr>
        <w:t>激励对象自愿放弃认购授予的全部限制性股票，合计</w:t>
      </w:r>
      <w:r>
        <w:rPr>
          <w:rFonts w:ascii="宋体" w:hAnsi="宋体" w:cs="宋体" w:eastAsia="宋体" w:hint="default"/>
          <w:spacing w:val="-2"/>
        </w:rPr>
        <w:t>526,400</w:t>
      </w:r>
      <w:r>
        <w:rPr>
          <w:spacing w:val="-2"/>
        </w:rPr>
        <w:t>股。故公司授予的激励对象实际为</w:t>
      </w:r>
      <w:r>
        <w:rPr>
          <w:rFonts w:ascii="宋体" w:hAnsi="宋体" w:cs="宋体" w:eastAsia="宋体" w:hint="default"/>
          <w:spacing w:val="-2"/>
        </w:rPr>
        <w:t>96</w:t>
      </w:r>
      <w:r>
        <w:rPr>
          <w:spacing w:val="-2"/>
        </w:rPr>
        <w:t>人，</w:t>
      </w:r>
      <w:r>
        <w:rPr>
          <w:spacing w:val="-64"/>
        </w:rPr>
        <w:t> </w:t>
      </w:r>
      <w:r>
        <w:rPr/>
        <w:t>首次授予的限制性股票实际为</w:t>
      </w:r>
      <w:r>
        <w:rPr>
          <w:rFonts w:ascii="宋体" w:hAnsi="宋体" w:cs="宋体" w:eastAsia="宋体" w:hint="default"/>
        </w:rPr>
        <w:t>6,160,100</w:t>
      </w:r>
      <w:r>
        <w:rPr/>
        <w:t>股，股票上市日为</w:t>
      </w:r>
      <w:r>
        <w:rPr>
          <w:rFonts w:ascii="宋体" w:hAnsi="宋体" w:cs="宋体" w:eastAsia="宋体" w:hint="default"/>
        </w:rPr>
        <w:t>2020</w:t>
      </w:r>
      <w:r>
        <w:rPr/>
        <w:t>年</w:t>
      </w:r>
      <w:r>
        <w:rPr>
          <w:rFonts w:ascii="宋体" w:hAnsi="宋体" w:cs="宋体" w:eastAsia="宋体" w:hint="default"/>
        </w:rPr>
        <w:t>2</w:t>
      </w:r>
      <w:r>
        <w:rPr/>
        <w:t>月</w:t>
      </w:r>
      <w:r>
        <w:rPr>
          <w:rFonts w:ascii="宋体" w:hAnsi="宋体" w:cs="宋体" w:eastAsia="宋体" w:hint="default"/>
        </w:rPr>
        <w:t>21</w:t>
      </w:r>
      <w:r>
        <w:rPr/>
        <w:t>日。</w:t>
      </w:r>
    </w:p>
    <w:p>
      <w:pPr>
        <w:spacing w:line="240" w:lineRule="auto" w:before="9"/>
        <w:rPr>
          <w:rFonts w:ascii="宋体" w:hAnsi="宋体" w:cs="宋体" w:eastAsia="宋体" w:hint="default"/>
          <w:sz w:val="32"/>
          <w:szCs w:val="32"/>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491" w:lineRule="auto" w:before="73"/>
        <w:ind w:left="152" w:right="5930" w:firstLine="439"/>
        <w:jc w:val="left"/>
        <w:rPr>
          <w:rFonts w:ascii="宋体" w:hAnsi="宋体" w:cs="宋体" w:eastAsia="宋体" w:hint="default"/>
          <w:sz w:val="21"/>
          <w:szCs w:val="21"/>
        </w:rPr>
      </w:pPr>
      <w:r>
        <w:rPr>
          <w:rFonts w:ascii="宋体" w:hAnsi="宋体" w:cs="宋体" w:eastAsia="宋体" w:hint="default"/>
          <w:spacing w:val="-1"/>
          <w:sz w:val="22"/>
          <w:szCs w:val="22"/>
        </w:rPr>
        <w:t>报告期内尚未完成限制性股票授予登记。</w:t>
      </w:r>
      <w:r>
        <w:rPr>
          <w:rFonts w:ascii="宋体" w:hAnsi="宋体" w:cs="宋体" w:eastAsia="宋体" w:hint="default"/>
          <w:w w:val="100"/>
          <w:sz w:val="22"/>
          <w:szCs w:val="22"/>
        </w:rPr>
        <w:t> </w:t>
      </w:r>
      <w:r>
        <w:rPr>
          <w:rFonts w:ascii="宋体" w:hAnsi="宋体" w:cs="宋体" w:eastAsia="宋体" w:hint="default"/>
          <w:b/>
          <w:bCs/>
          <w:sz w:val="24"/>
          <w:szCs w:val="24"/>
        </w:rPr>
        <w:t>十六、重大关联交易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before="10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8"/>
        <w:gridCol w:w="677"/>
        <w:gridCol w:w="679"/>
        <w:gridCol w:w="704"/>
        <w:gridCol w:w="682"/>
        <w:gridCol w:w="672"/>
        <w:gridCol w:w="674"/>
        <w:gridCol w:w="675"/>
        <w:gridCol w:w="674"/>
        <w:gridCol w:w="674"/>
        <w:gridCol w:w="674"/>
        <w:gridCol w:w="673"/>
        <w:gridCol w:w="672"/>
        <w:gridCol w:w="641"/>
      </w:tblGrid>
      <w:tr>
        <w:trPr>
          <w:trHeight w:val="1337"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04" w:right="32"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4" w:right="60"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7" w:right="60"/>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6" w:right="75"/>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4" w:right="65"/>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2" w:right="59"/>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4" w:right="59"/>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6" w:lineRule="auto" w:before="19"/>
              <w:ind w:left="153" w:right="149"/>
              <w:jc w:val="left"/>
              <w:rPr>
                <w:rFonts w:ascii="宋体" w:hAnsi="宋体" w:cs="宋体" w:eastAsia="宋体" w:hint="default"/>
                <w:sz w:val="18"/>
                <w:szCs w:val="18"/>
              </w:rPr>
            </w:pPr>
            <w:r>
              <w:rPr>
                <w:rFonts w:ascii="宋体" w:hAnsi="宋体" w:cs="宋体" w:eastAsia="宋体" w:hint="default"/>
                <w:sz w:val="18"/>
                <w:szCs w:val="18"/>
              </w:rPr>
              <w:t>（万 元）</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58"/>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2"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5" w:right="43"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00"/>
        <w:gridCol w:w="677"/>
        <w:gridCol w:w="679"/>
        <w:gridCol w:w="704"/>
        <w:gridCol w:w="682"/>
        <w:gridCol w:w="672"/>
        <w:gridCol w:w="674"/>
        <w:gridCol w:w="675"/>
        <w:gridCol w:w="674"/>
        <w:gridCol w:w="674"/>
        <w:gridCol w:w="674"/>
        <w:gridCol w:w="673"/>
        <w:gridCol w:w="672"/>
        <w:gridCol w:w="641"/>
      </w:tblGrid>
      <w:tr>
        <w:trPr>
          <w:trHeight w:val="6642"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9" w:lineRule="auto"/>
              <w:ind w:left="24" w:right="44"/>
              <w:jc w:val="both"/>
              <w:rPr>
                <w:rFonts w:ascii="宋体" w:hAnsi="宋体" w:cs="宋体" w:eastAsia="宋体" w:hint="default"/>
                <w:sz w:val="18"/>
                <w:szCs w:val="18"/>
              </w:rPr>
            </w:pPr>
            <w:r>
              <w:rPr>
                <w:rFonts w:ascii="宋体" w:hAnsi="宋体" w:cs="宋体" w:eastAsia="宋体" w:hint="default"/>
                <w:sz w:val="18"/>
                <w:szCs w:val="18"/>
              </w:rPr>
              <w:t>中远海运 集团财务 有限责任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9" w:lineRule="auto"/>
              <w:ind w:left="23" w:right="101"/>
              <w:jc w:val="both"/>
              <w:rPr>
                <w:rFonts w:ascii="宋体" w:hAnsi="宋体" w:cs="宋体" w:eastAsia="宋体" w:hint="default"/>
                <w:sz w:val="18"/>
                <w:szCs w:val="18"/>
              </w:rPr>
            </w:pPr>
            <w:r>
              <w:rPr>
                <w:rFonts w:ascii="宋体" w:hAnsi="宋体" w:cs="宋体" w:eastAsia="宋体" w:hint="default"/>
                <w:sz w:val="18"/>
                <w:szCs w:val="18"/>
              </w:rPr>
              <w:t>受同一 最终控 制方控 制</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5"/>
              <w:ind w:left="26" w:right="101"/>
              <w:jc w:val="left"/>
              <w:rPr>
                <w:rFonts w:ascii="宋体" w:hAnsi="宋体" w:cs="宋体" w:eastAsia="宋体" w:hint="default"/>
                <w:sz w:val="18"/>
                <w:szCs w:val="18"/>
              </w:rPr>
            </w:pPr>
            <w:r>
              <w:rPr>
                <w:rFonts w:ascii="宋体" w:hAnsi="宋体" w:cs="宋体" w:eastAsia="宋体" w:hint="default"/>
                <w:sz w:val="18"/>
                <w:szCs w:val="18"/>
              </w:rPr>
              <w:t>金融服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5"/>
              <w:ind w:left="23" w:right="128"/>
              <w:jc w:val="left"/>
              <w:rPr>
                <w:rFonts w:ascii="宋体" w:hAnsi="宋体" w:cs="宋体" w:eastAsia="宋体" w:hint="default"/>
                <w:sz w:val="18"/>
                <w:szCs w:val="18"/>
              </w:rPr>
            </w:pPr>
            <w:r>
              <w:rPr>
                <w:rFonts w:ascii="宋体" w:hAnsi="宋体" w:cs="宋体" w:eastAsia="宋体" w:hint="default"/>
                <w:sz w:val="18"/>
                <w:szCs w:val="18"/>
              </w:rPr>
              <w:t>存款余 额</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5"/>
              <w:ind w:left="23" w:right="107"/>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sz w:val="18"/>
              </w:rPr>
              <w:t>99,134.</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79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8"/>
              <w:jc w:val="right"/>
              <w:rPr>
                <w:rFonts w:ascii="Times New Roman" w:hAnsi="Times New Roman" w:cs="Times New Roman" w:eastAsia="Times New Roman" w:hint="default"/>
                <w:sz w:val="18"/>
                <w:szCs w:val="18"/>
              </w:rPr>
            </w:pPr>
            <w:r>
              <w:rPr>
                <w:rFonts w:ascii="Times New Roman"/>
                <w:sz w:val="18"/>
              </w:rPr>
              <w:t>99,134.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79</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65" w:right="0"/>
              <w:jc w:val="center"/>
              <w:rPr>
                <w:rFonts w:ascii="Times New Roman" w:hAnsi="Times New Roman" w:cs="Times New Roman" w:eastAsia="Times New Roman" w:hint="default"/>
                <w:sz w:val="18"/>
                <w:szCs w:val="18"/>
              </w:rPr>
            </w:pPr>
            <w:r>
              <w:rPr>
                <w:rFonts w:ascii="Times New Roman"/>
                <w:sz w:val="18"/>
              </w:rPr>
              <w:t>78.30%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21"/>
              <w:jc w:val="right"/>
              <w:rPr>
                <w:rFonts w:ascii="Times New Roman" w:hAnsi="Times New Roman" w:cs="Times New Roman" w:eastAsia="Times New Roman" w:hint="default"/>
                <w:sz w:val="18"/>
                <w:szCs w:val="18"/>
              </w:rPr>
            </w:pPr>
            <w:r>
              <w:rPr>
                <w:rFonts w:ascii="Times New Roman"/>
                <w:spacing w:val="-1"/>
                <w:sz w:val="18"/>
              </w:rPr>
              <w:t>80,000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sz w:val="18"/>
              </w:rPr>
              <w:t>99,134.</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79</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5"/>
              <w:jc w:val="both"/>
              <w:rPr>
                <w:rFonts w:ascii="宋体" w:hAnsi="宋体" w:cs="宋体" w:eastAsia="宋体" w:hint="default"/>
                <w:sz w:val="18"/>
                <w:szCs w:val="18"/>
              </w:rPr>
            </w:pPr>
            <w:r>
              <w:rPr>
                <w:rFonts w:ascii="宋体" w:hAnsi="宋体" w:cs="宋体" w:eastAsia="宋体" w:hint="default"/>
                <w:sz w:val="18"/>
                <w:szCs w:val="18"/>
              </w:rPr>
              <w:t>详见公 司与巨 潮资讯 网和</w:t>
            </w:r>
          </w:p>
          <w:p>
            <w:pPr>
              <w:pStyle w:val="TableParagraph"/>
              <w:spacing w:line="316" w:lineRule="auto" w:before="19"/>
              <w:ind w:left="23" w:right="65"/>
              <w:jc w:val="both"/>
              <w:rPr>
                <w:rFonts w:ascii="宋体" w:hAnsi="宋体" w:cs="宋体" w:eastAsia="宋体" w:hint="default"/>
                <w:sz w:val="18"/>
                <w:szCs w:val="18"/>
              </w:rPr>
            </w:pPr>
            <w:r>
              <w:rPr>
                <w:rFonts w:ascii="宋体" w:hAnsi="宋体" w:cs="宋体" w:eastAsia="宋体" w:hint="default"/>
                <w:sz w:val="18"/>
                <w:szCs w:val="18"/>
              </w:rPr>
              <w:t>《证券 时报》 披露的</w:t>
            </w:r>
          </w:p>
          <w:p>
            <w:pPr>
              <w:pStyle w:val="TableParagraph"/>
              <w:spacing w:line="316" w:lineRule="auto" w:before="19"/>
              <w:ind w:left="23" w:right="17"/>
              <w:jc w:val="left"/>
              <w:rPr>
                <w:rFonts w:ascii="宋体" w:hAnsi="宋体" w:cs="宋体" w:eastAsia="宋体" w:hint="default"/>
                <w:sz w:val="18"/>
                <w:szCs w:val="18"/>
              </w:rPr>
            </w:pPr>
            <w:r>
              <w:rPr>
                <w:rFonts w:ascii="宋体" w:hAnsi="宋体" w:cs="宋体" w:eastAsia="宋体" w:hint="default"/>
                <w:sz w:val="18"/>
                <w:szCs w:val="18"/>
              </w:rPr>
              <w:t>《关于 确认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6" w:lineRule="auto"/>
              <w:ind w:left="23" w:right="18"/>
              <w:jc w:val="both"/>
              <w:rPr>
                <w:rFonts w:ascii="Times New Roman" w:hAnsi="Times New Roman" w:cs="Times New Roman" w:eastAsia="Times New Roman" w:hint="default"/>
                <w:sz w:val="18"/>
                <w:szCs w:val="18"/>
              </w:rPr>
            </w:pPr>
            <w:r>
              <w:rPr>
                <w:rFonts w:ascii="宋体" w:hAnsi="宋体" w:cs="宋体" w:eastAsia="宋体" w:hint="default"/>
                <w:sz w:val="18"/>
                <w:szCs w:val="18"/>
              </w:rPr>
              <w:t>度日常 关联交 易和预 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p>
          <w:p>
            <w:pPr>
              <w:pStyle w:val="TableParagraph"/>
              <w:spacing w:line="316" w:lineRule="auto"/>
              <w:ind w:left="23" w:right="65"/>
              <w:jc w:val="both"/>
              <w:rPr>
                <w:rFonts w:ascii="宋体" w:hAnsi="宋体" w:cs="宋体" w:eastAsia="宋体" w:hint="default"/>
                <w:sz w:val="18"/>
                <w:szCs w:val="18"/>
              </w:rPr>
            </w:pPr>
            <w:r>
              <w:rPr>
                <w:rFonts w:ascii="宋体" w:hAnsi="宋体" w:cs="宋体" w:eastAsia="宋体" w:hint="default"/>
                <w:sz w:val="18"/>
                <w:szCs w:val="18"/>
              </w:rPr>
              <w:t>年度日 常关联 交易的 公告》</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（编号</w:t>
            </w:r>
          </w:p>
          <w:p>
            <w:pPr>
              <w:pStyle w:val="TableParagraph"/>
              <w:spacing w:line="240" w:lineRule="auto" w:before="118"/>
              <w:ind w:left="23" w:right="0"/>
              <w:jc w:val="both"/>
              <w:rPr>
                <w:rFonts w:ascii="Times New Roman" w:hAnsi="Times New Roman" w:cs="Times New Roman" w:eastAsia="Times New Roman" w:hint="default"/>
                <w:sz w:val="18"/>
                <w:szCs w:val="18"/>
              </w:rPr>
            </w:pPr>
            <w:r>
              <w:rPr>
                <w:rFonts w:ascii="Times New Roman"/>
                <w:sz w:val="18"/>
              </w:rPr>
              <w:t>2019-0</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宋体" w:hAnsi="宋体" w:cs="宋体" w:eastAsia="宋体" w:hint="default"/>
                <w:sz w:val="18"/>
                <w:szCs w:val="18"/>
              </w:rPr>
              <w:t>）</w:t>
            </w:r>
          </w:p>
        </w:tc>
      </w:tr>
      <w:tr>
        <w:trPr>
          <w:trHeight w:val="6644"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4" w:right="44"/>
              <w:jc w:val="both"/>
              <w:rPr>
                <w:rFonts w:ascii="宋体" w:hAnsi="宋体" w:cs="宋体" w:eastAsia="宋体" w:hint="default"/>
                <w:sz w:val="18"/>
                <w:szCs w:val="18"/>
              </w:rPr>
            </w:pPr>
            <w:r>
              <w:rPr>
                <w:rFonts w:ascii="宋体" w:hAnsi="宋体" w:cs="宋体" w:eastAsia="宋体" w:hint="default"/>
                <w:sz w:val="18"/>
                <w:szCs w:val="18"/>
              </w:rPr>
              <w:t>中国远洋 海运集团 有限公司 及下属子 公司（上 海船研所 及其下属 子公司除 外）</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23" w:right="101"/>
              <w:jc w:val="both"/>
              <w:rPr>
                <w:rFonts w:ascii="宋体" w:hAnsi="宋体" w:cs="宋体" w:eastAsia="宋体" w:hint="default"/>
                <w:sz w:val="18"/>
                <w:szCs w:val="18"/>
              </w:rPr>
            </w:pPr>
            <w:r>
              <w:rPr>
                <w:rFonts w:ascii="宋体" w:hAnsi="宋体" w:cs="宋体" w:eastAsia="宋体" w:hint="default"/>
                <w:sz w:val="18"/>
                <w:szCs w:val="18"/>
              </w:rPr>
              <w:t>受同一 最终控 制方控 制</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6" w:right="101"/>
              <w:jc w:val="both"/>
              <w:rPr>
                <w:rFonts w:ascii="宋体" w:hAnsi="宋体" w:cs="宋体" w:eastAsia="宋体" w:hint="default"/>
                <w:sz w:val="18"/>
                <w:szCs w:val="18"/>
              </w:rPr>
            </w:pPr>
            <w:r>
              <w:rPr>
                <w:rFonts w:ascii="宋体" w:hAnsi="宋体" w:cs="宋体" w:eastAsia="宋体" w:hint="default"/>
                <w:sz w:val="18"/>
                <w:szCs w:val="18"/>
              </w:rPr>
              <w:t>销售商 品、提 供劳务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技术服 </w:t>
            </w:r>
            <w:r>
              <w:rPr>
                <w:rFonts w:ascii="宋体" w:hAnsi="宋体" w:cs="宋体" w:eastAsia="宋体" w:hint="default"/>
                <w:spacing w:val="-18"/>
                <w:sz w:val="18"/>
                <w:szCs w:val="18"/>
              </w:rPr>
              <w:t>务、产品</w:t>
            </w:r>
            <w:r>
              <w:rPr>
                <w:rFonts w:ascii="宋体" w:hAnsi="宋体" w:cs="宋体" w:eastAsia="宋体" w:hint="default"/>
                <w:sz w:val="18"/>
                <w:szCs w:val="18"/>
              </w:rPr>
              <w:t> 销售</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7"/>
              <w:ind w:left="23" w:right="107"/>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Times New Roman" w:hAnsi="Times New Roman" w:cs="Times New Roman" w:eastAsia="Times New Roman" w:hint="default"/>
                <w:sz w:val="18"/>
                <w:szCs w:val="18"/>
              </w:rPr>
            </w:pPr>
            <w:r>
              <w:rPr>
                <w:rFonts w:ascii="Times New Roman"/>
                <w:sz w:val="18"/>
              </w:rPr>
              <w:t>35,736.</w:t>
            </w:r>
          </w:p>
          <w:p>
            <w:pPr>
              <w:pStyle w:val="TableParagraph"/>
              <w:spacing w:line="240" w:lineRule="auto" w:before="103"/>
              <w:ind w:left="23" w:right="0"/>
              <w:jc w:val="left"/>
              <w:rPr>
                <w:rFonts w:ascii="Times New Roman" w:hAnsi="Times New Roman" w:cs="Times New Roman" w:eastAsia="Times New Roman" w:hint="default"/>
                <w:sz w:val="18"/>
                <w:szCs w:val="18"/>
              </w:rPr>
            </w:pPr>
            <w:r>
              <w:rPr>
                <w:rFonts w:ascii="Times New Roman"/>
                <w:sz w:val="18"/>
              </w:rPr>
              <w:t>14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8"/>
              <w:jc w:val="right"/>
              <w:rPr>
                <w:rFonts w:ascii="Times New Roman" w:hAnsi="Times New Roman" w:cs="Times New Roman" w:eastAsia="Times New Roman" w:hint="default"/>
                <w:sz w:val="18"/>
                <w:szCs w:val="18"/>
              </w:rPr>
            </w:pPr>
            <w:r>
              <w:rPr>
                <w:rFonts w:ascii="Times New Roman"/>
                <w:sz w:val="18"/>
              </w:rPr>
              <w:t>35,736.</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14</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65" w:right="0"/>
              <w:jc w:val="center"/>
              <w:rPr>
                <w:rFonts w:ascii="Times New Roman" w:hAnsi="Times New Roman" w:cs="Times New Roman" w:eastAsia="Times New Roman" w:hint="default"/>
                <w:sz w:val="18"/>
                <w:szCs w:val="18"/>
              </w:rPr>
            </w:pPr>
            <w:r>
              <w:rPr>
                <w:rFonts w:ascii="Times New Roman"/>
                <w:sz w:val="18"/>
              </w:rPr>
              <w:t>30.41%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21"/>
              <w:jc w:val="right"/>
              <w:rPr>
                <w:rFonts w:ascii="Times New Roman" w:hAnsi="Times New Roman" w:cs="Times New Roman" w:eastAsia="Times New Roman" w:hint="default"/>
                <w:sz w:val="18"/>
                <w:szCs w:val="18"/>
              </w:rPr>
            </w:pPr>
            <w:r>
              <w:rPr>
                <w:rFonts w:ascii="Times New Roman"/>
                <w:spacing w:val="-1"/>
                <w:sz w:val="18"/>
              </w:rPr>
              <w:t>43,000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Times New Roman" w:hAnsi="Times New Roman" w:cs="Times New Roman" w:eastAsia="Times New Roman" w:hint="default"/>
                <w:sz w:val="18"/>
                <w:szCs w:val="18"/>
              </w:rPr>
            </w:pPr>
            <w:r>
              <w:rPr>
                <w:rFonts w:ascii="Times New Roman"/>
                <w:sz w:val="18"/>
              </w:rPr>
              <w:t>35,736.</w:t>
            </w:r>
          </w:p>
          <w:p>
            <w:pPr>
              <w:pStyle w:val="TableParagraph"/>
              <w:spacing w:line="240" w:lineRule="auto" w:before="103"/>
              <w:ind w:left="23" w:right="0"/>
              <w:jc w:val="left"/>
              <w:rPr>
                <w:rFonts w:ascii="Times New Roman" w:hAnsi="Times New Roman" w:cs="Times New Roman" w:eastAsia="Times New Roman" w:hint="default"/>
                <w:sz w:val="18"/>
                <w:szCs w:val="18"/>
              </w:rPr>
            </w:pPr>
            <w:r>
              <w:rPr>
                <w:rFonts w:ascii="Times New Roman"/>
                <w:sz w:val="18"/>
              </w:rPr>
              <w:t>14</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5"/>
              <w:jc w:val="both"/>
              <w:rPr>
                <w:rFonts w:ascii="宋体" w:hAnsi="宋体" w:cs="宋体" w:eastAsia="宋体" w:hint="default"/>
                <w:sz w:val="18"/>
                <w:szCs w:val="18"/>
              </w:rPr>
            </w:pPr>
            <w:r>
              <w:rPr>
                <w:rFonts w:ascii="宋体" w:hAnsi="宋体" w:cs="宋体" w:eastAsia="宋体" w:hint="default"/>
                <w:sz w:val="18"/>
                <w:szCs w:val="18"/>
              </w:rPr>
              <w:t>详见公 司与巨 潮资讯 网和</w:t>
            </w:r>
          </w:p>
          <w:p>
            <w:pPr>
              <w:pStyle w:val="TableParagraph"/>
              <w:spacing w:line="316" w:lineRule="auto" w:before="19"/>
              <w:ind w:left="23" w:right="65"/>
              <w:jc w:val="both"/>
              <w:rPr>
                <w:rFonts w:ascii="宋体" w:hAnsi="宋体" w:cs="宋体" w:eastAsia="宋体" w:hint="default"/>
                <w:sz w:val="18"/>
                <w:szCs w:val="18"/>
              </w:rPr>
            </w:pPr>
            <w:r>
              <w:rPr>
                <w:rFonts w:ascii="宋体" w:hAnsi="宋体" w:cs="宋体" w:eastAsia="宋体" w:hint="default"/>
                <w:sz w:val="18"/>
                <w:szCs w:val="18"/>
              </w:rPr>
              <w:t>《证券 时报》 披露的</w:t>
            </w:r>
          </w:p>
          <w:p>
            <w:pPr>
              <w:pStyle w:val="TableParagraph"/>
              <w:spacing w:line="316" w:lineRule="auto" w:before="19"/>
              <w:ind w:left="23" w:right="17"/>
              <w:jc w:val="left"/>
              <w:rPr>
                <w:rFonts w:ascii="宋体" w:hAnsi="宋体" w:cs="宋体" w:eastAsia="宋体" w:hint="default"/>
                <w:sz w:val="18"/>
                <w:szCs w:val="18"/>
              </w:rPr>
            </w:pPr>
            <w:r>
              <w:rPr>
                <w:rFonts w:ascii="宋体" w:hAnsi="宋体" w:cs="宋体" w:eastAsia="宋体" w:hint="default"/>
                <w:sz w:val="18"/>
                <w:szCs w:val="18"/>
              </w:rPr>
              <w:t>《关于 确认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6" w:lineRule="auto"/>
              <w:ind w:left="23" w:right="18"/>
              <w:jc w:val="both"/>
              <w:rPr>
                <w:rFonts w:ascii="Times New Roman" w:hAnsi="Times New Roman" w:cs="Times New Roman" w:eastAsia="Times New Roman" w:hint="default"/>
                <w:sz w:val="18"/>
                <w:szCs w:val="18"/>
              </w:rPr>
            </w:pPr>
            <w:r>
              <w:rPr>
                <w:rFonts w:ascii="宋体" w:hAnsi="宋体" w:cs="宋体" w:eastAsia="宋体" w:hint="default"/>
                <w:sz w:val="18"/>
                <w:szCs w:val="18"/>
              </w:rPr>
              <w:t>度日常 关联交 易和预 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p>
          <w:p>
            <w:pPr>
              <w:pStyle w:val="TableParagraph"/>
              <w:spacing w:line="316" w:lineRule="auto"/>
              <w:ind w:left="23" w:right="65"/>
              <w:jc w:val="both"/>
              <w:rPr>
                <w:rFonts w:ascii="宋体" w:hAnsi="宋体" w:cs="宋体" w:eastAsia="宋体" w:hint="default"/>
                <w:sz w:val="18"/>
                <w:szCs w:val="18"/>
              </w:rPr>
            </w:pPr>
            <w:r>
              <w:rPr>
                <w:rFonts w:ascii="宋体" w:hAnsi="宋体" w:cs="宋体" w:eastAsia="宋体" w:hint="default"/>
                <w:sz w:val="18"/>
                <w:szCs w:val="18"/>
              </w:rPr>
              <w:t>年度日 常关联 交易的 公告》</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（编号</w:t>
            </w:r>
          </w:p>
          <w:p>
            <w:pPr>
              <w:pStyle w:val="TableParagraph"/>
              <w:spacing w:line="240" w:lineRule="auto" w:before="118"/>
              <w:ind w:left="23" w:right="0"/>
              <w:jc w:val="both"/>
              <w:rPr>
                <w:rFonts w:ascii="Times New Roman" w:hAnsi="Times New Roman" w:cs="Times New Roman" w:eastAsia="Times New Roman" w:hint="default"/>
                <w:sz w:val="18"/>
                <w:szCs w:val="18"/>
              </w:rPr>
            </w:pPr>
            <w:r>
              <w:rPr>
                <w:rFonts w:ascii="Times New Roman"/>
                <w:sz w:val="18"/>
              </w:rPr>
              <w:t>2019-0</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宋体" w:hAnsi="宋体" w:cs="宋体" w:eastAsia="宋体" w:hint="default"/>
                <w:sz w:val="18"/>
                <w:szCs w:val="18"/>
              </w:rPr>
              <w:t>）</w:t>
            </w:r>
          </w:p>
        </w:tc>
      </w:tr>
    </w:tbl>
    <w:p>
      <w:pPr>
        <w:spacing w:after="0" w:line="240" w:lineRule="auto"/>
        <w:jc w:val="both"/>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847"/>
        <w:gridCol w:w="682"/>
        <w:gridCol w:w="672"/>
        <w:gridCol w:w="676"/>
        <w:gridCol w:w="674"/>
        <w:gridCol w:w="674"/>
        <w:gridCol w:w="674"/>
        <w:gridCol w:w="674"/>
        <w:gridCol w:w="673"/>
        <w:gridCol w:w="672"/>
        <w:gridCol w:w="641"/>
      </w:tblGrid>
      <w:tr>
        <w:trPr>
          <w:trHeight w:val="161" w:hRule="exact"/>
        </w:trPr>
        <w:tc>
          <w:tcPr>
            <w:tcW w:w="2847"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72"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10" w:space="0" w:color="D2D2D2"/>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134,870</w:t>
            </w:r>
          </w:p>
          <w:p>
            <w:pPr>
              <w:pStyle w:val="TableParagraph"/>
              <w:spacing w:line="240" w:lineRule="auto" w:before="105"/>
              <w:ind w:left="410" w:right="0"/>
              <w:jc w:val="left"/>
              <w:rPr>
                <w:rFonts w:ascii="Times New Roman" w:hAnsi="Times New Roman" w:cs="Times New Roman" w:eastAsia="Times New Roman" w:hint="default"/>
                <w:sz w:val="18"/>
                <w:szCs w:val="18"/>
              </w:rPr>
            </w:pPr>
            <w:r>
              <w:rPr>
                <w:rFonts w:ascii="Times New Roman"/>
                <w:sz w:val="18"/>
              </w:rPr>
              <w:t>.93</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123,000</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6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28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6" w:type="dxa"/>
            <w:vMerge/>
            <w:tcBorders>
              <w:left w:val="single" w:sz="10" w:space="0" w:color="D2D2D2"/>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673" w:type="dxa"/>
            <w:vMerge/>
            <w:tcBorders>
              <w:left w:val="single" w:sz="4" w:space="0" w:color="000000"/>
              <w:right w:val="single" w:sz="4" w:space="0" w:color="000000"/>
            </w:tcBorders>
            <w:shd w:val="clear" w:color="auto" w:fill="D2D2D2"/>
          </w:tcPr>
          <w:p>
            <w:pPr/>
          </w:p>
        </w:tc>
        <w:tc>
          <w:tcPr>
            <w:tcW w:w="672" w:type="dxa"/>
            <w:vMerge/>
            <w:tcBorders>
              <w:left w:val="single" w:sz="4" w:space="0" w:color="000000"/>
              <w:right w:val="single" w:sz="4" w:space="0" w:color="000000"/>
            </w:tcBorders>
            <w:shd w:val="clear" w:color="auto" w:fill="D2D2D2"/>
          </w:tcPr>
          <w:p>
            <w:pPr/>
          </w:p>
        </w:tc>
        <w:tc>
          <w:tcPr>
            <w:tcW w:w="641" w:type="dxa"/>
            <w:vMerge/>
            <w:tcBorders>
              <w:left w:val="single" w:sz="4" w:space="0" w:color="000000"/>
              <w:right w:val="single" w:sz="4" w:space="0" w:color="000000"/>
            </w:tcBorders>
            <w:shd w:val="clear" w:color="auto" w:fill="D2D2D2"/>
          </w:tcPr>
          <w:p>
            <w:pPr/>
          </w:p>
        </w:tc>
      </w:tr>
      <w:tr>
        <w:trPr>
          <w:trHeight w:val="162" w:hRule="exact"/>
        </w:trPr>
        <w:tc>
          <w:tcPr>
            <w:tcW w:w="2847"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72"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10" w:space="0" w:color="D2D2D2"/>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3" w:type="dxa"/>
            <w:vMerge/>
            <w:tcBorders>
              <w:left w:val="single" w:sz="4" w:space="0" w:color="000000"/>
              <w:bottom w:val="single" w:sz="4" w:space="0" w:color="000000"/>
              <w:right w:val="single" w:sz="4" w:space="0" w:color="000000"/>
            </w:tcBorders>
            <w:shd w:val="clear" w:color="auto" w:fill="D2D2D2"/>
          </w:tcPr>
          <w:p>
            <w:pPr/>
          </w:p>
        </w:tc>
        <w:tc>
          <w:tcPr>
            <w:tcW w:w="672"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9" w:hRule="exact"/>
        </w:trPr>
        <w:tc>
          <w:tcPr>
            <w:tcW w:w="284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11"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日、</w:t>
            </w:r>
            <w:r>
              <w:rPr>
                <w:rFonts w:ascii="Times New Roman" w:hAnsi="Times New Roman" w:cs="Times New Roman" w:eastAsia="Times New Roman" w:hint="default"/>
                <w:spacing w:val="-5"/>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日分别召开第六届董事会第七次会议、</w:t>
            </w:r>
            <w:r>
              <w:rPr>
                <w:rFonts w:ascii="Times New Roman" w:hAnsi="Times New Roman" w:cs="Times New Roman" w:eastAsia="Times New Roman" w:hint="default"/>
                <w:sz w:val="18"/>
                <w:szCs w:val="18"/>
              </w:rPr>
              <w:t>2019</w:t>
            </w:r>
          </w:p>
          <w:p>
            <w:pPr>
              <w:pStyle w:val="TableParagraph"/>
              <w:spacing w:line="240" w:lineRule="auto" w:before="63"/>
              <w:ind w:left="16"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年第一次临时股东大会，审议通过了《关于确认</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年度日常关联交易和预计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p>
          <w:p>
            <w:pPr>
              <w:pStyle w:val="TableParagraph"/>
              <w:spacing w:line="304" w:lineRule="auto" w:before="63"/>
              <w:ind w:left="16" w:right="19"/>
              <w:jc w:val="both"/>
              <w:rPr>
                <w:rFonts w:ascii="宋体" w:hAnsi="宋体" w:cs="宋体" w:eastAsia="宋体" w:hint="default"/>
                <w:sz w:val="18"/>
                <w:szCs w:val="18"/>
              </w:rPr>
            </w:pPr>
            <w:r>
              <w:rPr>
                <w:rFonts w:ascii="宋体" w:hAnsi="宋体" w:cs="宋体" w:eastAsia="宋体" w:hint="default"/>
                <w:spacing w:val="-7"/>
                <w:sz w:val="18"/>
                <w:szCs w:val="18"/>
              </w:rPr>
              <w:t>年度日常关联交易的议案》。于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日、</w:t>
            </w:r>
            <w:r>
              <w:rPr>
                <w:rFonts w:ascii="Times New Roman" w:hAnsi="Times New Roman" w:cs="Times New Roman" w:eastAsia="Times New Roman" w:hint="default"/>
                <w:spacing w:val="-1"/>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日分别召开第六 </w:t>
            </w:r>
            <w:r>
              <w:rPr>
                <w:rFonts w:ascii="宋体" w:hAnsi="宋体" w:cs="宋体" w:eastAsia="宋体" w:hint="default"/>
                <w:spacing w:val="-2"/>
                <w:sz w:val="18"/>
                <w:szCs w:val="18"/>
              </w:rPr>
              <w:t>届董事会第十二次会议、</w:t>
            </w:r>
            <w:r>
              <w:rPr>
                <w:rFonts w:ascii="Times New Roman" w:hAnsi="Times New Roman" w:cs="Times New Roman" w:eastAsia="Times New Roman" w:hint="default"/>
                <w:spacing w:val="-2"/>
                <w:sz w:val="18"/>
                <w:szCs w:val="18"/>
              </w:rPr>
              <w:t>2019</w:t>
            </w:r>
            <w:r>
              <w:rPr>
                <w:rFonts w:ascii="Times New Roman" w:hAnsi="Times New Roman" w:cs="Times New Roman" w:eastAsia="Times New Roman" w:hint="default"/>
                <w:sz w:val="18"/>
                <w:szCs w:val="18"/>
              </w:rPr>
              <w:t> </w:t>
            </w:r>
            <w:r>
              <w:rPr>
                <w:rFonts w:ascii="宋体" w:hAnsi="宋体" w:cs="宋体" w:eastAsia="宋体" w:hint="default"/>
                <w:spacing w:val="-2"/>
                <w:sz w:val="18"/>
                <w:szCs w:val="18"/>
              </w:rPr>
              <w:t>年第二次临时股东大会，审议通过了《关于公司与宁夏</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交投科技发展有限公司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年度日常关联交易预计的议案》。公司按照相关预计金额</w:t>
            </w:r>
            <w:r>
              <w:rPr>
                <w:rFonts w:ascii="宋体" w:hAnsi="宋体" w:cs="宋体" w:eastAsia="宋体" w:hint="default"/>
                <w:sz w:val="18"/>
                <w:szCs w:val="18"/>
              </w:rPr>
              <w:t> 开展日常关联交易，公司与中远海运集团财务有限责任公司日常关联交易实际发生额 超过预计额主要系随公司合同额及项目数量增加，收到项目款项增多所致。</w:t>
            </w:r>
          </w:p>
        </w:tc>
      </w:tr>
      <w:tr>
        <w:trPr>
          <w:trHeight w:val="1015" w:hRule="exact"/>
        </w:trPr>
        <w:tc>
          <w:tcPr>
            <w:tcW w:w="28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实际履行情况（如有）</w:t>
            </w:r>
          </w:p>
        </w:tc>
        <w:tc>
          <w:tcPr>
            <w:tcW w:w="6711" w:type="dxa"/>
            <w:gridSpan w:val="10"/>
            <w:vMerge/>
            <w:tcBorders>
              <w:left w:val="single" w:sz="10" w:space="0" w:color="D2D2D2"/>
              <w:right w:val="single" w:sz="4" w:space="0" w:color="000000"/>
            </w:tcBorders>
          </w:tcPr>
          <w:p>
            <w:pPr/>
          </w:p>
        </w:tc>
      </w:tr>
      <w:tr>
        <w:trPr>
          <w:trHeight w:val="629" w:hRule="exact"/>
        </w:trPr>
        <w:tc>
          <w:tcPr>
            <w:tcW w:w="284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11" w:type="dxa"/>
            <w:gridSpan w:val="10"/>
            <w:vMerge/>
            <w:tcBorders>
              <w:left w:val="single" w:sz="10" w:space="0" w:color="D2D2D2"/>
              <w:bottom w:val="single" w:sz="4" w:space="0" w:color="000000"/>
              <w:right w:val="single" w:sz="4" w:space="0" w:color="000000"/>
            </w:tcBorders>
          </w:tcPr>
          <w:p>
            <w:pPr/>
          </w:p>
        </w:tc>
      </w:tr>
      <w:tr>
        <w:trPr>
          <w:trHeight w:val="715" w:hRule="exact"/>
        </w:trPr>
        <w:tc>
          <w:tcPr>
            <w:tcW w:w="2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23"/>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spacing w:before="36"/>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38" w:lineRule="auto" w:before="0"/>
        <w:ind w:left="152" w:right="6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7"/>
        <w:rPr>
          <w:rFonts w:ascii="宋体" w:hAnsi="宋体" w:cs="宋体" w:eastAsia="宋体" w:hint="default"/>
          <w:sz w:val="21"/>
          <w:szCs w:val="21"/>
        </w:rPr>
      </w:pPr>
    </w:p>
    <w:p>
      <w:pPr>
        <w:spacing w:before="0"/>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、共同对外投资的关联交易</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line="340" w:lineRule="auto" w:before="0"/>
        <w:ind w:left="152" w:right="7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公司报告期未发生共同对外投资的关联交易。</w:t>
      </w:r>
    </w:p>
    <w:p>
      <w:pPr>
        <w:spacing w:line="240" w:lineRule="auto" w:before="3"/>
        <w:rPr>
          <w:rFonts w:ascii="宋体" w:hAnsi="宋体" w:cs="宋体" w:eastAsia="宋体" w:hint="default"/>
          <w:sz w:val="21"/>
          <w:szCs w:val="21"/>
        </w:rPr>
      </w:pPr>
    </w:p>
    <w:p>
      <w:pPr>
        <w:spacing w:before="0"/>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、关联债权债务往来</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40"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公司报告期不存在关联债权债务往来。</w:t>
      </w:r>
    </w:p>
    <w:p>
      <w:pPr>
        <w:spacing w:line="240" w:lineRule="auto" w:before="3"/>
        <w:rPr>
          <w:rFonts w:ascii="宋体" w:hAnsi="宋体" w:cs="宋体" w:eastAsia="宋体" w:hint="default"/>
          <w:sz w:val="21"/>
          <w:szCs w:val="21"/>
        </w:rPr>
      </w:pPr>
    </w:p>
    <w:p>
      <w:pPr>
        <w:spacing w:before="0"/>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、其他重大关联交易</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line="340" w:lineRule="auto" w:before="0"/>
        <w:ind w:left="15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公司报告期无其他重大关联交易。</w:t>
      </w:r>
    </w:p>
    <w:p>
      <w:pPr>
        <w:spacing w:line="240" w:lineRule="auto" w:before="6"/>
        <w:rPr>
          <w:rFonts w:ascii="宋体" w:hAnsi="宋体" w:cs="宋体" w:eastAsia="宋体" w:hint="default"/>
          <w:sz w:val="19"/>
          <w:szCs w:val="19"/>
        </w:rPr>
      </w:pPr>
    </w:p>
    <w:p>
      <w:pPr>
        <w:pStyle w:val="Heading3"/>
        <w:spacing w:line="240" w:lineRule="auto"/>
        <w:ind w:right="1133"/>
        <w:jc w:val="left"/>
        <w:rPr>
          <w:b w:val="0"/>
          <w:bCs w:val="0"/>
        </w:rPr>
      </w:pPr>
      <w:r>
        <w:rPr/>
        <w:t>十七、重大合同及其履行情况</w:t>
      </w:r>
      <w:r>
        <w:rPr>
          <w:b w:val="0"/>
          <w:bCs w:val="0"/>
        </w:rPr>
      </w:r>
    </w:p>
    <w:p>
      <w:pPr>
        <w:spacing w:line="240" w:lineRule="auto" w:before="12"/>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、托管、承包、租赁事项情况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38" w:lineRule="auto" w:before="0"/>
        <w:ind w:left="152" w:right="85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托管情况说明</w:t>
      </w:r>
    </w:p>
    <w:p>
      <w:pPr>
        <w:pStyle w:val="BodyText"/>
        <w:spacing w:line="244" w:lineRule="auto" w:before="14"/>
        <w:ind w:right="0" w:firstLine="708"/>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30</w:t>
      </w:r>
      <w:r>
        <w:rPr/>
        <w:t>日，公司第六届董事会第一次会议、第六届监事会第一次会议审议通过了《关于</w:t>
      </w:r>
      <w:r>
        <w:rPr>
          <w:w w:val="100"/>
        </w:rPr>
        <w:t> </w:t>
      </w:r>
      <w:r>
        <w:rPr>
          <w:spacing w:val="-1"/>
        </w:rPr>
        <w:t>签署</w:t>
      </w:r>
      <w:r>
        <w:rPr>
          <w:rFonts w:ascii="Times New Roman" w:hAnsi="Times New Roman" w:cs="Times New Roman" w:eastAsia="Times New Roman" w:hint="default"/>
          <w:spacing w:val="-1"/>
        </w:rPr>
        <w:t>&lt;</w:t>
      </w:r>
      <w:r>
        <w:rPr>
          <w:spacing w:val="-1"/>
        </w:rPr>
        <w:t>委托管理协议</w:t>
      </w:r>
      <w:r>
        <w:rPr>
          <w:rFonts w:ascii="Times New Roman" w:hAnsi="Times New Roman" w:cs="Times New Roman" w:eastAsia="Times New Roman" w:hint="default"/>
          <w:spacing w:val="-1"/>
        </w:rPr>
        <w:t>&gt;</w:t>
      </w:r>
      <w:r>
        <w:rPr>
          <w:spacing w:val="-1"/>
        </w:rPr>
        <w:t>的关联交易议案》，中远海运集团、上海船研所和公司签署《委托管理协议》，</w:t>
      </w:r>
    </w:p>
    <w:p>
      <w:pPr>
        <w:spacing w:after="0" w:line="244" w:lineRule="auto"/>
        <w:jc w:val="left"/>
        <w:sectPr>
          <w:pgSz w:w="11910" w:h="16840"/>
          <w:pgMar w:header="745" w:footer="979" w:top="1060" w:bottom="1160" w:left="980" w:right="0"/>
        </w:sectPr>
      </w:pPr>
    </w:p>
    <w:p>
      <w:pPr>
        <w:spacing w:line="240" w:lineRule="auto" w:before="5"/>
        <w:rPr>
          <w:rFonts w:ascii="宋体" w:hAnsi="宋体" w:cs="宋体" w:eastAsia="宋体" w:hint="default"/>
          <w:sz w:val="24"/>
          <w:szCs w:val="24"/>
        </w:rPr>
      </w:pPr>
    </w:p>
    <w:p>
      <w:pPr>
        <w:pStyle w:val="BodyText"/>
        <w:spacing w:line="254" w:lineRule="auto" w:before="32"/>
        <w:ind w:right="1128"/>
        <w:jc w:val="both"/>
      </w:pPr>
      <w:r>
        <w:rPr>
          <w:spacing w:val="-2"/>
        </w:rPr>
        <w:t>经中远海运集团批准，上海船研所委托公司对上海船研所的非上市板块的业务和日常事务进行管理并</w:t>
      </w:r>
      <w:r>
        <w:rPr>
          <w:spacing w:val="-72"/>
        </w:rPr>
        <w:t> </w:t>
      </w:r>
      <w:r>
        <w:rPr>
          <w:spacing w:val="-72"/>
        </w:rPr>
      </w:r>
      <w:r>
        <w:rPr>
          <w:spacing w:val="-2"/>
        </w:rPr>
        <w:t>支付委托管理费；公司接受上海船研所的委托，按照约定对上海船研所提供管理服务。具体内容详见</w:t>
      </w:r>
      <w:r>
        <w:rPr>
          <w:spacing w:val="-66"/>
        </w:rPr>
        <w:t> </w:t>
      </w:r>
      <w:r>
        <w:rPr>
          <w:spacing w:val="-66"/>
        </w:rPr>
      </w:r>
      <w:r>
        <w:rPr>
          <w:spacing w:val="-1"/>
        </w:rPr>
        <w:t>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31</w:t>
      </w:r>
      <w:r>
        <w:rPr>
          <w:spacing w:val="-1"/>
        </w:rPr>
        <w:t>日在《证券时报》与巨潮资讯网披露的《关于签署</w:t>
      </w:r>
      <w:r>
        <w:rPr>
          <w:rFonts w:ascii="Times New Roman" w:hAnsi="Times New Roman" w:cs="Times New Roman" w:eastAsia="Times New Roman" w:hint="default"/>
          <w:spacing w:val="-1"/>
        </w:rPr>
        <w:t>&lt;</w:t>
      </w:r>
      <w:r>
        <w:rPr>
          <w:spacing w:val="-1"/>
        </w:rPr>
        <w:t>委托管理协议</w:t>
      </w:r>
      <w:r>
        <w:rPr>
          <w:rFonts w:ascii="Times New Roman" w:hAnsi="Times New Roman" w:cs="Times New Roman" w:eastAsia="Times New Roman" w:hint="default"/>
          <w:spacing w:val="-1"/>
        </w:rPr>
        <w:t>&gt;</w:t>
      </w:r>
      <w:r>
        <w:rPr>
          <w:spacing w:val="-1"/>
        </w:rPr>
        <w:t>的关联交易公</w:t>
      </w:r>
      <w:r>
        <w:rPr>
          <w:spacing w:val="-72"/>
        </w:rPr>
        <w:t> </w:t>
      </w:r>
      <w:r>
        <w:rPr>
          <w:spacing w:val="-72"/>
        </w:rPr>
      </w:r>
      <w:r>
        <w:rPr/>
        <w:t>告》（公告编号</w:t>
      </w:r>
      <w:r>
        <w:rPr>
          <w:rFonts w:ascii="Times New Roman" w:hAnsi="Times New Roman" w:cs="Times New Roman" w:eastAsia="Times New Roman" w:hint="default"/>
        </w:rPr>
        <w:t>2018-003</w:t>
      </w:r>
      <w:r>
        <w:rPr/>
        <w:t>）。</w:t>
      </w:r>
    </w:p>
    <w:p>
      <w:pPr>
        <w:spacing w:before="63"/>
        <w:ind w:left="152" w:right="0" w:firstLine="0"/>
        <w:jc w:val="both"/>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1"/>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152" w:right="0" w:firstLine="0"/>
        <w:jc w:val="both"/>
        <w:rPr>
          <w:rFonts w:ascii="宋体" w:hAnsi="宋体" w:cs="宋体" w:eastAsia="宋体" w:hint="default"/>
          <w:sz w:val="18"/>
          <w:szCs w:val="18"/>
        </w:rPr>
      </w:pPr>
      <w:r>
        <w:rPr>
          <w:rFonts w:ascii="宋体" w:hAnsi="宋体" w:cs="宋体" w:eastAsia="宋体" w:hint="default"/>
          <w:sz w:val="18"/>
          <w:szCs w:val="18"/>
        </w:rPr>
        <w:t>公司报告期不存在为公司带来的损益达到公司报告期利润总额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以上的托管项目。</w:t>
      </w:r>
    </w:p>
    <w:p>
      <w:pPr>
        <w:spacing w:line="240" w:lineRule="auto" w:before="2"/>
        <w:rPr>
          <w:rFonts w:ascii="宋体" w:hAnsi="宋体" w:cs="宋体" w:eastAsia="宋体" w:hint="default"/>
          <w:sz w:val="26"/>
          <w:szCs w:val="26"/>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）承包情况</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line="338"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公司报告期不存在承包情况。</w:t>
      </w:r>
    </w:p>
    <w:p>
      <w:pPr>
        <w:spacing w:line="240" w:lineRule="auto" w:before="7"/>
        <w:rPr>
          <w:rFonts w:ascii="宋体" w:hAnsi="宋体" w:cs="宋体" w:eastAsia="宋体" w:hint="default"/>
          <w:sz w:val="21"/>
          <w:szCs w:val="21"/>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）租赁情况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38"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公司报告期不存在租赁情况。</w:t>
      </w:r>
    </w:p>
    <w:p>
      <w:pPr>
        <w:spacing w:line="240" w:lineRule="auto" w:before="7"/>
        <w:rPr>
          <w:rFonts w:ascii="宋体" w:hAnsi="宋体" w:cs="宋体" w:eastAsia="宋体" w:hint="default"/>
          <w:sz w:val="21"/>
          <w:szCs w:val="21"/>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、重大担保</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40" w:lineRule="auto" w:before="0"/>
        <w:ind w:left="15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公司报告期不存在担保情况。</w:t>
      </w:r>
    </w:p>
    <w:p>
      <w:pPr>
        <w:spacing w:line="240" w:lineRule="auto" w:before="3"/>
        <w:rPr>
          <w:rFonts w:ascii="宋体" w:hAnsi="宋体" w:cs="宋体" w:eastAsia="宋体" w:hint="default"/>
          <w:sz w:val="21"/>
          <w:szCs w:val="21"/>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、委托他人进行现金资产管理情况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38"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公司报告期不存在委托理财。</w:t>
      </w:r>
    </w:p>
    <w:p>
      <w:pPr>
        <w:spacing w:line="240" w:lineRule="auto" w:before="7"/>
        <w:rPr>
          <w:rFonts w:ascii="宋体" w:hAnsi="宋体" w:cs="宋体" w:eastAsia="宋体" w:hint="default"/>
          <w:sz w:val="21"/>
          <w:szCs w:val="21"/>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）委托贷款情况</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line="340"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公司报告期不存在委托贷款。</w:t>
      </w:r>
    </w:p>
    <w:p>
      <w:pPr>
        <w:spacing w:line="240" w:lineRule="auto" w:before="3"/>
        <w:rPr>
          <w:rFonts w:ascii="宋体" w:hAnsi="宋体" w:cs="宋体" w:eastAsia="宋体" w:hint="default"/>
          <w:sz w:val="21"/>
          <w:szCs w:val="21"/>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、其他重大合同</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36"/>
        <w:gridCol w:w="638"/>
        <w:gridCol w:w="641"/>
        <w:gridCol w:w="638"/>
        <w:gridCol w:w="639"/>
        <w:gridCol w:w="641"/>
        <w:gridCol w:w="638"/>
        <w:gridCol w:w="638"/>
        <w:gridCol w:w="639"/>
        <w:gridCol w:w="636"/>
        <w:gridCol w:w="638"/>
        <w:gridCol w:w="639"/>
        <w:gridCol w:w="639"/>
        <w:gridCol w:w="638"/>
        <w:gridCol w:w="636"/>
      </w:tblGrid>
      <w:tr>
        <w:trPr>
          <w:trHeight w:val="2273" w:hRule="exact"/>
        </w:trPr>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43" w:right="41"/>
              <w:jc w:val="both"/>
              <w:rPr>
                <w:rFonts w:ascii="宋体" w:hAnsi="宋体" w:cs="宋体" w:eastAsia="宋体" w:hint="default"/>
                <w:sz w:val="18"/>
                <w:szCs w:val="18"/>
              </w:rPr>
            </w:pPr>
            <w:r>
              <w:rPr>
                <w:rFonts w:ascii="宋体" w:hAnsi="宋体" w:cs="宋体" w:eastAsia="宋体" w:hint="default"/>
                <w:sz w:val="18"/>
                <w:szCs w:val="18"/>
              </w:rPr>
              <w:t>合同订 立公司 方名称</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合同订 立对方 名称</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5" w:right="43" w:hanging="180"/>
              <w:jc w:val="left"/>
              <w:rPr>
                <w:rFonts w:ascii="宋体" w:hAnsi="宋体" w:cs="宋体" w:eastAsia="宋体" w:hint="default"/>
                <w:sz w:val="18"/>
                <w:szCs w:val="18"/>
              </w:rPr>
            </w:pPr>
            <w:r>
              <w:rPr>
                <w:rFonts w:ascii="宋体" w:hAnsi="宋体" w:cs="宋体" w:eastAsia="宋体" w:hint="default"/>
                <w:sz w:val="18"/>
                <w:szCs w:val="18"/>
              </w:rPr>
              <w:t>合同标 的</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45" w:right="41"/>
              <w:jc w:val="left"/>
              <w:rPr>
                <w:rFonts w:ascii="宋体" w:hAnsi="宋体" w:cs="宋体" w:eastAsia="宋体" w:hint="default"/>
                <w:sz w:val="18"/>
                <w:szCs w:val="18"/>
              </w:rPr>
            </w:pPr>
            <w:r>
              <w:rPr>
                <w:rFonts w:ascii="宋体" w:hAnsi="宋体" w:cs="宋体" w:eastAsia="宋体" w:hint="default"/>
                <w:sz w:val="18"/>
                <w:szCs w:val="18"/>
              </w:rPr>
              <w:t>合同签 订日期</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 w:right="41"/>
              <w:jc w:val="both"/>
              <w:rPr>
                <w:rFonts w:ascii="宋体" w:hAnsi="宋体" w:cs="宋体" w:eastAsia="宋体" w:hint="default"/>
                <w:sz w:val="18"/>
                <w:szCs w:val="18"/>
              </w:rPr>
            </w:pPr>
            <w:r>
              <w:rPr>
                <w:rFonts w:ascii="宋体" w:hAnsi="宋体" w:cs="宋体" w:eastAsia="宋体" w:hint="default"/>
                <w:sz w:val="18"/>
                <w:szCs w:val="18"/>
              </w:rPr>
              <w:t>合同涉 及资产 的账面 价值</w:t>
            </w:r>
          </w:p>
          <w:p>
            <w:pPr>
              <w:pStyle w:val="TableParagraph"/>
              <w:spacing w:line="316" w:lineRule="auto" w:before="19"/>
              <w:ind w:left="24" w:right="22" w:firstLine="1"/>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1"/>
              <w:jc w:val="both"/>
              <w:rPr>
                <w:rFonts w:ascii="宋体" w:hAnsi="宋体" w:cs="宋体" w:eastAsia="宋体" w:hint="default"/>
                <w:sz w:val="18"/>
                <w:szCs w:val="18"/>
              </w:rPr>
            </w:pPr>
            <w:r>
              <w:rPr>
                <w:rFonts w:ascii="宋体" w:hAnsi="宋体" w:cs="宋体" w:eastAsia="宋体" w:hint="default"/>
                <w:sz w:val="18"/>
                <w:szCs w:val="18"/>
              </w:rPr>
              <w:t>合同涉 及资产 的评估 价值</w:t>
            </w:r>
          </w:p>
          <w:p>
            <w:pPr>
              <w:pStyle w:val="TableParagraph"/>
              <w:spacing w:line="316" w:lineRule="auto" w:before="19"/>
              <w:ind w:left="26" w:right="21" w:hanging="1"/>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45" w:right="41"/>
              <w:jc w:val="left"/>
              <w:rPr>
                <w:rFonts w:ascii="宋体" w:hAnsi="宋体" w:cs="宋体" w:eastAsia="宋体" w:hint="default"/>
                <w:sz w:val="18"/>
                <w:szCs w:val="18"/>
              </w:rPr>
            </w:pPr>
            <w:r>
              <w:rPr>
                <w:rFonts w:ascii="宋体" w:hAnsi="宋体" w:cs="宋体" w:eastAsia="宋体" w:hint="default"/>
                <w:sz w:val="18"/>
                <w:szCs w:val="18"/>
              </w:rPr>
              <w:t>评估机 构名称</w:t>
            </w:r>
          </w:p>
          <w:p>
            <w:pPr>
              <w:pStyle w:val="TableParagraph"/>
              <w:spacing w:line="316" w:lineRule="auto" w:before="19"/>
              <w:ind w:left="134"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34" w:right="41" w:hanging="89"/>
              <w:jc w:val="left"/>
              <w:rPr>
                <w:rFonts w:ascii="宋体" w:hAnsi="宋体" w:cs="宋体" w:eastAsia="宋体" w:hint="default"/>
                <w:sz w:val="18"/>
                <w:szCs w:val="18"/>
              </w:rPr>
            </w:pPr>
            <w:r>
              <w:rPr>
                <w:rFonts w:ascii="宋体" w:hAnsi="宋体" w:cs="宋体" w:eastAsia="宋体" w:hint="default"/>
                <w:sz w:val="18"/>
                <w:szCs w:val="18"/>
              </w:rPr>
              <w:t>评估基 准日</w:t>
            </w:r>
          </w:p>
          <w:p>
            <w:pPr>
              <w:pStyle w:val="TableParagraph"/>
              <w:spacing w:line="316" w:lineRule="auto" w:before="19"/>
              <w:ind w:left="134"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6" w:right="41" w:hanging="180"/>
              <w:jc w:val="left"/>
              <w:rPr>
                <w:rFonts w:ascii="宋体" w:hAnsi="宋体" w:cs="宋体" w:eastAsia="宋体" w:hint="default"/>
                <w:sz w:val="18"/>
                <w:szCs w:val="18"/>
              </w:rPr>
            </w:pPr>
            <w:r>
              <w:rPr>
                <w:rFonts w:ascii="宋体" w:hAnsi="宋体" w:cs="宋体" w:eastAsia="宋体" w:hint="default"/>
                <w:sz w:val="18"/>
                <w:szCs w:val="18"/>
              </w:rPr>
              <w:t>定价原 则</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45" w:right="38"/>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47" w:right="38"/>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5" w:right="4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截至报 告期末 的执行 情况</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5" w:right="41"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3" w:right="41"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5708"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24" w:right="60"/>
              <w:jc w:val="both"/>
              <w:rPr>
                <w:rFonts w:ascii="宋体" w:hAnsi="宋体" w:cs="宋体" w:eastAsia="宋体" w:hint="default"/>
                <w:sz w:val="18"/>
                <w:szCs w:val="18"/>
              </w:rPr>
            </w:pPr>
            <w:r>
              <w:rPr>
                <w:rFonts w:ascii="宋体" w:hAnsi="宋体" w:cs="宋体" w:eastAsia="宋体" w:hint="default"/>
                <w:sz w:val="18"/>
                <w:szCs w:val="18"/>
              </w:rPr>
              <w:t>中远海 运科技 股份有 限公司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23" w:right="62"/>
              <w:jc w:val="both"/>
              <w:rPr>
                <w:rFonts w:ascii="宋体" w:hAnsi="宋体" w:cs="宋体" w:eastAsia="宋体" w:hint="default"/>
                <w:sz w:val="18"/>
                <w:szCs w:val="18"/>
              </w:rPr>
            </w:pPr>
            <w:r>
              <w:rPr>
                <w:rFonts w:ascii="宋体" w:hAnsi="宋体" w:cs="宋体" w:eastAsia="宋体" w:hint="default"/>
                <w:sz w:val="18"/>
                <w:szCs w:val="18"/>
              </w:rPr>
              <w:t>贵州高 速公路 集团有 限公司</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5"/>
              <w:jc w:val="both"/>
              <w:rPr>
                <w:rFonts w:ascii="宋体" w:hAnsi="宋体" w:cs="宋体" w:eastAsia="宋体" w:hint="default"/>
                <w:sz w:val="18"/>
                <w:szCs w:val="18"/>
              </w:rPr>
            </w:pPr>
            <w:r>
              <w:rPr>
                <w:rFonts w:ascii="宋体" w:hAnsi="宋体" w:cs="宋体" w:eastAsia="宋体" w:hint="default"/>
                <w:sz w:val="18"/>
                <w:szCs w:val="18"/>
              </w:rPr>
              <w:t>余庆至 安龙高 速公路 罗甸至 望谟段 全线交 通机电</w:t>
            </w:r>
          </w:p>
          <w:p>
            <w:pPr>
              <w:pStyle w:val="TableParagraph"/>
              <w:spacing w:line="314" w:lineRule="auto" w:before="19"/>
              <w:ind w:left="23" w:right="65"/>
              <w:jc w:val="left"/>
              <w:rPr>
                <w:rFonts w:ascii="宋体" w:hAnsi="宋体" w:cs="宋体" w:eastAsia="宋体" w:hint="default"/>
                <w:sz w:val="18"/>
                <w:szCs w:val="18"/>
              </w:rPr>
            </w:pPr>
            <w:r>
              <w:rPr>
                <w:rFonts w:ascii="宋体" w:hAnsi="宋体" w:cs="宋体" w:eastAsia="宋体" w:hint="default"/>
                <w:sz w:val="18"/>
                <w:szCs w:val="18"/>
              </w:rPr>
              <w:t>（监 控、通 信、收 费）三 大系统 项目、 隧道机 电</w:t>
            </w:r>
            <w:r>
              <w:rPr>
                <w:rFonts w:ascii="Times New Roman" w:hAnsi="Times New Roman" w:cs="Times New Roman" w:eastAsia="Times New Roman" w:hint="default"/>
                <w:sz w:val="18"/>
                <w:szCs w:val="18"/>
              </w:rPr>
              <w:t>(</w:t>
            </w:r>
            <w:r>
              <w:rPr>
                <w:rFonts w:ascii="宋体" w:hAnsi="宋体" w:cs="宋体" w:eastAsia="宋体" w:hint="default"/>
                <w:sz w:val="18"/>
                <w:szCs w:val="18"/>
              </w:rPr>
              <w:t>含 消防， 隧道</w:t>
            </w:r>
            <w:r>
              <w:rPr>
                <w:rFonts w:ascii="Times New Roman" w:hAnsi="Times New Roman" w:cs="Times New Roman" w:eastAsia="Times New Roman" w:hint="default"/>
                <w:sz w:val="18"/>
                <w:szCs w:val="18"/>
              </w:rPr>
              <w:t>) </w:t>
            </w:r>
            <w:r>
              <w:rPr>
                <w:rFonts w:ascii="宋体" w:hAnsi="宋体" w:cs="宋体" w:eastAsia="宋体" w:hint="default"/>
                <w:sz w:val="18"/>
                <w:szCs w:val="18"/>
              </w:rPr>
              <w:t>施工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招投标</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112" w:right="0"/>
              <w:jc w:val="left"/>
              <w:rPr>
                <w:rFonts w:ascii="Times New Roman" w:hAnsi="Times New Roman" w:cs="Times New Roman" w:eastAsia="Times New Roman" w:hint="default"/>
                <w:sz w:val="18"/>
                <w:szCs w:val="18"/>
              </w:rPr>
            </w:pPr>
            <w:r>
              <w:rPr>
                <w:rFonts w:ascii="Times New Roman"/>
                <w:sz w:val="18"/>
              </w:rPr>
              <w:t>34,986</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4" w:lineRule="auto"/>
              <w:ind w:left="24" w:right="62"/>
              <w:jc w:val="left"/>
              <w:rPr>
                <w:rFonts w:ascii="宋体" w:hAnsi="宋体" w:cs="宋体" w:eastAsia="宋体" w:hint="default"/>
                <w:sz w:val="18"/>
                <w:szCs w:val="18"/>
              </w:rPr>
            </w:pPr>
            <w:r>
              <w:rPr>
                <w:rFonts w:ascii="宋体" w:hAnsi="宋体" w:cs="宋体" w:eastAsia="宋体" w:hint="default"/>
                <w:sz w:val="18"/>
                <w:szCs w:val="18"/>
              </w:rPr>
              <w:t>正常履 行</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3" w:right="60"/>
              <w:jc w:val="left"/>
              <w:rPr>
                <w:rFonts w:ascii="宋体" w:hAnsi="宋体" w:cs="宋体" w:eastAsia="宋体" w:hint="default"/>
                <w:sz w:val="18"/>
                <w:szCs w:val="18"/>
              </w:rPr>
            </w:pPr>
            <w:r>
              <w:rPr>
                <w:rFonts w:ascii="宋体" w:hAnsi="宋体" w:cs="宋体" w:eastAsia="宋体" w:hint="default"/>
                <w:sz w:val="18"/>
                <w:szCs w:val="18"/>
              </w:rPr>
              <w:t>详见公 司于</w:t>
            </w:r>
          </w:p>
          <w:p>
            <w:pPr>
              <w:pStyle w:val="TableParagraph"/>
              <w:spacing w:line="316" w:lineRule="auto" w:before="21"/>
              <w:ind w:left="23" w:right="60"/>
              <w:jc w:val="both"/>
              <w:rPr>
                <w:rFonts w:ascii="宋体" w:hAnsi="宋体" w:cs="宋体" w:eastAsia="宋体" w:hint="default"/>
                <w:sz w:val="18"/>
                <w:szCs w:val="18"/>
              </w:rPr>
            </w:pPr>
            <w:r>
              <w:rPr>
                <w:rFonts w:ascii="宋体" w:hAnsi="宋体" w:cs="宋体" w:eastAsia="宋体" w:hint="default"/>
                <w:sz w:val="18"/>
                <w:szCs w:val="18"/>
              </w:rPr>
              <w:t>《证券 时报》 和巨潮 资讯网 披露的</w:t>
            </w:r>
          </w:p>
          <w:p>
            <w:pPr>
              <w:pStyle w:val="TableParagraph"/>
              <w:spacing w:line="316" w:lineRule="auto" w:before="19"/>
              <w:ind w:left="23" w:right="22"/>
              <w:jc w:val="left"/>
              <w:rPr>
                <w:rFonts w:ascii="宋体" w:hAnsi="宋体" w:cs="宋体" w:eastAsia="宋体" w:hint="default"/>
                <w:sz w:val="18"/>
                <w:szCs w:val="18"/>
              </w:rPr>
            </w:pPr>
            <w:r>
              <w:rPr>
                <w:rFonts w:ascii="宋体" w:hAnsi="宋体" w:cs="宋体" w:eastAsia="宋体" w:hint="default"/>
                <w:sz w:val="18"/>
                <w:szCs w:val="18"/>
              </w:rPr>
              <w:t>《签订 重大合 同的公 </w:t>
            </w:r>
            <w:r>
              <w:rPr>
                <w:rFonts w:ascii="宋体" w:hAnsi="宋体" w:cs="宋体" w:eastAsia="宋体" w:hint="default"/>
                <w:spacing w:val="-36"/>
                <w:sz w:val="18"/>
                <w:szCs w:val="18"/>
              </w:rPr>
              <w:t>告》（公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告编 号：</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2017-0</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26</w:t>
            </w:r>
            <w:r>
              <w:rPr>
                <w:rFonts w:ascii="宋体" w:hAnsi="宋体" w:cs="宋体" w:eastAsia="宋体" w:hint="default"/>
                <w:spacing w:val="-92"/>
                <w:sz w:val="18"/>
                <w:szCs w:val="18"/>
              </w:rPr>
              <w:t>）。</w:t>
            </w:r>
            <w:r>
              <w:rPr>
                <w:rFonts w:ascii="宋体" w:hAnsi="宋体" w:cs="宋体" w:eastAsia="宋体" w:hint="default"/>
                <w:sz w:val="18"/>
                <w:szCs w:val="18"/>
              </w:rPr>
            </w:r>
          </w:p>
        </w:tc>
      </w:tr>
    </w:tbl>
    <w:p>
      <w:pPr>
        <w:spacing w:line="240" w:lineRule="auto" w:before="1"/>
        <w:rPr>
          <w:rFonts w:ascii="宋体" w:hAnsi="宋体" w:cs="宋体" w:eastAsia="宋体" w:hint="default"/>
          <w:sz w:val="18"/>
          <w:szCs w:val="18"/>
        </w:rPr>
      </w:pPr>
    </w:p>
    <w:p>
      <w:pPr>
        <w:pStyle w:val="Heading3"/>
        <w:spacing w:line="240" w:lineRule="auto" w:before="26"/>
        <w:ind w:right="1133"/>
        <w:jc w:val="left"/>
        <w:rPr>
          <w:b w:val="0"/>
          <w:bCs w:val="0"/>
        </w:rPr>
      </w:pPr>
      <w:r>
        <w:rPr/>
        <w:t>十八、社会责任情况</w:t>
      </w:r>
      <w:r>
        <w:rPr>
          <w:b w:val="0"/>
          <w:bCs w:val="0"/>
        </w:rPr>
      </w:r>
    </w:p>
    <w:p>
      <w:pPr>
        <w:spacing w:line="240" w:lineRule="auto" w:before="12"/>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p>
      <w:pPr>
        <w:pStyle w:val="BodyText"/>
        <w:spacing w:line="259" w:lineRule="auto"/>
        <w:ind w:right="1130" w:firstLine="439"/>
        <w:jc w:val="both"/>
      </w:pPr>
      <w:r>
        <w:rPr>
          <w:spacing w:val="-2"/>
        </w:rPr>
        <w:t>公司一贯秉承科学的社会责任观，将社会责任理念融入企业经营理念、发展战略、企业文化；努</w:t>
      </w:r>
      <w:r>
        <w:rPr>
          <w:w w:val="100"/>
        </w:rPr>
        <w:t> </w:t>
      </w:r>
      <w:r>
        <w:rPr>
          <w:spacing w:val="-2"/>
        </w:rPr>
        <w:t>力构建企业与投资者、用户、合作伙伴，与员工、自然环境的和谐关系，实现企业和全社会的可持续</w:t>
      </w:r>
      <w:r>
        <w:rPr>
          <w:spacing w:val="-71"/>
        </w:rPr>
        <w:t> </w:t>
      </w:r>
      <w:r>
        <w:rPr>
          <w:spacing w:val="-71"/>
        </w:rPr>
      </w:r>
      <w:r>
        <w:rPr/>
        <w:t>发展。</w:t>
      </w:r>
    </w:p>
    <w:p>
      <w:pPr>
        <w:pStyle w:val="BodyText"/>
        <w:spacing w:line="259" w:lineRule="auto" w:before="47"/>
        <w:ind w:right="1090" w:firstLine="439"/>
        <w:jc w:val="both"/>
      </w:pPr>
      <w:r>
        <w:rPr>
          <w:spacing w:val="-2"/>
        </w:rPr>
        <w:t>投资者保护：坚持通过持续创新、诚信经营、完善服务，全面提升企业实力和竞争力，推动企业</w:t>
      </w:r>
      <w:r>
        <w:rPr>
          <w:w w:val="100"/>
        </w:rPr>
        <w:t> </w:t>
      </w:r>
      <w:r>
        <w:rPr>
          <w:spacing w:val="-1"/>
        </w:rPr>
        <w:t>和行业的可持续发展，保障股东特别是中小股东的利益，维护债权人的合法权益。根据《公司法》、</w:t>
      </w:r>
    </w:p>
    <w:p>
      <w:pPr>
        <w:pStyle w:val="BodyText"/>
        <w:spacing w:line="259" w:lineRule="auto" w:before="6"/>
        <w:ind w:right="1133"/>
        <w:jc w:val="left"/>
      </w:pPr>
      <w:r>
        <w:rPr>
          <w:spacing w:val="-2"/>
        </w:rPr>
        <w:t>《证券法》等法律法规，公司建立了以《公司章程》为基础的内控体系，以股东大会、董事会、监事</w:t>
      </w:r>
      <w:r>
        <w:rPr>
          <w:spacing w:val="-74"/>
        </w:rPr>
        <w:t> </w:t>
      </w:r>
      <w:r>
        <w:rPr>
          <w:spacing w:val="-74"/>
        </w:rPr>
      </w:r>
      <w:r>
        <w:rPr/>
        <w:t>会及管理层为主体结构的决策与经营体系，完善的公司治理结构切实保障了全体股东权益。</w:t>
      </w:r>
    </w:p>
    <w:p>
      <w:pPr>
        <w:pStyle w:val="BodyText"/>
        <w:spacing w:line="259" w:lineRule="auto" w:before="47"/>
        <w:ind w:right="1130" w:firstLine="439"/>
        <w:jc w:val="both"/>
      </w:pPr>
      <w:r>
        <w:rPr>
          <w:spacing w:val="-2"/>
        </w:rPr>
        <w:t>员工保障：建立多通道、共成长的人才培养与激励机制，通过全方位立体化的培训与清晰的职业</w:t>
      </w:r>
      <w:r>
        <w:rPr>
          <w:w w:val="100"/>
        </w:rPr>
        <w:t> </w:t>
      </w:r>
      <w:r>
        <w:rPr>
          <w:spacing w:val="-2"/>
        </w:rPr>
        <w:t>发展通道帮助员工成长，不断改善员工的工作环境，为员工创造、提供广阔的发展平台和施展才华的</w:t>
      </w:r>
      <w:r>
        <w:rPr>
          <w:spacing w:val="-70"/>
        </w:rPr>
        <w:t> </w:t>
      </w:r>
      <w:r>
        <w:rPr>
          <w:spacing w:val="-70"/>
        </w:rPr>
      </w:r>
      <w:r>
        <w:rPr/>
        <w:t>机会，实现企业与员工共同成长。</w:t>
      </w:r>
    </w:p>
    <w:p>
      <w:pPr>
        <w:pStyle w:val="BodyText"/>
        <w:spacing w:line="261" w:lineRule="auto" w:before="45"/>
        <w:ind w:right="1132" w:firstLine="530"/>
        <w:jc w:val="both"/>
      </w:pPr>
      <w:r>
        <w:rPr/>
        <w:t>环境保护：在追求经济效益的同时注重环境保护和节能降耗，把建设资源节约型和环境友好型</w:t>
      </w:r>
      <w:r>
        <w:rPr>
          <w:w w:val="100"/>
        </w:rPr>
        <w:t> </w:t>
      </w:r>
      <w:r>
        <w:rPr/>
        <w:t>企业作为可持续发展战略的重要内容，以履行国有控股上市公司应有的社会责任。</w:t>
      </w:r>
    </w:p>
    <w:p>
      <w:pPr>
        <w:spacing w:after="0" w:line="261"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spacing w:before="36"/>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、履行精准扶贫社会责任情况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）精准扶贫规划</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p>
      <w:pPr>
        <w:pStyle w:val="BodyText"/>
        <w:spacing w:line="254" w:lineRule="auto"/>
        <w:ind w:right="1128" w:firstLine="439"/>
        <w:jc w:val="both"/>
      </w:pPr>
      <w:r>
        <w:rPr>
          <w:spacing w:val="-4"/>
          <w:w w:val="100"/>
        </w:rPr>
        <w:t>党的十九大把精准脱贫作为三大攻坚战之一</w:t>
      </w:r>
      <w:r>
        <w:rPr>
          <w:rFonts w:ascii="Times New Roman" w:hAnsi="Times New Roman" w:cs="Times New Roman" w:eastAsia="Times New Roman" w:hint="default"/>
          <w:spacing w:val="-4"/>
          <w:w w:val="100"/>
        </w:rPr>
        <w:t>,</w:t>
      </w:r>
      <w:r>
        <w:rPr>
          <w:spacing w:val="-4"/>
          <w:w w:val="100"/>
        </w:rPr>
        <w:t>习近平总书记在多个重要会议、重大场合反复强调脱</w:t>
      </w:r>
      <w:r>
        <w:rPr>
          <w:w w:val="100"/>
        </w:rPr>
        <w:t> </w:t>
      </w:r>
      <w:r>
        <w:rPr>
          <w:spacing w:val="-2"/>
        </w:rPr>
        <w:t>贫攻坚。打好脱贫攻坚战，是全面建成小康社会的底线任务。公司积极贯彻落实党和国家的有关决策</w:t>
      </w:r>
      <w:r>
        <w:rPr>
          <w:spacing w:val="-67"/>
        </w:rPr>
        <w:t> </w:t>
      </w:r>
      <w:r>
        <w:rPr>
          <w:spacing w:val="-67"/>
        </w:rPr>
      </w:r>
      <w:r>
        <w:rPr>
          <w:spacing w:val="-2"/>
        </w:rPr>
        <w:t>部署，根据自身实际，通过人力、资金、技术等多种途径，分层次、多角度开展扶贫工作，切实发挥</w:t>
      </w:r>
      <w:r>
        <w:rPr>
          <w:spacing w:val="-74"/>
        </w:rPr>
        <w:t> </w:t>
      </w:r>
      <w:r>
        <w:rPr>
          <w:spacing w:val="-74"/>
        </w:rPr>
      </w:r>
      <w:r>
        <w:rPr/>
        <w:t>国企担当，履行社会责任。</w:t>
      </w:r>
    </w:p>
    <w:p>
      <w:pPr>
        <w:spacing w:line="240" w:lineRule="auto" w:before="6"/>
        <w:rPr>
          <w:rFonts w:ascii="宋体" w:hAnsi="宋体" w:cs="宋体" w:eastAsia="宋体" w:hint="default"/>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）年度精准扶贫概要</w:t>
      </w:r>
      <w:r>
        <w:rPr>
          <w:rFonts w:ascii="宋体" w:hAnsi="宋体" w:cs="宋体" w:eastAsia="宋体" w:hint="default"/>
          <w:sz w:val="21"/>
          <w:szCs w:val="21"/>
        </w:rPr>
      </w:r>
    </w:p>
    <w:p>
      <w:pPr>
        <w:spacing w:line="240" w:lineRule="auto" w:before="1"/>
        <w:rPr>
          <w:rFonts w:ascii="宋体" w:hAnsi="宋体" w:cs="宋体" w:eastAsia="宋体" w:hint="default"/>
          <w:b/>
          <w:bCs/>
          <w:sz w:val="24"/>
          <w:szCs w:val="24"/>
        </w:rPr>
      </w:pPr>
    </w:p>
    <w:p>
      <w:pPr>
        <w:pStyle w:val="BodyText"/>
        <w:spacing w:line="259" w:lineRule="auto"/>
        <w:ind w:right="1130" w:firstLine="439"/>
        <w:jc w:val="both"/>
      </w:pPr>
      <w:r>
        <w:rPr>
          <w:spacing w:val="-2"/>
        </w:rPr>
        <w:t>报告期内，公司积极参加精准扶贫工作，公司与中远海运慈善基金会签署捐赠协议，公司向中远</w:t>
      </w:r>
      <w:r>
        <w:rPr>
          <w:w w:val="100"/>
        </w:rPr>
        <w:t> </w:t>
      </w:r>
      <w:r>
        <w:rPr/>
        <w:t>海运慈善基金会捐赠</w:t>
      </w:r>
      <w:r>
        <w:rPr>
          <w:rFonts w:ascii="Times New Roman" w:hAnsi="Times New Roman" w:cs="Times New Roman" w:eastAsia="Times New Roman" w:hint="default"/>
        </w:rPr>
        <w:t>200</w:t>
      </w:r>
      <w:r>
        <w:rPr/>
        <w:t>万元，定向用于援藏扶贫项目实施。</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4"/>
          <w:szCs w:val="24"/>
        </w:rPr>
      </w:pPr>
    </w:p>
    <w:p>
      <w:pPr>
        <w:spacing w:before="0"/>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）精准扶贫成效</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584"/>
        <w:gridCol w:w="1448"/>
        <w:gridCol w:w="4526"/>
      </w:tblGrid>
      <w:tr>
        <w:trPr>
          <w:trHeight w:val="403" w:hRule="exact"/>
        </w:trPr>
        <w:tc>
          <w:tcPr>
            <w:tcW w:w="3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指标</w:t>
            </w:r>
          </w:p>
        </w:tc>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1" w:hRule="exact"/>
        </w:trPr>
        <w:tc>
          <w:tcPr>
            <w:tcW w:w="3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  </w:t>
            </w:r>
            <w:r>
              <w:rPr>
                <w:rFonts w:ascii="宋体" w:hAnsi="宋体" w:cs="宋体" w:eastAsia="宋体" w:hint="default"/>
                <w:sz w:val="18"/>
                <w:szCs w:val="18"/>
              </w:rPr>
            </w:r>
            <w:r>
              <w:rPr>
                <w:rFonts w:ascii="Times New Roman" w:hAnsi="Times New Roman" w:cs="Times New Roman" w:eastAsia="Times New Roman" w:hint="default"/>
                <w:sz w:val="18"/>
                <w:szCs w:val="18"/>
              </w:rPr>
              <w:t>1.</w:t>
            </w:r>
            <w:r>
              <w:rPr>
                <w:rFonts w:ascii="宋体" w:hAnsi="宋体" w:cs="宋体" w:eastAsia="宋体" w:hint="default"/>
                <w:sz w:val="18"/>
                <w:szCs w:val="18"/>
              </w:rPr>
              <w:t>资金</w:t>
            </w:r>
          </w:p>
        </w:tc>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1" w:hRule="exact"/>
        </w:trPr>
        <w:tc>
          <w:tcPr>
            <w:tcW w:w="3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8.2 </w:t>
            </w:r>
            <w:r>
              <w:rPr>
                <w:rFonts w:ascii="宋体" w:hAnsi="宋体" w:cs="宋体" w:eastAsia="宋体" w:hint="default"/>
                <w:sz w:val="18"/>
                <w:szCs w:val="18"/>
              </w:rPr>
              <w:t>定点扶贫工作投入金额</w:t>
            </w:r>
          </w:p>
        </w:tc>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bl>
    <w:p>
      <w:pPr>
        <w:spacing w:line="240" w:lineRule="auto" w:before="3"/>
        <w:rPr>
          <w:rFonts w:ascii="宋体" w:hAnsi="宋体" w:cs="宋体" w:eastAsia="宋体" w:hint="default"/>
          <w:b/>
          <w:bCs/>
          <w:sz w:val="19"/>
          <w:szCs w:val="19"/>
        </w:rPr>
      </w:pPr>
    </w:p>
    <w:p>
      <w:pPr>
        <w:spacing w:before="36"/>
        <w:ind w:left="152" w:right="11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）后续精准扶贫计划</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p>
    <w:p>
      <w:pPr>
        <w:pStyle w:val="BodyText"/>
        <w:spacing w:line="259" w:lineRule="auto"/>
        <w:ind w:right="1133" w:firstLine="439"/>
        <w:jc w:val="left"/>
      </w:pPr>
      <w:r>
        <w:rPr>
          <w:spacing w:val="-2"/>
        </w:rPr>
        <w:t>未来，公司会结合实际情况，继续参与精准扶贫，关注监督中远海运慈善基金会捐赠款项的具体</w:t>
      </w:r>
      <w:r>
        <w:rPr>
          <w:w w:val="100"/>
        </w:rPr>
        <w:t> </w:t>
      </w:r>
      <w:r>
        <w:rPr/>
        <w:t>用途和使用情况，通过社会扶贫等贡献公司的力量，充分体现公司的社会责任。</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6"/>
          <w:szCs w:val="26"/>
        </w:rPr>
      </w:pPr>
    </w:p>
    <w:p>
      <w:pPr>
        <w:spacing w:before="0"/>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、环境保护相关的情况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60" w:lineRule="auto" w:before="0"/>
        <w:ind w:left="152" w:right="5714"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否</w:t>
      </w:r>
    </w:p>
    <w:p>
      <w:pPr>
        <w:pStyle w:val="BodyText"/>
        <w:spacing w:line="259" w:lineRule="auto"/>
        <w:ind w:right="1128" w:firstLine="439"/>
        <w:jc w:val="both"/>
      </w:pPr>
      <w:r>
        <w:rPr>
          <w:spacing w:val="-2"/>
        </w:rPr>
        <w:t>公司及子公司不属于环境保护部门公布的重点排污单位。公司认真执行《中华人民共和国环境保</w:t>
      </w:r>
      <w:r>
        <w:rPr>
          <w:w w:val="100"/>
        </w:rPr>
        <w:t> </w:t>
      </w:r>
      <w:r>
        <w:rPr>
          <w:spacing w:val="-2"/>
        </w:rPr>
        <w:t>护法》等环保方面的法律法规，在追求经济效益的同时注重环境保护和节能降耗，把建设资源节约型</w:t>
      </w:r>
      <w:r>
        <w:rPr>
          <w:spacing w:val="-67"/>
        </w:rPr>
        <w:t> </w:t>
      </w:r>
      <w:r>
        <w:rPr>
          <w:spacing w:val="-67"/>
        </w:rPr>
      </w:r>
      <w:r>
        <w:rPr/>
        <w:t>和环境友好型企业作为可持续发展战略的重要内容，以履行国有控股上市公司应有的社会责任。</w:t>
      </w:r>
    </w:p>
    <w:p>
      <w:pPr>
        <w:spacing w:line="240" w:lineRule="auto" w:before="2"/>
        <w:rPr>
          <w:rFonts w:ascii="宋体" w:hAnsi="宋体" w:cs="宋体" w:eastAsia="宋体" w:hint="default"/>
          <w:sz w:val="22"/>
          <w:szCs w:val="22"/>
        </w:rPr>
      </w:pPr>
    </w:p>
    <w:p>
      <w:pPr>
        <w:pStyle w:val="Heading3"/>
        <w:spacing w:line="240" w:lineRule="auto"/>
        <w:ind w:right="1133"/>
        <w:jc w:val="left"/>
        <w:rPr>
          <w:b w:val="0"/>
          <w:bCs w:val="0"/>
        </w:rPr>
      </w:pPr>
      <w:r>
        <w:rPr/>
        <w:t>十九、其他重大事项的说明</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7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公司报告期不存在需要说明的其他重大事项。</w:t>
      </w:r>
    </w:p>
    <w:p>
      <w:pPr>
        <w:spacing w:after="0" w:line="3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1133"/>
        <w:jc w:val="left"/>
        <w:rPr>
          <w:b w:val="0"/>
          <w:bCs w:val="0"/>
        </w:rPr>
      </w:pPr>
      <w:r>
        <w:rPr/>
        <w:t>二十、公司子公司重大事项</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045" w:right="1133"/>
        <w:jc w:val="left"/>
        <w:rPr>
          <w:b w:val="0"/>
          <w:bCs w:val="0"/>
        </w:rPr>
      </w:pPr>
      <w:bookmarkStart w:name="_bookmark5" w:id="6"/>
      <w:bookmarkEnd w:id="6"/>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1133"/>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、股份变动情况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4"/>
        <w:gridCol w:w="823"/>
        <w:gridCol w:w="823"/>
        <w:gridCol w:w="821"/>
        <w:gridCol w:w="823"/>
        <w:gridCol w:w="821"/>
        <w:gridCol w:w="824"/>
        <w:gridCol w:w="794"/>
        <w:gridCol w:w="792"/>
      </w:tblGrid>
      <w:tr>
        <w:trPr>
          <w:trHeight w:val="404"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tcBorders>
              <w:left w:val="single" w:sz="4" w:space="0" w:color="000000"/>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99"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1,072,974</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0.35%</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65,844</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65,844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1,138,818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0.38%</w:t>
            </w: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1,072,974</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0.35%</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65,844</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65,844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1,138,818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0.38%</w:t>
            </w: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境内自然人持股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1,072,974</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0.35%</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65,844</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65,844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1,138,818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0.38%</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302,167,0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26</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99.65%</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-65,844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-65,844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302,101,1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82</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99.62%</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302,167,0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26</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99.65%</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-65,844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-65,844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302,101,1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82</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99.62%</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303,240,0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303,240,0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59" w:lineRule="auto" w:before="71"/>
        <w:ind w:right="1133" w:firstLine="439"/>
        <w:jc w:val="left"/>
      </w:pPr>
      <w:r>
        <w:rPr>
          <w:spacing w:val="-2"/>
        </w:rPr>
        <w:t>报告期内，公司原副总经理、董事会秘书、总工程师周晓梅女士，职工监事宋培新先生离任，其</w:t>
      </w:r>
      <w:r>
        <w:rPr>
          <w:w w:val="100"/>
        </w:rPr>
        <w:t> </w:t>
      </w:r>
      <w:r>
        <w:rPr/>
        <w:t>所持股份按照规定离任后半年内全部锁定。</w:t>
      </w:r>
    </w:p>
    <w:p>
      <w:pPr>
        <w:spacing w:before="77"/>
        <w:ind w:left="152" w:right="1133"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line="338" w:lineRule="auto" w:before="117"/>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股份变动的过户情况</w:t>
      </w:r>
    </w:p>
    <w:p>
      <w:pPr>
        <w:spacing w:line="340" w:lineRule="auto" w:before="44"/>
        <w:ind w:left="152" w:right="8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股份回购的实施进展情况</w:t>
      </w:r>
    </w:p>
    <w:p>
      <w:pPr>
        <w:spacing w:line="340" w:lineRule="auto" w:before="39"/>
        <w:ind w:left="152" w:right="6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采用集中竞价方式减持回购股份的实施进展情况</w:t>
      </w:r>
    </w:p>
    <w:p>
      <w:pPr>
        <w:spacing w:line="338" w:lineRule="auto" w:before="41"/>
        <w:ind w:left="152" w:right="1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line="340" w:lineRule="auto" w:before="43"/>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公司认为必要或证券监管机构要求披露的其他内容</w:t>
      </w:r>
    </w:p>
    <w:p>
      <w:pPr>
        <w:spacing w:before="39"/>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spacing w:before="36"/>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、限售股份变动情况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8" w:right="46"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周群</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875,443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875,443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按高管股份管理 相关规定执行</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周晓梅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178,125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59,375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237,500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按高管股份管理 相关规定执行</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宋培新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25,875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按高管股份管理 相关规定执行</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1,072,974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1,138,818</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3"/>
        <w:spacing w:line="240" w:lineRule="auto" w:before="26"/>
        <w:ind w:right="1133"/>
        <w:jc w:val="left"/>
        <w:rPr>
          <w:b w:val="0"/>
          <w:bCs w:val="0"/>
        </w:rPr>
      </w:pPr>
      <w:r>
        <w:rPr/>
        <w:t>二、证券发行与上市情况</w:t>
      </w:r>
      <w:r>
        <w:rPr>
          <w:b w:val="0"/>
          <w:bCs w:val="0"/>
        </w:rPr>
      </w:r>
    </w:p>
    <w:p>
      <w:pPr>
        <w:spacing w:line="240" w:lineRule="auto" w:before="9"/>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、报告期内证券发行（不含优先股）情况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、公司股份总数及股东结构的变动、公司资产和负债结构的变动情况说明</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、现存的内部职工股情况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1133"/>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275"/>
        <w:gridCol w:w="932"/>
        <w:gridCol w:w="481"/>
        <w:gridCol w:w="695"/>
        <w:gridCol w:w="94"/>
        <w:gridCol w:w="785"/>
        <w:gridCol w:w="340"/>
        <w:gridCol w:w="450"/>
        <w:gridCol w:w="755"/>
        <w:gridCol w:w="872"/>
        <w:gridCol w:w="316"/>
        <w:gridCol w:w="1173"/>
        <w:gridCol w:w="1208"/>
      </w:tblGrid>
      <w:tr>
        <w:trPr>
          <w:trHeight w:val="163" w:hRule="exact"/>
        </w:trPr>
        <w:tc>
          <w:tcPr>
            <w:tcW w:w="1184" w:type="dxa"/>
            <w:vMerge w:val="restart"/>
            <w:tcBorders>
              <w:top w:val="single" w:sz="4" w:space="0" w:color="000000"/>
              <w:left w:val="single" w:sz="4" w:space="0" w:color="000000"/>
              <w:right w:val="single" w:sz="4" w:space="0" w:color="000000"/>
            </w:tcBorders>
            <w:shd w:val="clear" w:color="auto" w:fill="D2D2D2"/>
          </w:tcPr>
          <w:p>
            <w:pPr/>
          </w:p>
        </w:tc>
        <w:tc>
          <w:tcPr>
            <w:tcW w:w="12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63" w:right="0"/>
              <w:jc w:val="left"/>
              <w:rPr>
                <w:rFonts w:ascii="Times New Roman" w:hAnsi="Times New Roman" w:cs="Times New Roman" w:eastAsia="Times New Roman" w:hint="default"/>
                <w:sz w:val="18"/>
                <w:szCs w:val="18"/>
              </w:rPr>
            </w:pPr>
            <w:r>
              <w:rPr>
                <w:rFonts w:ascii="Times New Roman"/>
                <w:sz w:val="18"/>
              </w:rPr>
              <w:t>19,049</w:t>
            </w:r>
          </w:p>
        </w:tc>
        <w:tc>
          <w:tcPr>
            <w:tcW w:w="1175" w:type="dxa"/>
            <w:gridSpan w:val="2"/>
            <w:vMerge w:val="restart"/>
            <w:tcBorders>
              <w:top w:val="single" w:sz="4" w:space="0" w:color="000000"/>
              <w:left w:val="single" w:sz="4" w:space="0" w:color="000000"/>
              <w:right w:val="single" w:sz="4" w:space="0" w:color="000000"/>
            </w:tcBorders>
            <w:shd w:val="clear" w:color="auto" w:fill="D2D2D2"/>
          </w:tcPr>
          <w:p>
            <w:pPr/>
          </w:p>
        </w:tc>
        <w:tc>
          <w:tcPr>
            <w:tcW w:w="1218" w:type="dxa"/>
            <w:gridSpan w:val="3"/>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74" w:right="0"/>
              <w:jc w:val="left"/>
              <w:rPr>
                <w:rFonts w:ascii="Times New Roman" w:hAnsi="Times New Roman" w:cs="Times New Roman" w:eastAsia="Times New Roman" w:hint="default"/>
                <w:sz w:val="18"/>
                <w:szCs w:val="18"/>
              </w:rPr>
            </w:pPr>
            <w:r>
              <w:rPr>
                <w:rFonts w:ascii="Times New Roman"/>
                <w:sz w:val="18"/>
              </w:rPr>
              <w:t>19,359</w:t>
            </w:r>
          </w:p>
        </w:tc>
        <w:tc>
          <w:tcPr>
            <w:tcW w:w="12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88"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7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84" w:type="dxa"/>
            <w:vMerge/>
            <w:tcBorders>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10" w:space="0" w:color="D2D2D2"/>
            </w:tcBorders>
          </w:tcPr>
          <w:p>
            <w:pPr/>
          </w:p>
        </w:tc>
        <w:tc>
          <w:tcPr>
            <w:tcW w:w="12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10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6" w:lineRule="auto" w:before="19"/>
              <w:ind w:left="11" w:right="45"/>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8" w:type="dxa"/>
            <w:gridSpan w:val="2"/>
            <w:vMerge/>
            <w:tcBorders>
              <w:left w:val="single" w:sz="10" w:space="0" w:color="D2D2D2"/>
              <w:right w:val="single" w:sz="13" w:space="0" w:color="D2D2D2"/>
            </w:tcBorders>
          </w:tcPr>
          <w:p>
            <w:pPr/>
          </w:p>
        </w:tc>
        <w:tc>
          <w:tcPr>
            <w:tcW w:w="1173" w:type="dxa"/>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31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71"/>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3"/>
            <w:vMerge/>
            <w:tcBorders>
              <w:left w:val="single" w:sz="9" w:space="0" w:color="D2D2D2"/>
              <w:right w:val="single" w:sz="10"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10" w:space="0" w:color="D2D2D2"/>
              <w:right w:val="single" w:sz="13" w:space="0" w:color="D2D2D2"/>
            </w:tcBorders>
          </w:tcPr>
          <w:p>
            <w:pPr/>
          </w:p>
        </w:tc>
        <w:tc>
          <w:tcPr>
            <w:tcW w:w="1173" w:type="dxa"/>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703"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7" w:type="dxa"/>
            <w:gridSpan w:val="2"/>
            <w:vMerge/>
            <w:tcBorders>
              <w:left w:val="single" w:sz="9" w:space="0" w:color="D2D2D2"/>
              <w:right w:val="single" w:sz="9" w:space="0" w:color="D2D2D2"/>
            </w:tcBorders>
          </w:tcPr>
          <w:p>
            <w:pPr/>
          </w:p>
        </w:tc>
        <w:tc>
          <w:tcPr>
            <w:tcW w:w="1175" w:type="dxa"/>
            <w:gridSpan w:val="2"/>
            <w:vMerge/>
            <w:tcBorders>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10"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10" w:space="0" w:color="D2D2D2"/>
              <w:right w:val="single" w:sz="13" w:space="0" w:color="D2D2D2"/>
            </w:tcBorders>
          </w:tcPr>
          <w:p>
            <w:pPr/>
          </w:p>
        </w:tc>
        <w:tc>
          <w:tcPr>
            <w:tcW w:w="1173" w:type="dxa"/>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31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10"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10" w:space="0" w:color="D2D2D2"/>
              <w:right w:val="single" w:sz="13" w:space="0" w:color="D2D2D2"/>
            </w:tcBorders>
          </w:tcPr>
          <w:p>
            <w:pPr/>
          </w:p>
        </w:tc>
        <w:tc>
          <w:tcPr>
            <w:tcW w:w="1173" w:type="dxa"/>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156" w:hRule="exact"/>
        </w:trPr>
        <w:tc>
          <w:tcPr>
            <w:tcW w:w="1184" w:type="dxa"/>
            <w:vMerge/>
            <w:tcBorders>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2"/>
            <w:vMerge w:val="restart"/>
            <w:tcBorders>
              <w:top w:val="nil" w:sz="6" w:space="0" w:color="auto"/>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10" w:space="0" w:color="D2D2D2"/>
            </w:tcBorders>
          </w:tcPr>
          <w:p>
            <w:pPr/>
          </w:p>
        </w:tc>
        <w:tc>
          <w:tcPr>
            <w:tcW w:w="1205" w:type="dxa"/>
            <w:gridSpan w:val="2"/>
            <w:vMerge/>
            <w:tcBorders>
              <w:left w:val="single" w:sz="4" w:space="0" w:color="000000"/>
              <w:bottom w:val="nil" w:sz="6" w:space="0" w:color="auto"/>
              <w:right w:val="single" w:sz="4" w:space="0" w:color="000000"/>
            </w:tcBorders>
            <w:shd w:val="clear" w:color="auto" w:fill="D2D2D2"/>
          </w:tcPr>
          <w:p>
            <w:pPr/>
          </w:p>
        </w:tc>
        <w:tc>
          <w:tcPr>
            <w:tcW w:w="1188" w:type="dxa"/>
            <w:gridSpan w:val="2"/>
            <w:vMerge/>
            <w:tcBorders>
              <w:left w:val="single" w:sz="10" w:space="0" w:color="D2D2D2"/>
              <w:right w:val="single" w:sz="13" w:space="0" w:color="D2D2D2"/>
            </w:tcBorders>
          </w:tcPr>
          <w:p>
            <w:pPr/>
          </w:p>
        </w:tc>
        <w:tc>
          <w:tcPr>
            <w:tcW w:w="1173" w:type="dxa"/>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166" w:hRule="exact"/>
        </w:trPr>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gridSpan w:val="2"/>
            <w:vMerge/>
            <w:tcBorders>
              <w:left w:val="single" w:sz="9" w:space="0" w:color="D2D2D2"/>
              <w:bottom w:val="single" w:sz="4" w:space="0" w:color="000000"/>
              <w:right w:val="single" w:sz="9" w:space="0" w:color="D2D2D2"/>
            </w:tcBorders>
          </w:tcPr>
          <w:p>
            <w:pPr/>
          </w:p>
        </w:tc>
        <w:tc>
          <w:tcPr>
            <w:tcW w:w="1175" w:type="dxa"/>
            <w:gridSpan w:val="2"/>
            <w:vMerge/>
            <w:tcBorders>
              <w:left w:val="single" w:sz="4" w:space="0" w:color="000000"/>
              <w:bottom w:val="single" w:sz="4" w:space="0" w:color="000000"/>
              <w:right w:val="single" w:sz="4" w:space="0" w:color="000000"/>
            </w:tcBorders>
            <w:shd w:val="clear" w:color="auto" w:fill="D2D2D2"/>
          </w:tcPr>
          <w:p>
            <w:pPr/>
          </w:p>
        </w:tc>
        <w:tc>
          <w:tcPr>
            <w:tcW w:w="1218" w:type="dxa"/>
            <w:gridSpan w:val="3"/>
            <w:vMerge/>
            <w:tcBorders>
              <w:left w:val="single" w:sz="9" w:space="0" w:color="D2D2D2"/>
              <w:bottom w:val="single" w:sz="4" w:space="0" w:color="000000"/>
              <w:right w:val="single" w:sz="10" w:space="0" w:color="D2D2D2"/>
            </w:tcBorders>
          </w:tcPr>
          <w:p>
            <w:pPr/>
          </w:p>
        </w:tc>
        <w:tc>
          <w:tcPr>
            <w:tcW w:w="12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88" w:type="dxa"/>
            <w:gridSpan w:val="2"/>
            <w:vMerge/>
            <w:tcBorders>
              <w:left w:val="single" w:sz="10" w:space="0" w:color="D2D2D2"/>
              <w:bottom w:val="single" w:sz="4" w:space="0" w:color="000000"/>
              <w:right w:val="single" w:sz="13" w:space="0" w:color="D2D2D2"/>
            </w:tcBorders>
          </w:tcPr>
          <w:p>
            <w:pPr/>
          </w:p>
        </w:tc>
        <w:tc>
          <w:tcPr>
            <w:tcW w:w="1173" w:type="dxa"/>
            <w:vMerge/>
            <w:tcBorders>
              <w:left w:val="single" w:sz="4" w:space="0" w:color="000000"/>
              <w:bottom w:val="single" w:sz="4" w:space="0" w:color="000000"/>
              <w:right w:val="single" w:sz="4" w:space="0" w:color="000000"/>
            </w:tcBorders>
            <w:shd w:val="clear" w:color="auto" w:fill="D2D2D2"/>
          </w:tcPr>
          <w:p>
            <w:pPr/>
          </w:p>
        </w:tc>
        <w:tc>
          <w:tcPr>
            <w:tcW w:w="1208" w:type="dxa"/>
            <w:vMerge/>
            <w:tcBorders>
              <w:left w:val="single" w:sz="10" w:space="0" w:color="D2D2D2"/>
              <w:bottom w:val="single" w:sz="4" w:space="0" w:color="000000"/>
              <w:right w:val="single" w:sz="4" w:space="0" w:color="000000"/>
            </w:tcBorders>
          </w:tcPr>
          <w:p>
            <w:pPr/>
          </w:p>
        </w:tc>
      </w:tr>
      <w:tr>
        <w:trPr>
          <w:trHeight w:val="391" w:hRule="exact"/>
        </w:trPr>
        <w:tc>
          <w:tcPr>
            <w:tcW w:w="9559"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5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399" w:hRule="exact"/>
        </w:trPr>
        <w:tc>
          <w:tcPr>
            <w:tcW w:w="14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5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7" w:right="0"/>
              <w:jc w:val="left"/>
              <w:rPr>
                <w:rFonts w:ascii="宋体" w:hAnsi="宋体" w:cs="宋体" w:eastAsia="宋体" w:hint="default"/>
                <w:sz w:val="18"/>
                <w:szCs w:val="18"/>
              </w:rPr>
            </w:pPr>
            <w:r>
              <w:rPr>
                <w:rFonts w:ascii="宋体" w:hAnsi="宋体" w:cs="宋体" w:eastAsia="宋体" w:hint="default"/>
                <w:sz w:val="18"/>
                <w:szCs w:val="18"/>
              </w:rPr>
              <w:t>报告期末</w:t>
            </w:r>
          </w:p>
        </w:tc>
        <w:tc>
          <w:tcPr>
            <w:tcW w:w="7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7" w:right="0"/>
              <w:jc w:val="left"/>
              <w:rPr>
                <w:rFonts w:ascii="宋体" w:hAnsi="宋体" w:cs="宋体" w:eastAsia="宋体" w:hint="default"/>
                <w:sz w:val="18"/>
                <w:szCs w:val="18"/>
              </w:rPr>
            </w:pPr>
            <w:r>
              <w:rPr>
                <w:rFonts w:ascii="宋体" w:hAnsi="宋体" w:cs="宋体" w:eastAsia="宋体" w:hint="default"/>
                <w:sz w:val="18"/>
                <w:szCs w:val="18"/>
              </w:rPr>
              <w:t>报告期内</w:t>
            </w:r>
          </w:p>
        </w:tc>
        <w:tc>
          <w:tcPr>
            <w:tcW w:w="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7" w:right="-3"/>
              <w:jc w:val="left"/>
              <w:rPr>
                <w:rFonts w:ascii="宋体" w:hAnsi="宋体" w:cs="宋体" w:eastAsia="宋体" w:hint="default"/>
                <w:sz w:val="18"/>
                <w:szCs w:val="18"/>
              </w:rPr>
            </w:pPr>
            <w:r>
              <w:rPr>
                <w:rFonts w:ascii="宋体" w:hAnsi="宋体" w:cs="宋体" w:eastAsia="宋体" w:hint="default"/>
                <w:sz w:val="18"/>
                <w:szCs w:val="18"/>
              </w:rPr>
              <w:t>持有有限</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86" w:right="0"/>
              <w:jc w:val="left"/>
              <w:rPr>
                <w:rFonts w:ascii="宋体" w:hAnsi="宋体" w:cs="宋体" w:eastAsia="宋体" w:hint="default"/>
                <w:sz w:val="18"/>
                <w:szCs w:val="18"/>
              </w:rPr>
            </w:pPr>
            <w:r>
              <w:rPr>
                <w:rFonts w:ascii="宋体" w:hAnsi="宋体" w:cs="宋体" w:eastAsia="宋体" w:hint="default"/>
                <w:sz w:val="18"/>
                <w:szCs w:val="18"/>
              </w:rPr>
              <w:t>持有无限</w:t>
            </w:r>
          </w:p>
        </w:tc>
        <w:tc>
          <w:tcPr>
            <w:tcW w:w="26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1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69"/>
        <w:gridCol w:w="1412"/>
        <w:gridCol w:w="790"/>
        <w:gridCol w:w="785"/>
        <w:gridCol w:w="790"/>
        <w:gridCol w:w="787"/>
        <w:gridCol w:w="840"/>
        <w:gridCol w:w="1349"/>
        <w:gridCol w:w="1349"/>
      </w:tblGrid>
      <w:tr>
        <w:trPr>
          <w:trHeight w:val="675" w:hRule="exact"/>
        </w:trPr>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4"/>
              <w:jc w:val="right"/>
              <w:rPr>
                <w:rFonts w:ascii="宋体" w:hAnsi="宋体" w:cs="宋体" w:eastAsia="宋体" w:hint="default"/>
                <w:sz w:val="18"/>
                <w:szCs w:val="18"/>
              </w:rPr>
            </w:pPr>
            <w:r>
              <w:rPr>
                <w:rFonts w:ascii="宋体" w:hAnsi="宋体" w:cs="宋体" w:eastAsia="宋体" w:hint="default"/>
                <w:sz w:val="18"/>
                <w:szCs w:val="18"/>
              </w:rPr>
              <w:t>持股数量</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08" w:right="29" w:hanging="180"/>
              <w:jc w:val="left"/>
              <w:rPr>
                <w:rFonts w:ascii="宋体" w:hAnsi="宋体" w:cs="宋体" w:eastAsia="宋体" w:hint="default"/>
                <w:sz w:val="18"/>
                <w:szCs w:val="18"/>
              </w:rPr>
            </w:pPr>
            <w:r>
              <w:rPr>
                <w:rFonts w:ascii="宋体" w:hAnsi="宋体" w:cs="宋体" w:eastAsia="宋体" w:hint="default"/>
                <w:sz w:val="18"/>
                <w:szCs w:val="18"/>
              </w:rPr>
              <w:t>增减变动 情况</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8" w:right="26"/>
              <w:jc w:val="left"/>
              <w:rPr>
                <w:rFonts w:ascii="宋体" w:hAnsi="宋体" w:cs="宋体" w:eastAsia="宋体" w:hint="default"/>
                <w:sz w:val="18"/>
                <w:szCs w:val="18"/>
              </w:rPr>
            </w:pPr>
            <w:r>
              <w:rPr>
                <w:rFonts w:ascii="宋体" w:hAnsi="宋体" w:cs="宋体" w:eastAsia="宋体" w:hint="default"/>
                <w:sz w:val="18"/>
                <w:szCs w:val="18"/>
              </w:rPr>
              <w:t>售条件的 股份数量</w:t>
            </w:r>
          </w:p>
        </w:tc>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55" w:right="53"/>
              <w:jc w:val="left"/>
              <w:rPr>
                <w:rFonts w:ascii="宋体" w:hAnsi="宋体" w:cs="宋体" w:eastAsia="宋体" w:hint="default"/>
                <w:sz w:val="18"/>
                <w:szCs w:val="18"/>
              </w:rPr>
            </w:pPr>
            <w:r>
              <w:rPr>
                <w:rFonts w:ascii="宋体" w:hAnsi="宋体" w:cs="宋体" w:eastAsia="宋体" w:hint="default"/>
                <w:sz w:val="18"/>
                <w:szCs w:val="18"/>
              </w:rPr>
              <w:t>售条件的 股份数量</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上海船舶运输科 学研究所</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50.01%</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151,653,6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不变</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151,653,6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67</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北京诚通金控投 资有限公司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12,129,60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不变</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12,129,60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中央汇金资产管 理有限责任公司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4,193,900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不变</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4,193,900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张雪勇</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3,124,200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3,124,200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蒋振军</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1,359,695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1,359,695</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郑庆闪</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1,312,300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1,312,300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周群</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0.38%</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1,167,258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不变</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875,443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291,815</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徐魏</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0.36%</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1,099,700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1,099,700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余汉清</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0.32%</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张惠升</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0.28%</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90"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9"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90"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92"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2"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881" w:type="dxa"/>
            <w:gridSpan w:val="2"/>
            <w:vMerge/>
            <w:tcBorders>
              <w:left w:val="single" w:sz="4" w:space="0" w:color="000000"/>
              <w:bottom w:val="nil" w:sz="6" w:space="0" w:color="auto"/>
              <w:right w:val="single" w:sz="4" w:space="0" w:color="000000"/>
            </w:tcBorders>
            <w:shd w:val="clear" w:color="auto" w:fill="D2D2D2"/>
          </w:tcPr>
          <w:p>
            <w:pPr/>
          </w:p>
        </w:tc>
        <w:tc>
          <w:tcPr>
            <w:tcW w:w="3992"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92"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上海船舶运输科学研究所</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151,653,667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151,653,667</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北京诚通金控投资有限公司</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12,129,600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12,129,600</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4,193,900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4,193,900</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张雪勇</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3,124,200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3,124,200</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蒋振军</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1,359,695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1,359,695</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郑庆闪</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1,312,300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1,312,300</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徐魏</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1,099,700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1,099,700</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余汉清</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980,000</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张惠升</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860,000</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陈宏</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837,700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837,700</w:t>
            </w:r>
          </w:p>
        </w:tc>
      </w:tr>
      <w:tr>
        <w:trPr>
          <w:trHeight w:val="1340"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9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80"/>
        <w:gridCol w:w="6690"/>
      </w:tblGrid>
      <w:tr>
        <w:trPr>
          <w:trHeight w:val="2900"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6"/>
              <w:ind w:left="22" w:right="5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8"/>
                <w:sz w:val="18"/>
                <w:szCs w:val="18"/>
              </w:rPr>
              <w:t>务情况说明（如有）（参见注</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公司股东张雪勇通过投资者信用证券账户持有</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r>
              <w:rPr>
                <w:rFonts w:ascii="宋体" w:hAnsi="宋体" w:cs="宋体" w:eastAsia="宋体" w:hint="default"/>
                <w:spacing w:val="-77"/>
                <w:sz w:val="18"/>
                <w:szCs w:val="18"/>
              </w:rPr>
              <w:t>，</w:t>
            </w:r>
            <w:r>
              <w:rPr>
                <w:rFonts w:ascii="宋体" w:hAnsi="宋体" w:cs="宋体" w:eastAsia="宋体" w:hint="default"/>
                <w:sz w:val="18"/>
                <w:szCs w:val="18"/>
              </w:rPr>
              <w:t>通过普通证券账户持有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股，实际合计持有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3,124,200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股。公司股东蒋振军通过投资者信用证券账户持有</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1,359,695 </w:t>
            </w:r>
            <w:r>
              <w:rPr>
                <w:rFonts w:ascii="宋体" w:hAnsi="宋体" w:cs="宋体" w:eastAsia="宋体" w:hint="default"/>
                <w:sz w:val="18"/>
                <w:szCs w:val="18"/>
              </w:rPr>
              <w:t>股，通过普通证券账户持有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1,359,695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股。公司股东徐</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魏通过投资者信用证券账户持有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1,099,700 </w:t>
            </w:r>
            <w:r>
              <w:rPr>
                <w:rFonts w:ascii="宋体" w:hAnsi="宋体" w:cs="宋体" w:eastAsia="宋体" w:hint="default"/>
                <w:sz w:val="18"/>
                <w:szCs w:val="18"/>
              </w:rPr>
              <w:t>股，通过普通证券账户持有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计持有</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1,099,700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股。公司股东余汉清通过投资者信用证券账户持有</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980,000</w:t>
            </w:r>
            <w:r>
              <w:rPr>
                <w:rFonts w:ascii="Times New Roman" w:hAnsi="Times New Roman" w:cs="Times New Roman" w:eastAsia="Times New Roman" w:hint="default"/>
                <w:spacing w:val="-11"/>
                <w:sz w:val="18"/>
                <w:szCs w:val="18"/>
              </w:rPr>
              <w:t> </w:t>
            </w:r>
            <w:r>
              <w:rPr>
                <w:rFonts w:ascii="宋体" w:hAnsi="宋体" w:cs="宋体" w:eastAsia="宋体" w:hint="default"/>
                <w:spacing w:val="-9"/>
                <w:sz w:val="18"/>
                <w:szCs w:val="18"/>
              </w:rPr>
              <w:t>股，通过</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普通证券账户持有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股，实际合计持有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980,000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股。公司股东张惠升通过投资者信用</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证券账户持有</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560,000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股，通过普通证券账户持有</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股，实际合计持有</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860,000</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股。公司股东陈宏通过投资者信用证券账户持有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837,700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股，通过普通证券账户持有</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837,700 </w:t>
            </w:r>
            <w:r>
              <w:rPr>
                <w:rFonts w:ascii="宋体" w:hAnsi="宋体" w:cs="宋体" w:eastAsia="宋体" w:hint="default"/>
                <w:spacing w:val="-3"/>
                <w:sz w:val="18"/>
                <w:szCs w:val="18"/>
              </w:rPr>
              <w:t>股。</w:t>
            </w:r>
            <w:r>
              <w:rPr>
                <w:rFonts w:ascii="宋体" w:hAnsi="宋体" w:cs="宋体" w:eastAsia="宋体" w:hint="default"/>
                <w:sz w:val="18"/>
                <w:szCs w:val="18"/>
              </w:rPr>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2"/>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3"/>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13"/>
        <w:rPr>
          <w:rFonts w:ascii="宋体" w:hAnsi="宋体" w:cs="宋体" w:eastAsia="宋体" w:hint="default"/>
          <w:sz w:val="25"/>
          <w:szCs w:val="25"/>
        </w:rPr>
      </w:pPr>
    </w:p>
    <w:p>
      <w:pPr>
        <w:spacing w:before="0"/>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60" w:lineRule="auto" w:before="0"/>
        <w:ind w:left="152" w:right="8414" w:firstLine="0"/>
        <w:jc w:val="left"/>
        <w:rPr>
          <w:rFonts w:ascii="宋体" w:hAnsi="宋体" w:cs="宋体" w:eastAsia="宋体" w:hint="default"/>
          <w:sz w:val="18"/>
          <w:szCs w:val="18"/>
        </w:rPr>
      </w:pPr>
      <w:r>
        <w:rPr>
          <w:rFonts w:ascii="宋体" w:hAnsi="宋体" w:cs="宋体" w:eastAsia="宋体" w:hint="default"/>
          <w:sz w:val="18"/>
          <w:szCs w:val="18"/>
        </w:rPr>
        <w:t>控股股东性质：中央国有控股 控股股东类型：法人</w:t>
      </w:r>
    </w:p>
    <w:tbl>
      <w:tblPr>
        <w:tblW w:w="0" w:type="auto"/>
        <w:jc w:val="left"/>
        <w:tblInd w:w="148" w:type="dxa"/>
        <w:tblLayout w:type="fixed"/>
        <w:tblCellMar>
          <w:top w:w="0" w:type="dxa"/>
          <w:left w:w="0" w:type="dxa"/>
          <w:bottom w:w="0" w:type="dxa"/>
          <w:right w:w="0" w:type="dxa"/>
        </w:tblCellMar>
        <w:tblLook w:val="01E0"/>
      </w:tblPr>
      <w:tblGrid>
        <w:gridCol w:w="1997"/>
        <w:gridCol w:w="1829"/>
        <w:gridCol w:w="1894"/>
        <w:gridCol w:w="1934"/>
        <w:gridCol w:w="1916"/>
      </w:tblGrid>
      <w:tr>
        <w:trPr>
          <w:trHeight w:val="713"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821" w:right="72"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836"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上海船舶运输科学研究 所</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蔡惠星</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3" w:right="0"/>
              <w:jc w:val="left"/>
              <w:rPr>
                <w:rFonts w:ascii="Times New Roman" w:hAnsi="Times New Roman" w:cs="Times New Roman" w:eastAsia="Times New Roman" w:hint="default"/>
                <w:sz w:val="18"/>
                <w:szCs w:val="18"/>
              </w:rPr>
            </w:pPr>
            <w:r>
              <w:rPr>
                <w:rFonts w:ascii="Times New Roman"/>
                <w:sz w:val="18"/>
              </w:rPr>
              <w:t>913101154248751347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4"/>
              <w:jc w:val="left"/>
              <w:rPr>
                <w:rFonts w:ascii="宋体" w:hAnsi="宋体" w:cs="宋体" w:eastAsia="宋体" w:hint="default"/>
                <w:sz w:val="18"/>
                <w:szCs w:val="18"/>
              </w:rPr>
            </w:pPr>
            <w:r>
              <w:rPr>
                <w:rFonts w:ascii="宋体" w:hAnsi="宋体" w:cs="宋体" w:eastAsia="宋体" w:hint="default"/>
                <w:sz w:val="18"/>
                <w:szCs w:val="18"/>
              </w:rPr>
              <w:t>船舶自动化设备研制、 环境影响评价与污染防 治工程、船舶水动力及 海事技术实验研究，开 展上述领域内的新技 术、新装备和系统集成 的设计生产经营，以及 技术开发、技术转让、 技术咨询、技术服务， </w:t>
            </w:r>
            <w:r>
              <w:rPr>
                <w:rFonts w:ascii="宋体" w:hAnsi="宋体" w:cs="宋体" w:eastAsia="宋体" w:hint="default"/>
                <w:spacing w:val="-12"/>
                <w:sz w:val="18"/>
                <w:szCs w:val="18"/>
              </w:rPr>
              <w:t>工程承包（凭资质），自</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产产品的出口，自有房 屋租赁。</w:t>
            </w:r>
          </w:p>
        </w:tc>
      </w:tr>
      <w:tr>
        <w:trPr>
          <w:trHeight w:val="1025"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控股股东报告期内控股 和参股的其他境内外上 市公司的股权情况</w:t>
            </w:r>
          </w:p>
        </w:tc>
        <w:tc>
          <w:tcPr>
            <w:tcW w:w="757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8"/>
        <w:ind w:left="152" w:right="1133"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7"/>
        <w:ind w:left="15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公司报告期控股股东未发生变更。</w:t>
      </w:r>
    </w:p>
    <w:p>
      <w:pPr>
        <w:spacing w:line="240" w:lineRule="auto" w:before="7"/>
        <w:rPr>
          <w:rFonts w:ascii="宋体" w:hAnsi="宋体" w:cs="宋体" w:eastAsia="宋体" w:hint="default"/>
          <w:sz w:val="21"/>
          <w:szCs w:val="21"/>
        </w:rPr>
      </w:pPr>
    </w:p>
    <w:p>
      <w:pPr>
        <w:spacing w:before="0"/>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、公司间接控股股东情况</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line="357" w:lineRule="auto" w:before="0"/>
        <w:ind w:left="152" w:right="8054" w:firstLine="0"/>
        <w:jc w:val="left"/>
        <w:rPr>
          <w:rFonts w:ascii="宋体" w:hAnsi="宋体" w:cs="宋体" w:eastAsia="宋体" w:hint="default"/>
          <w:sz w:val="18"/>
          <w:szCs w:val="18"/>
        </w:rPr>
      </w:pPr>
      <w:r>
        <w:rPr>
          <w:rFonts w:ascii="宋体" w:hAnsi="宋体" w:cs="宋体" w:eastAsia="宋体" w:hint="default"/>
          <w:sz w:val="18"/>
          <w:szCs w:val="18"/>
        </w:rPr>
        <w:t>间接控股股东性质：中央国有控股 间接控股股东类型：法人</w:t>
      </w:r>
    </w:p>
    <w:p>
      <w:pPr>
        <w:spacing w:after="0" w:line="357"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00" w:type="dxa"/>
        <w:tblLayout w:type="fixed"/>
        <w:tblCellMar>
          <w:top w:w="0" w:type="dxa"/>
          <w:left w:w="0" w:type="dxa"/>
          <w:bottom w:w="0" w:type="dxa"/>
          <w:right w:w="0" w:type="dxa"/>
        </w:tblCellMar>
        <w:tblLook w:val="01E0"/>
      </w:tblPr>
      <w:tblGrid>
        <w:gridCol w:w="1997"/>
        <w:gridCol w:w="1265"/>
        <w:gridCol w:w="1702"/>
        <w:gridCol w:w="2124"/>
        <w:gridCol w:w="2482"/>
      </w:tblGrid>
      <w:tr>
        <w:trPr>
          <w:trHeight w:val="713" w:hRule="exact"/>
        </w:trPr>
        <w:tc>
          <w:tcPr>
            <w:tcW w:w="19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45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2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179" w:right="149" w:hanging="2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21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4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696"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460"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4" w:lineRule="auto"/>
              <w:ind w:left="722" w:right="182" w:hanging="540"/>
              <w:jc w:val="left"/>
              <w:rPr>
                <w:rFonts w:ascii="宋体" w:hAnsi="宋体" w:cs="宋体" w:eastAsia="宋体" w:hint="default"/>
                <w:sz w:val="18"/>
                <w:szCs w:val="18"/>
              </w:rPr>
            </w:pPr>
            <w:r>
              <w:rPr>
                <w:rFonts w:ascii="宋体" w:hAnsi="宋体" w:cs="宋体" w:eastAsia="宋体" w:hint="default"/>
                <w:sz w:val="18"/>
                <w:szCs w:val="18"/>
              </w:rPr>
              <w:t>中国远洋海运集团有 限公司</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许立荣</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60" w:lineRule="auto"/>
              <w:ind w:left="1003" w:right="131" w:hanging="872"/>
              <w:jc w:val="left"/>
              <w:rPr>
                <w:rFonts w:ascii="Times New Roman" w:hAnsi="Times New Roman" w:cs="Times New Roman" w:eastAsia="Times New Roman" w:hint="default"/>
                <w:sz w:val="18"/>
                <w:szCs w:val="18"/>
              </w:rPr>
            </w:pPr>
            <w:r>
              <w:rPr>
                <w:rFonts w:ascii="Times New Roman"/>
                <w:sz w:val="18"/>
              </w:rPr>
              <w:t>91310000MA1FL1MMX</w:t>
            </w:r>
            <w:r>
              <w:rPr>
                <w:rFonts w:ascii="Times New Roman"/>
                <w:w w:val="99"/>
                <w:sz w:val="18"/>
              </w:rPr>
              <w:t> </w:t>
            </w:r>
            <w:r>
              <w:rPr>
                <w:rFonts w:ascii="Times New Roman"/>
                <w:sz w:val="18"/>
              </w:rPr>
              <w:t>L</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5" w:right="10"/>
              <w:jc w:val="left"/>
              <w:rPr>
                <w:rFonts w:ascii="宋体" w:hAnsi="宋体" w:cs="宋体" w:eastAsia="宋体" w:hint="default"/>
                <w:sz w:val="18"/>
                <w:szCs w:val="18"/>
              </w:rPr>
            </w:pPr>
            <w:r>
              <w:rPr>
                <w:rFonts w:ascii="宋体" w:hAnsi="宋体" w:cs="宋体" w:eastAsia="宋体" w:hint="default"/>
                <w:spacing w:val="-6"/>
                <w:sz w:val="18"/>
                <w:szCs w:val="18"/>
              </w:rPr>
              <w:t>国际船舶运输、国际海运辅助</w:t>
            </w:r>
            <w:r>
              <w:rPr>
                <w:rFonts w:ascii="宋体" w:hAnsi="宋体" w:cs="宋体" w:eastAsia="宋体" w:hint="default"/>
                <w:sz w:val="18"/>
                <w:szCs w:val="18"/>
              </w:rPr>
              <w:t> </w:t>
            </w:r>
            <w:r>
              <w:rPr>
                <w:rFonts w:ascii="宋体" w:hAnsi="宋体" w:cs="宋体" w:eastAsia="宋体" w:hint="default"/>
                <w:spacing w:val="-6"/>
                <w:sz w:val="18"/>
                <w:szCs w:val="18"/>
              </w:rPr>
              <w:t>业务；从事货物及技术的进出</w:t>
            </w:r>
            <w:r>
              <w:rPr>
                <w:rFonts w:ascii="宋体" w:hAnsi="宋体" w:cs="宋体" w:eastAsia="宋体" w:hint="default"/>
                <w:sz w:val="18"/>
                <w:szCs w:val="18"/>
              </w:rPr>
              <w:t> </w:t>
            </w:r>
            <w:r>
              <w:rPr>
                <w:rFonts w:ascii="宋体" w:hAnsi="宋体" w:cs="宋体" w:eastAsia="宋体" w:hint="default"/>
                <w:spacing w:val="-7"/>
                <w:sz w:val="18"/>
                <w:szCs w:val="18"/>
              </w:rPr>
              <w:t>口业务；海上、陆路、航空国</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6"/>
                <w:sz w:val="18"/>
                <w:szCs w:val="18"/>
              </w:rPr>
              <w:t>际货运代理业务；自有船舶租</w:t>
            </w:r>
            <w:r>
              <w:rPr>
                <w:rFonts w:ascii="宋体" w:hAnsi="宋体" w:cs="宋体" w:eastAsia="宋体" w:hint="default"/>
                <w:sz w:val="18"/>
                <w:szCs w:val="18"/>
              </w:rPr>
              <w:t> </w:t>
            </w:r>
            <w:r>
              <w:rPr>
                <w:rFonts w:ascii="宋体" w:hAnsi="宋体" w:cs="宋体" w:eastAsia="宋体" w:hint="default"/>
                <w:spacing w:val="-12"/>
                <w:sz w:val="18"/>
                <w:szCs w:val="18"/>
              </w:rPr>
              <w:t>赁；船舶、集装箱、钢材销售；</w:t>
            </w:r>
            <w:r>
              <w:rPr>
                <w:rFonts w:ascii="宋体" w:hAnsi="宋体" w:cs="宋体" w:eastAsia="宋体" w:hint="default"/>
                <w:sz w:val="18"/>
                <w:szCs w:val="18"/>
              </w:rPr>
              <w:t> </w:t>
            </w:r>
            <w:r>
              <w:rPr>
                <w:rFonts w:ascii="宋体" w:hAnsi="宋体" w:cs="宋体" w:eastAsia="宋体" w:hint="default"/>
                <w:spacing w:val="-6"/>
                <w:sz w:val="18"/>
                <w:szCs w:val="18"/>
              </w:rPr>
              <w:t>海洋工程装备设计；码头和港</w:t>
            </w:r>
            <w:r>
              <w:rPr>
                <w:rFonts w:ascii="宋体" w:hAnsi="宋体" w:cs="宋体" w:eastAsia="宋体" w:hint="default"/>
                <w:sz w:val="18"/>
                <w:szCs w:val="18"/>
              </w:rPr>
              <w:t> </w:t>
            </w:r>
            <w:r>
              <w:rPr>
                <w:rFonts w:ascii="宋体" w:hAnsi="宋体" w:cs="宋体" w:eastAsia="宋体" w:hint="default"/>
                <w:spacing w:val="-6"/>
                <w:sz w:val="18"/>
                <w:szCs w:val="18"/>
              </w:rPr>
              <w:t>口投资；通讯设备销售，信息</w:t>
            </w:r>
            <w:r>
              <w:rPr>
                <w:rFonts w:ascii="宋体" w:hAnsi="宋体" w:cs="宋体" w:eastAsia="宋体" w:hint="default"/>
                <w:sz w:val="18"/>
                <w:szCs w:val="18"/>
              </w:rPr>
              <w:t> </w:t>
            </w:r>
            <w:r>
              <w:rPr>
                <w:rFonts w:ascii="宋体" w:hAnsi="宋体" w:cs="宋体" w:eastAsia="宋体" w:hint="default"/>
                <w:spacing w:val="-6"/>
                <w:sz w:val="18"/>
                <w:szCs w:val="18"/>
              </w:rPr>
              <w:t>与技术服务；仓储（除危险化</w:t>
            </w:r>
            <w:r>
              <w:rPr>
                <w:rFonts w:ascii="宋体" w:hAnsi="宋体" w:cs="宋体" w:eastAsia="宋体" w:hint="default"/>
                <w:sz w:val="18"/>
                <w:szCs w:val="18"/>
              </w:rPr>
              <w:t> </w:t>
            </w:r>
            <w:r>
              <w:rPr>
                <w:rFonts w:ascii="宋体" w:hAnsi="宋体" w:cs="宋体" w:eastAsia="宋体" w:hint="default"/>
                <w:spacing w:val="-8"/>
                <w:sz w:val="18"/>
                <w:szCs w:val="18"/>
              </w:rPr>
              <w:t>学品）；从事船舶、备件相关</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领域内的技术开发、技术转 </w:t>
            </w:r>
            <w:r>
              <w:rPr>
                <w:rFonts w:ascii="宋体" w:hAnsi="宋体" w:cs="宋体" w:eastAsia="宋体" w:hint="default"/>
                <w:spacing w:val="-7"/>
                <w:sz w:val="18"/>
                <w:szCs w:val="18"/>
              </w:rPr>
              <w:t>让、技术咨询、技术服务，股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8"/>
                <w:sz w:val="18"/>
                <w:szCs w:val="18"/>
              </w:rPr>
              <w:t>权投资基金。【依法须经批准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sz w:val="18"/>
                <w:szCs w:val="18"/>
              </w:rPr>
              <w:t>的项目，经相关部门批准后方</w:t>
            </w:r>
            <w:r>
              <w:rPr>
                <w:rFonts w:ascii="宋体" w:hAnsi="宋体" w:cs="宋体" w:eastAsia="宋体" w:hint="default"/>
                <w:sz w:val="18"/>
                <w:szCs w:val="18"/>
              </w:rPr>
              <w:t> 可开展经营活动】</w:t>
            </w:r>
          </w:p>
        </w:tc>
      </w:tr>
      <w:tr>
        <w:trPr>
          <w:trHeight w:val="2979" w:hRule="exact"/>
        </w:trPr>
        <w:tc>
          <w:tcPr>
            <w:tcW w:w="19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103" w:right="262"/>
              <w:jc w:val="both"/>
              <w:rPr>
                <w:rFonts w:ascii="宋体" w:hAnsi="宋体" w:cs="宋体" w:eastAsia="宋体" w:hint="default"/>
                <w:sz w:val="18"/>
                <w:szCs w:val="18"/>
              </w:rPr>
            </w:pPr>
            <w:r>
              <w:rPr>
                <w:rFonts w:ascii="宋体" w:hAnsi="宋体" w:cs="宋体" w:eastAsia="宋体" w:hint="default"/>
                <w:sz w:val="18"/>
                <w:szCs w:val="18"/>
              </w:rPr>
              <w:t>间接控股股东报告期 内控股和参股的其他 境内外上市公司的股 权情况</w:t>
            </w:r>
          </w:p>
        </w:tc>
        <w:tc>
          <w:tcPr>
            <w:tcW w:w="7574" w:type="dxa"/>
            <w:gridSpan w:val="4"/>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5" w:right="7"/>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日，中远海运集团控股和参股的其他境内外上市公司的股权情况如下： 控股情况：中远海控（</w:t>
            </w:r>
            <w:r>
              <w:rPr>
                <w:rFonts w:ascii="Times New Roman" w:hAnsi="Times New Roman" w:cs="Times New Roman" w:eastAsia="Times New Roman" w:hint="default"/>
                <w:sz w:val="18"/>
                <w:szCs w:val="18"/>
              </w:rPr>
              <w:t>601919</w:t>
            </w:r>
            <w:r>
              <w:rPr>
                <w:rFonts w:ascii="宋体" w:hAnsi="宋体" w:cs="宋体" w:eastAsia="宋体" w:hint="default"/>
                <w:sz w:val="18"/>
                <w:szCs w:val="18"/>
              </w:rPr>
              <w:t>，</w:t>
            </w:r>
            <w:r>
              <w:rPr>
                <w:rFonts w:ascii="Times New Roman" w:hAnsi="Times New Roman" w:cs="Times New Roman" w:eastAsia="Times New Roman" w:hint="default"/>
                <w:sz w:val="18"/>
                <w:szCs w:val="18"/>
              </w:rPr>
              <w:t>01919HK</w:t>
            </w:r>
            <w:r>
              <w:rPr>
                <w:rFonts w:ascii="宋体" w:hAnsi="宋体" w:cs="宋体" w:eastAsia="宋体" w:hint="default"/>
                <w:sz w:val="18"/>
                <w:szCs w:val="18"/>
              </w:rPr>
              <w:t>）</w:t>
            </w:r>
            <w:r>
              <w:rPr>
                <w:rFonts w:ascii="Times New Roman" w:hAnsi="Times New Roman" w:cs="Times New Roman" w:eastAsia="Times New Roman" w:hint="default"/>
                <w:sz w:val="18"/>
                <w:szCs w:val="18"/>
              </w:rPr>
              <w:t>46.22%</w:t>
            </w:r>
            <w:r>
              <w:rPr>
                <w:rFonts w:ascii="宋体" w:hAnsi="宋体" w:cs="宋体" w:eastAsia="宋体" w:hint="default"/>
                <w:sz w:val="18"/>
                <w:szCs w:val="18"/>
              </w:rPr>
              <w:t>；中远海发（</w:t>
            </w:r>
            <w:r>
              <w:rPr>
                <w:rFonts w:ascii="Times New Roman" w:hAnsi="Times New Roman" w:cs="Times New Roman" w:eastAsia="Times New Roman" w:hint="default"/>
                <w:sz w:val="18"/>
                <w:szCs w:val="18"/>
              </w:rPr>
              <w:t>601866</w:t>
            </w:r>
            <w:r>
              <w:rPr>
                <w:rFonts w:ascii="宋体" w:hAnsi="宋体" w:cs="宋体" w:eastAsia="宋体" w:hint="default"/>
                <w:sz w:val="18"/>
                <w:szCs w:val="18"/>
              </w:rPr>
              <w:t>，</w:t>
            </w:r>
            <w:r>
              <w:rPr>
                <w:rFonts w:ascii="Times New Roman" w:hAnsi="Times New Roman" w:cs="Times New Roman" w:eastAsia="Times New Roman" w:hint="default"/>
                <w:sz w:val="18"/>
                <w:szCs w:val="18"/>
              </w:rPr>
              <w:t>02866HK</w:t>
            </w:r>
            <w:r>
              <w:rPr>
                <w:rFonts w:ascii="宋体" w:hAnsi="宋体" w:cs="宋体" w:eastAsia="宋体" w:hint="default"/>
                <w:sz w:val="18"/>
                <w:szCs w:val="18"/>
              </w:rPr>
              <w:t>）</w:t>
            </w:r>
            <w:r>
              <w:rPr>
                <w:rFonts w:ascii="Times New Roman" w:hAnsi="Times New Roman" w:cs="Times New Roman" w:eastAsia="Times New Roman" w:hint="default"/>
                <w:sz w:val="18"/>
                <w:szCs w:val="18"/>
              </w:rPr>
              <w:t>39.28%</w:t>
            </w:r>
            <w:r>
              <w:rPr>
                <w:rFonts w:ascii="宋体" w:hAnsi="宋体" w:cs="宋体" w:eastAsia="宋体" w:hint="default"/>
                <w:sz w:val="18"/>
                <w:szCs w:val="18"/>
              </w:rPr>
              <w:t>； </w:t>
            </w:r>
            <w:r>
              <w:rPr>
                <w:rFonts w:ascii="宋体" w:hAnsi="宋体" w:cs="宋体" w:eastAsia="宋体" w:hint="default"/>
                <w:spacing w:val="-6"/>
                <w:sz w:val="18"/>
                <w:szCs w:val="18"/>
              </w:rPr>
              <w:t>中远海能（</w:t>
            </w:r>
            <w:r>
              <w:rPr>
                <w:rFonts w:ascii="Times New Roman" w:hAnsi="Times New Roman" w:cs="Times New Roman" w:eastAsia="Times New Roman" w:hint="default"/>
                <w:spacing w:val="-6"/>
                <w:sz w:val="18"/>
                <w:szCs w:val="18"/>
              </w:rPr>
              <w:t>600026</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01138HK</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38.56%</w:t>
            </w:r>
            <w:r>
              <w:rPr>
                <w:rFonts w:ascii="宋体" w:hAnsi="宋体" w:cs="宋体" w:eastAsia="宋体" w:hint="default"/>
                <w:spacing w:val="-6"/>
                <w:sz w:val="18"/>
                <w:szCs w:val="18"/>
              </w:rPr>
              <w:t>；中远海特（</w:t>
            </w:r>
            <w:r>
              <w:rPr>
                <w:rFonts w:ascii="Times New Roman" w:hAnsi="Times New Roman" w:cs="Times New Roman" w:eastAsia="Times New Roman" w:hint="default"/>
                <w:spacing w:val="-6"/>
                <w:sz w:val="18"/>
                <w:szCs w:val="18"/>
              </w:rPr>
              <w:t>600428</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50.94%</w:t>
            </w:r>
            <w:r>
              <w:rPr>
                <w:rFonts w:ascii="宋体" w:hAnsi="宋体" w:cs="宋体" w:eastAsia="宋体" w:hint="default"/>
                <w:spacing w:val="-6"/>
                <w:sz w:val="18"/>
                <w:szCs w:val="18"/>
              </w:rPr>
              <w:t>；中远海运港口（</w:t>
            </w:r>
            <w:r>
              <w:rPr>
                <w:rFonts w:ascii="Times New Roman" w:hAnsi="Times New Roman" w:cs="Times New Roman" w:eastAsia="Times New Roman" w:hint="default"/>
                <w:spacing w:val="-6"/>
                <w:sz w:val="18"/>
                <w:szCs w:val="18"/>
              </w:rPr>
              <w:t>01199HK</w:t>
            </w:r>
            <w:r>
              <w:rPr>
                <w:rFonts w:ascii="宋体" w:hAnsi="宋体" w:cs="宋体" w:eastAsia="宋体" w:hint="default"/>
                <w:spacing w:val="-6"/>
                <w:sz w:val="18"/>
                <w:szCs w:val="18"/>
              </w:rPr>
              <w:t>）</w:t>
            </w:r>
          </w:p>
          <w:p>
            <w:pPr>
              <w:pStyle w:val="TableParagraph"/>
              <w:spacing w:line="300" w:lineRule="auto"/>
              <w:ind w:left="105" w:right="7"/>
              <w:jc w:val="left"/>
              <w:rPr>
                <w:rFonts w:ascii="宋体" w:hAnsi="宋体" w:cs="宋体" w:eastAsia="宋体" w:hint="default"/>
                <w:sz w:val="18"/>
                <w:szCs w:val="18"/>
              </w:rPr>
            </w:pPr>
            <w:r>
              <w:rPr>
                <w:rFonts w:ascii="Times New Roman" w:hAnsi="Times New Roman" w:cs="Times New Roman" w:eastAsia="Times New Roman" w:hint="default"/>
                <w:sz w:val="18"/>
                <w:szCs w:val="18"/>
              </w:rPr>
              <w:t>48.84%</w:t>
            </w:r>
            <w:r>
              <w:rPr>
                <w:rFonts w:ascii="宋体" w:hAnsi="宋体" w:cs="宋体" w:eastAsia="宋体" w:hint="default"/>
                <w:sz w:val="18"/>
                <w:szCs w:val="18"/>
              </w:rPr>
              <w:t>；中远海运国际香港（</w:t>
            </w:r>
            <w:r>
              <w:rPr>
                <w:rFonts w:ascii="Times New Roman" w:hAnsi="Times New Roman" w:cs="Times New Roman" w:eastAsia="Times New Roman" w:hint="default"/>
                <w:sz w:val="18"/>
                <w:szCs w:val="18"/>
              </w:rPr>
              <w:t>00517HK</w:t>
            </w:r>
            <w:r>
              <w:rPr>
                <w:rFonts w:ascii="宋体" w:hAnsi="宋体" w:cs="宋体" w:eastAsia="宋体" w:hint="default"/>
                <w:sz w:val="18"/>
                <w:szCs w:val="18"/>
              </w:rPr>
              <w:t>）</w:t>
            </w:r>
            <w:r>
              <w:rPr>
                <w:rFonts w:ascii="Times New Roman" w:hAnsi="Times New Roman" w:cs="Times New Roman" w:eastAsia="Times New Roman" w:hint="default"/>
                <w:sz w:val="18"/>
                <w:szCs w:val="18"/>
              </w:rPr>
              <w:t>66.12%</w:t>
            </w:r>
            <w:r>
              <w:rPr>
                <w:rFonts w:ascii="宋体" w:hAnsi="宋体" w:cs="宋体" w:eastAsia="宋体" w:hint="default"/>
                <w:sz w:val="18"/>
                <w:szCs w:val="18"/>
              </w:rPr>
              <w:t>；东方海外国际（</w:t>
            </w:r>
            <w:r>
              <w:rPr>
                <w:rFonts w:ascii="Times New Roman" w:hAnsi="Times New Roman" w:cs="Times New Roman" w:eastAsia="Times New Roman" w:hint="default"/>
                <w:sz w:val="18"/>
                <w:szCs w:val="18"/>
              </w:rPr>
              <w:t>00316HK</w:t>
            </w:r>
            <w:r>
              <w:rPr>
                <w:rFonts w:ascii="宋体" w:hAnsi="宋体" w:cs="宋体" w:eastAsia="宋体" w:hint="default"/>
                <w:sz w:val="18"/>
                <w:szCs w:val="18"/>
              </w:rPr>
              <w:t>）</w:t>
            </w:r>
            <w:r>
              <w:rPr>
                <w:rFonts w:ascii="Times New Roman" w:hAnsi="Times New Roman" w:cs="Times New Roman" w:eastAsia="Times New Roman" w:hint="default"/>
                <w:sz w:val="18"/>
                <w:szCs w:val="18"/>
              </w:rPr>
              <w:t>75%</w:t>
            </w:r>
            <w:r>
              <w:rPr>
                <w:rFonts w:ascii="宋体" w:hAnsi="宋体" w:cs="宋体" w:eastAsia="宋体" w:hint="default"/>
                <w:sz w:val="18"/>
                <w:szCs w:val="18"/>
              </w:rPr>
              <w:t>；中远海运 </w:t>
            </w:r>
            <w:r>
              <w:rPr>
                <w:rFonts w:ascii="宋体" w:hAnsi="宋体" w:cs="宋体" w:eastAsia="宋体" w:hint="default"/>
                <w:spacing w:val="-6"/>
                <w:sz w:val="18"/>
                <w:szCs w:val="18"/>
              </w:rPr>
              <w:t>国际新加坡（</w:t>
            </w:r>
            <w:r>
              <w:rPr>
                <w:rFonts w:ascii="Times New Roman" w:hAnsi="Times New Roman" w:cs="Times New Roman" w:eastAsia="Times New Roman" w:hint="default"/>
                <w:spacing w:val="-6"/>
                <w:sz w:val="18"/>
                <w:szCs w:val="18"/>
              </w:rPr>
              <w:t>COS </w:t>
            </w:r>
            <w:r>
              <w:rPr>
                <w:rFonts w:ascii="Times New Roman" w:hAnsi="Times New Roman" w:cs="Times New Roman" w:eastAsia="Times New Roman" w:hint="default"/>
                <w:spacing w:val="-8"/>
                <w:sz w:val="18"/>
                <w:szCs w:val="18"/>
              </w:rPr>
              <w:t>SP</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53.35%</w:t>
            </w:r>
            <w:r>
              <w:rPr>
                <w:rFonts w:ascii="宋体" w:hAnsi="宋体" w:cs="宋体" w:eastAsia="宋体" w:hint="default"/>
                <w:spacing w:val="-8"/>
                <w:sz w:val="18"/>
                <w:szCs w:val="18"/>
              </w:rPr>
              <w:t>；比雷埃夫斯港务局（</w:t>
            </w:r>
            <w:r>
              <w:rPr>
                <w:rFonts w:ascii="Times New Roman" w:hAnsi="Times New Roman" w:cs="Times New Roman" w:eastAsia="Times New Roman" w:hint="default"/>
                <w:spacing w:val="-8"/>
                <w:sz w:val="18"/>
                <w:szCs w:val="18"/>
              </w:rPr>
              <w:t>PPA</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pacing w:val="-9"/>
                <w:sz w:val="18"/>
                <w:szCs w:val="18"/>
              </w:rPr>
              <w:t>GA</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51%</w:t>
            </w:r>
            <w:r>
              <w:rPr>
                <w:rFonts w:ascii="宋体" w:hAnsi="宋体" w:cs="宋体" w:eastAsia="宋体" w:hint="default"/>
                <w:spacing w:val="-9"/>
                <w:sz w:val="18"/>
                <w:szCs w:val="18"/>
              </w:rPr>
              <w:t>；海峡股份（</w:t>
            </w:r>
            <w:r>
              <w:rPr>
                <w:rFonts w:ascii="Times New Roman" w:hAnsi="Times New Roman" w:cs="Times New Roman" w:eastAsia="Times New Roman" w:hint="default"/>
                <w:spacing w:val="-9"/>
                <w:sz w:val="18"/>
                <w:szCs w:val="18"/>
              </w:rPr>
              <w:t>002320</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58.98%</w:t>
            </w:r>
            <w:r>
              <w:rPr>
                <w:rFonts w:ascii="宋体" w:hAnsi="宋体" w:cs="宋体" w:eastAsia="宋体" w:hint="default"/>
                <w:spacing w:val="-9"/>
                <w:sz w:val="18"/>
                <w:szCs w:val="18"/>
              </w:rPr>
              <w:t>。</w:t>
            </w:r>
          </w:p>
          <w:p>
            <w:pPr>
              <w:pStyle w:val="TableParagraph"/>
              <w:spacing w:line="300" w:lineRule="auto" w:before="53"/>
              <w:ind w:left="105" w:right="11"/>
              <w:jc w:val="both"/>
              <w:rPr>
                <w:rFonts w:ascii="宋体" w:hAnsi="宋体" w:cs="宋体" w:eastAsia="宋体" w:hint="default"/>
                <w:sz w:val="18"/>
                <w:szCs w:val="18"/>
              </w:rPr>
            </w:pPr>
            <w:r>
              <w:rPr>
                <w:rFonts w:ascii="宋体" w:hAnsi="宋体" w:cs="宋体" w:eastAsia="宋体" w:hint="default"/>
                <w:spacing w:val="-4"/>
                <w:sz w:val="18"/>
                <w:szCs w:val="18"/>
              </w:rPr>
              <w:t>主要参股情况：中集集团（</w:t>
            </w:r>
            <w:r>
              <w:rPr>
                <w:rFonts w:ascii="Times New Roman" w:hAnsi="Times New Roman" w:cs="Times New Roman" w:eastAsia="Times New Roman" w:hint="default"/>
                <w:spacing w:val="-4"/>
                <w:sz w:val="18"/>
                <w:szCs w:val="18"/>
              </w:rPr>
              <w:t>000039</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02039HK</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22.70%</w:t>
            </w:r>
            <w:r>
              <w:rPr>
                <w:rFonts w:ascii="宋体" w:hAnsi="宋体" w:cs="宋体" w:eastAsia="宋体" w:hint="default"/>
                <w:spacing w:val="-4"/>
                <w:sz w:val="18"/>
                <w:szCs w:val="18"/>
              </w:rPr>
              <w:t>；招商银行（</w:t>
            </w:r>
            <w:r>
              <w:rPr>
                <w:rFonts w:ascii="Times New Roman" w:hAnsi="Times New Roman" w:cs="Times New Roman" w:eastAsia="Times New Roman" w:hint="default"/>
                <w:spacing w:val="-4"/>
                <w:sz w:val="18"/>
                <w:szCs w:val="18"/>
              </w:rPr>
              <w:t>600036</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03968HK</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9.97%</w:t>
            </w:r>
            <w:r>
              <w:rPr>
                <w:rFonts w:ascii="宋体" w:hAnsi="宋体" w:cs="宋体" w:eastAsia="宋体" w:hint="default"/>
                <w:spacing w:val="-4"/>
                <w:sz w:val="18"/>
                <w:szCs w:val="18"/>
              </w:rPr>
              <w:t>；</w:t>
            </w:r>
            <w:r>
              <w:rPr>
                <w:rFonts w:ascii="宋体" w:hAnsi="宋体" w:cs="宋体" w:eastAsia="宋体" w:hint="default"/>
                <w:spacing w:val="-80"/>
                <w:sz w:val="18"/>
                <w:szCs w:val="18"/>
              </w:rPr>
              <w:t> </w:t>
            </w:r>
            <w:r>
              <w:rPr>
                <w:rFonts w:ascii="宋体" w:hAnsi="宋体" w:cs="宋体" w:eastAsia="宋体" w:hint="default"/>
                <w:spacing w:val="-8"/>
                <w:sz w:val="18"/>
                <w:szCs w:val="18"/>
              </w:rPr>
              <w:t>招商证券（</w:t>
            </w:r>
            <w:r>
              <w:rPr>
                <w:rFonts w:ascii="Times New Roman" w:hAnsi="Times New Roman" w:cs="Times New Roman" w:eastAsia="Times New Roman" w:hint="default"/>
                <w:spacing w:val="-8"/>
                <w:sz w:val="18"/>
                <w:szCs w:val="18"/>
              </w:rPr>
              <w:t>600999</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06099HK</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9.99%</w:t>
            </w:r>
            <w:r>
              <w:rPr>
                <w:rFonts w:ascii="宋体" w:hAnsi="宋体" w:cs="宋体" w:eastAsia="宋体" w:hint="default"/>
                <w:spacing w:val="-8"/>
                <w:sz w:val="18"/>
                <w:szCs w:val="18"/>
              </w:rPr>
              <w:t>；览海投资（</w:t>
            </w:r>
            <w:r>
              <w:rPr>
                <w:rFonts w:ascii="Times New Roman" w:hAnsi="Times New Roman" w:cs="Times New Roman" w:eastAsia="Times New Roman" w:hint="default"/>
                <w:spacing w:val="-8"/>
                <w:sz w:val="18"/>
                <w:szCs w:val="18"/>
              </w:rPr>
              <w:t>600896</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9.11%</w:t>
            </w:r>
            <w:r>
              <w:rPr>
                <w:rFonts w:ascii="宋体" w:hAnsi="宋体" w:cs="宋体" w:eastAsia="宋体" w:hint="default"/>
                <w:spacing w:val="-8"/>
                <w:sz w:val="18"/>
                <w:szCs w:val="18"/>
              </w:rPr>
              <w:t>；光大银行（</w:t>
            </w:r>
            <w:r>
              <w:rPr>
                <w:rFonts w:ascii="Times New Roman" w:hAnsi="Times New Roman" w:cs="Times New Roman" w:eastAsia="Times New Roman" w:hint="default"/>
                <w:spacing w:val="-8"/>
                <w:sz w:val="18"/>
                <w:szCs w:val="18"/>
              </w:rPr>
              <w:t>601818</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06818HK</w:t>
            </w:r>
            <w:r>
              <w:rPr>
                <w:rFonts w:ascii="宋体" w:hAnsi="宋体" w:cs="宋体" w:eastAsia="宋体" w:hint="default"/>
                <w:spacing w:val="-8"/>
                <w:sz w:val="18"/>
                <w:szCs w:val="18"/>
              </w:rPr>
              <w:t>）</w:t>
            </w:r>
            <w:r>
              <w:rPr>
                <w:rFonts w:ascii="宋体" w:hAnsi="宋体" w:cs="宋体" w:eastAsia="宋体" w:hint="default"/>
                <w:spacing w:val="-83"/>
                <w:sz w:val="18"/>
                <w:szCs w:val="18"/>
              </w:rPr>
              <w:t> </w:t>
            </w:r>
            <w:r>
              <w:rPr>
                <w:rFonts w:ascii="Times New Roman" w:hAnsi="Times New Roman" w:cs="Times New Roman" w:eastAsia="Times New Roman" w:hint="default"/>
                <w:sz w:val="18"/>
                <w:szCs w:val="18"/>
              </w:rPr>
              <w:t>4.44%</w:t>
            </w:r>
            <w:r>
              <w:rPr>
                <w:rFonts w:ascii="宋体" w:hAnsi="宋体" w:cs="宋体" w:eastAsia="宋体" w:hint="default"/>
                <w:sz w:val="18"/>
                <w:szCs w:val="18"/>
              </w:rPr>
              <w:t>；上港集团（</w:t>
            </w:r>
            <w:r>
              <w:rPr>
                <w:rFonts w:ascii="Times New Roman" w:hAnsi="Times New Roman" w:cs="Times New Roman" w:eastAsia="Times New Roman" w:hint="default"/>
                <w:sz w:val="18"/>
                <w:szCs w:val="18"/>
              </w:rPr>
              <w:t>600018</w:t>
            </w:r>
            <w:r>
              <w:rPr>
                <w:rFonts w:ascii="宋体" w:hAnsi="宋体" w:cs="宋体" w:eastAsia="宋体" w:hint="default"/>
                <w:sz w:val="18"/>
                <w:szCs w:val="18"/>
              </w:rPr>
              <w:t>）</w:t>
            </w:r>
            <w:r>
              <w:rPr>
                <w:rFonts w:ascii="Times New Roman" w:hAnsi="Times New Roman" w:cs="Times New Roman" w:eastAsia="Times New Roman" w:hint="default"/>
                <w:sz w:val="18"/>
                <w:szCs w:val="18"/>
              </w:rPr>
              <w:t>15.067%</w:t>
            </w:r>
            <w:r>
              <w:rPr>
                <w:rFonts w:ascii="宋体" w:hAnsi="宋体" w:cs="宋体" w:eastAsia="宋体" w:hint="default"/>
                <w:sz w:val="18"/>
                <w:szCs w:val="18"/>
              </w:rPr>
              <w:t>；广州港（</w:t>
            </w:r>
            <w:r>
              <w:rPr>
                <w:rFonts w:ascii="Times New Roman" w:hAnsi="Times New Roman" w:cs="Times New Roman" w:eastAsia="Times New Roman" w:hint="default"/>
                <w:sz w:val="18"/>
                <w:szCs w:val="18"/>
              </w:rPr>
              <w:t>601228</w:t>
            </w:r>
            <w:r>
              <w:rPr>
                <w:rFonts w:ascii="宋体" w:hAnsi="宋体" w:cs="宋体" w:eastAsia="宋体" w:hint="default"/>
                <w:sz w:val="18"/>
                <w:szCs w:val="18"/>
              </w:rPr>
              <w:t>）</w:t>
            </w:r>
            <w:r>
              <w:rPr>
                <w:rFonts w:ascii="Times New Roman" w:hAnsi="Times New Roman" w:cs="Times New Roman" w:eastAsia="Times New Roman" w:hint="default"/>
                <w:sz w:val="18"/>
                <w:szCs w:val="18"/>
              </w:rPr>
              <w:t>7.92%</w:t>
            </w:r>
            <w:r>
              <w:rPr>
                <w:rFonts w:ascii="宋体" w:hAnsi="宋体" w:cs="宋体" w:eastAsia="宋体" w:hint="default"/>
                <w:sz w:val="18"/>
                <w:szCs w:val="18"/>
              </w:rPr>
              <w:t>；青岛港（</w:t>
            </w:r>
            <w:r>
              <w:rPr>
                <w:rFonts w:ascii="Times New Roman" w:hAnsi="Times New Roman" w:cs="Times New Roman" w:eastAsia="Times New Roman" w:hint="default"/>
                <w:sz w:val="18"/>
                <w:szCs w:val="18"/>
              </w:rPr>
              <w:t>601298</w:t>
            </w:r>
            <w:r>
              <w:rPr>
                <w:rFonts w:ascii="宋体" w:hAnsi="宋体" w:cs="宋体" w:eastAsia="宋体" w:hint="default"/>
                <w:sz w:val="18"/>
                <w:szCs w:val="18"/>
              </w:rPr>
              <w:t>）</w:t>
            </w:r>
            <w:r>
              <w:rPr>
                <w:rFonts w:ascii="Times New Roman" w:hAnsi="Times New Roman" w:cs="Times New Roman" w:eastAsia="Times New Roman" w:hint="default"/>
                <w:sz w:val="18"/>
                <w:szCs w:val="18"/>
              </w:rPr>
              <w:t>18.488%</w:t>
            </w:r>
            <w:r>
              <w:rPr>
                <w:rFonts w:ascii="宋体" w:hAnsi="宋体" w:cs="宋体" w:eastAsia="宋体" w:hint="default"/>
                <w:sz w:val="18"/>
                <w:szCs w:val="18"/>
              </w:rPr>
              <w:t>； 北部湾港（</w:t>
            </w:r>
            <w:r>
              <w:rPr>
                <w:rFonts w:ascii="Times New Roman" w:hAnsi="Times New Roman" w:cs="Times New Roman" w:eastAsia="Times New Roman" w:hint="default"/>
                <w:sz w:val="18"/>
                <w:szCs w:val="18"/>
              </w:rPr>
              <w:t>000582</w:t>
            </w:r>
            <w:r>
              <w:rPr>
                <w:rFonts w:ascii="宋体" w:hAnsi="宋体" w:cs="宋体" w:eastAsia="宋体" w:hint="default"/>
                <w:sz w:val="18"/>
                <w:szCs w:val="18"/>
              </w:rPr>
              <w:t>）</w:t>
            </w:r>
            <w:r>
              <w:rPr>
                <w:rFonts w:ascii="Times New Roman" w:hAnsi="Times New Roman" w:cs="Times New Roman" w:eastAsia="Times New Roman" w:hint="default"/>
                <w:sz w:val="18"/>
                <w:szCs w:val="18"/>
              </w:rPr>
              <w:t>10.65%</w:t>
            </w:r>
            <w:r>
              <w:rPr>
                <w:rFonts w:ascii="宋体" w:hAnsi="宋体" w:cs="宋体" w:eastAsia="宋体" w:hint="default"/>
                <w:sz w:val="18"/>
                <w:szCs w:val="18"/>
              </w:rPr>
              <w:t>；日照港裕廊（</w:t>
            </w:r>
            <w:r>
              <w:rPr>
                <w:rFonts w:ascii="Times New Roman" w:hAnsi="Times New Roman" w:cs="Times New Roman" w:eastAsia="Times New Roman" w:hint="default"/>
                <w:sz w:val="18"/>
                <w:szCs w:val="18"/>
              </w:rPr>
              <w:t>06177HK</w:t>
            </w:r>
            <w:r>
              <w:rPr>
                <w:rFonts w:ascii="宋体" w:hAnsi="宋体" w:cs="宋体" w:eastAsia="宋体" w:hint="default"/>
                <w:sz w:val="18"/>
                <w:szCs w:val="18"/>
              </w:rPr>
              <w:t>）</w:t>
            </w:r>
            <w:r>
              <w:rPr>
                <w:rFonts w:ascii="Times New Roman" w:hAnsi="Times New Roman" w:cs="Times New Roman" w:eastAsia="Times New Roman" w:hint="default"/>
                <w:sz w:val="18"/>
                <w:szCs w:val="18"/>
              </w:rPr>
              <w:t>6.385%</w:t>
            </w:r>
            <w:r>
              <w:rPr>
                <w:rFonts w:ascii="宋体" w:hAnsi="宋体" w:cs="宋体" w:eastAsia="宋体" w:hint="default"/>
                <w:sz w:val="18"/>
                <w:szCs w:val="18"/>
              </w:rPr>
              <w:t>；齐鲁高速（</w:t>
            </w:r>
            <w:r>
              <w:rPr>
                <w:rFonts w:ascii="Times New Roman" w:hAnsi="Times New Roman" w:cs="Times New Roman" w:eastAsia="Times New Roman" w:hint="default"/>
                <w:sz w:val="18"/>
                <w:szCs w:val="18"/>
              </w:rPr>
              <w:t>01576HK</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spacing w:before="36"/>
        <w:ind w:left="2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、公司实际控制人及其一致行动人</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60" w:lineRule="auto" w:before="0"/>
        <w:ind w:left="212" w:right="7874" w:firstLine="0"/>
        <w:jc w:val="left"/>
        <w:rPr>
          <w:rFonts w:ascii="宋体" w:hAnsi="宋体" w:cs="宋体" w:eastAsia="宋体" w:hint="default"/>
          <w:sz w:val="18"/>
          <w:szCs w:val="18"/>
        </w:rPr>
      </w:pPr>
      <w:r>
        <w:rPr>
          <w:rFonts w:ascii="宋体" w:hAnsi="宋体" w:cs="宋体" w:eastAsia="宋体" w:hint="default"/>
          <w:sz w:val="18"/>
          <w:szCs w:val="18"/>
        </w:rPr>
        <w:t>实际控制人性质：中央国资管理机构 实际控制人类型：法人</w:t>
      </w:r>
    </w:p>
    <w:tbl>
      <w:tblPr>
        <w:tblW w:w="0" w:type="auto"/>
        <w:jc w:val="left"/>
        <w:tblInd w:w="207" w:type="dxa"/>
        <w:tblLayout w:type="fixed"/>
        <w:tblCellMar>
          <w:top w:w="0" w:type="dxa"/>
          <w:left w:w="0" w:type="dxa"/>
          <w:bottom w:w="0" w:type="dxa"/>
          <w:right w:w="0" w:type="dxa"/>
        </w:tblCellMar>
        <w:tblLook w:val="01E0"/>
      </w:tblPr>
      <w:tblGrid>
        <w:gridCol w:w="2000"/>
        <w:gridCol w:w="1829"/>
        <w:gridCol w:w="1892"/>
        <w:gridCol w:w="1937"/>
        <w:gridCol w:w="1913"/>
      </w:tblGrid>
      <w:tr>
        <w:trPr>
          <w:trHeight w:val="71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821" w:right="71" w:hanging="745"/>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3"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5"/>
              <w:jc w:val="left"/>
              <w:rPr>
                <w:rFonts w:ascii="宋体" w:hAnsi="宋体" w:cs="宋体" w:eastAsia="宋体" w:hint="default"/>
                <w:sz w:val="18"/>
                <w:szCs w:val="18"/>
              </w:rPr>
            </w:pPr>
            <w:r>
              <w:rPr>
                <w:rFonts w:ascii="宋体" w:hAnsi="宋体" w:cs="宋体" w:eastAsia="宋体" w:hint="default"/>
                <w:sz w:val="18"/>
                <w:szCs w:val="18"/>
              </w:rPr>
              <w:t>国务院国有资产监督管 理委员会</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郝鹏</w:t>
            </w:r>
          </w:p>
        </w:tc>
        <w:tc>
          <w:tcPr>
            <w:tcW w:w="189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5"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5"/>
              <w:jc w:val="both"/>
              <w:rPr>
                <w:rFonts w:ascii="宋体" w:hAnsi="宋体" w:cs="宋体" w:eastAsia="宋体" w:hint="default"/>
                <w:sz w:val="18"/>
                <w:szCs w:val="18"/>
              </w:rPr>
            </w:pPr>
            <w:r>
              <w:rPr>
                <w:rFonts w:ascii="宋体" w:hAnsi="宋体" w:cs="宋体" w:eastAsia="宋体" w:hint="default"/>
                <w:sz w:val="18"/>
                <w:szCs w:val="18"/>
              </w:rPr>
              <w:t>实际控制人报告期内控 制的其他境内外上市公 司的股权情况</w:t>
            </w:r>
          </w:p>
        </w:tc>
        <w:tc>
          <w:tcPr>
            <w:tcW w:w="757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68"/>
        <w:ind w:left="212"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0" w:lineRule="auto" w:before="115"/>
        <w:ind w:left="21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公司报告期实际控制人未发生变更。</w:t>
      </w:r>
    </w:p>
    <w:p>
      <w:pPr>
        <w:spacing w:after="0" w:line="340" w:lineRule="auto"/>
        <w:jc w:val="left"/>
        <w:rPr>
          <w:rFonts w:ascii="宋体" w:hAnsi="宋体" w:cs="宋体" w:eastAsia="宋体" w:hint="default"/>
          <w:sz w:val="18"/>
          <w:szCs w:val="18"/>
        </w:rPr>
        <w:sectPr>
          <w:pgSz w:w="11910" w:h="16840"/>
          <w:pgMar w:header="745" w:footer="979" w:top="1060" w:bottom="1160" w:left="920" w:right="0"/>
        </w:sectPr>
      </w:pPr>
    </w:p>
    <w:p>
      <w:pPr>
        <w:spacing w:line="240" w:lineRule="auto" w:before="10"/>
        <w:rPr>
          <w:rFonts w:ascii="宋体" w:hAnsi="宋体" w:cs="宋体" w:eastAsia="宋体" w:hint="default"/>
          <w:sz w:val="25"/>
          <w:szCs w:val="25"/>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公司与实际控制人之间的产权及控制关系的方框图</w:t>
      </w:r>
    </w:p>
    <w:p>
      <w:pPr>
        <w:spacing w:line="240" w:lineRule="auto" w:before="4"/>
        <w:rPr>
          <w:rFonts w:ascii="宋体" w:hAnsi="宋体" w:cs="宋体" w:eastAsia="宋体" w:hint="default"/>
          <w:sz w:val="21"/>
          <w:szCs w:val="21"/>
        </w:rPr>
      </w:pPr>
    </w:p>
    <w:p>
      <w:pPr>
        <w:spacing w:line="4683" w:lineRule="exact"/>
        <w:ind w:left="2562" w:right="0" w:firstLine="0"/>
        <w:rPr>
          <w:rFonts w:ascii="宋体" w:hAnsi="宋体" w:cs="宋体" w:eastAsia="宋体" w:hint="default"/>
          <w:sz w:val="20"/>
          <w:szCs w:val="20"/>
        </w:rPr>
      </w:pPr>
      <w:r>
        <w:rPr>
          <w:rFonts w:ascii="宋体" w:hAnsi="宋体" w:cs="宋体" w:eastAsia="宋体" w:hint="default"/>
          <w:position w:val="-93"/>
          <w:sz w:val="20"/>
          <w:szCs w:val="20"/>
        </w:rPr>
        <w:drawing>
          <wp:inline distT="0" distB="0" distL="0" distR="0">
            <wp:extent cx="3075343" cy="297389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4" cstate="print"/>
                    <a:stretch>
                      <a:fillRect/>
                    </a:stretch>
                  </pic:blipFill>
                  <pic:spPr>
                    <a:xfrm>
                      <a:off x="0" y="0"/>
                      <a:ext cx="3075343" cy="2973895"/>
                    </a:xfrm>
                    <a:prstGeom prst="rect">
                      <a:avLst/>
                    </a:prstGeom>
                  </pic:spPr>
                </pic:pic>
              </a:graphicData>
            </a:graphic>
          </wp:inline>
        </w:drawing>
      </w:r>
      <w:r>
        <w:rPr>
          <w:rFonts w:ascii="宋体" w:hAnsi="宋体" w:cs="宋体" w:eastAsia="宋体" w:hint="default"/>
          <w:position w:val="-93"/>
          <w:sz w:val="20"/>
          <w:szCs w:val="20"/>
        </w:rPr>
      </w:r>
    </w:p>
    <w:p>
      <w:pPr>
        <w:spacing w:line="240" w:lineRule="auto" w:before="13"/>
        <w:rPr>
          <w:rFonts w:ascii="宋体" w:hAnsi="宋体" w:cs="宋体" w:eastAsia="宋体" w:hint="default"/>
          <w:sz w:val="14"/>
          <w:szCs w:val="14"/>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before="115"/>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、其他持股在</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以上的法人股东</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、控股股东、实际控制人、重组方及其他承诺主体股份限制减持情况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365" w:right="1133"/>
        <w:jc w:val="left"/>
        <w:rPr>
          <w:b w:val="0"/>
          <w:bCs w:val="0"/>
        </w:rPr>
      </w:pPr>
      <w:bookmarkStart w:name="_bookmark6" w:id="7"/>
      <w:bookmarkEnd w:id="7"/>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line="338" w:lineRule="auto" w:before="44"/>
        <w:ind w:left="152" w:right="85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723" w:right="1133"/>
        <w:jc w:val="left"/>
        <w:rPr>
          <w:b w:val="0"/>
          <w:bCs w:val="0"/>
        </w:rPr>
      </w:pPr>
      <w:bookmarkStart w:name="_bookmark7" w:id="8"/>
      <w:bookmarkEnd w:id="8"/>
      <w:r>
        <w:rPr>
          <w:b w:val="0"/>
          <w:bCs w:val="0"/>
        </w:rPr>
      </w:r>
      <w:r>
        <w:rPr/>
        <w:t>第八节可转换公司债券相关情况</w:t>
      </w:r>
      <w:r>
        <w:rPr>
          <w:b w:val="0"/>
          <w:bCs w:val="0"/>
        </w:rPr>
      </w:r>
    </w:p>
    <w:p>
      <w:pPr>
        <w:spacing w:line="240" w:lineRule="auto" w:before="9"/>
        <w:rPr>
          <w:rFonts w:ascii="宋体" w:hAnsi="宋体" w:cs="宋体" w:eastAsia="宋体" w:hint="default"/>
          <w:b/>
          <w:bCs/>
          <w:sz w:val="42"/>
          <w:szCs w:val="42"/>
        </w:rPr>
      </w:pPr>
    </w:p>
    <w:p>
      <w:pPr>
        <w:spacing w:line="338" w:lineRule="auto" w:before="0"/>
        <w:ind w:left="15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报告期公司不存在可转换公司债券。</w:t>
      </w:r>
    </w:p>
    <w:p>
      <w:pPr>
        <w:spacing w:after="0" w:line="338"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758" w:right="1133"/>
        <w:jc w:val="left"/>
        <w:rPr>
          <w:b w:val="0"/>
          <w:bCs w:val="0"/>
        </w:rPr>
      </w:pPr>
      <w:bookmarkStart w:name="_bookmark8" w:id="9"/>
      <w:bookmarkEnd w:id="9"/>
      <w:r>
        <w:rPr>
          <w:b w:val="0"/>
          <w:bCs w:val="0"/>
        </w:rPr>
      </w:r>
      <w:r>
        <w:rPr/>
        <w:t>第九节董事、监事、高级管理人员和员工情况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1133"/>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4"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8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周群</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1,167,258</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1,167,258</w:t>
            </w:r>
          </w:p>
        </w:tc>
      </w:tr>
      <w:tr>
        <w:trPr>
          <w:trHeight w:val="1027" w:hRule="exact"/>
        </w:trPr>
        <w:tc>
          <w:tcPr>
            <w:tcW w:w="800" w:type="dxa"/>
            <w:vMerge/>
            <w:tcBorders>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宋培新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25,875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25,875</w:t>
            </w:r>
          </w:p>
        </w:tc>
      </w:tr>
      <w:tr>
        <w:trPr>
          <w:trHeight w:val="1028" w:hRule="exact"/>
        </w:trPr>
        <w:tc>
          <w:tcPr>
            <w:tcW w:w="8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周晓梅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副总经 理、总工 程师</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237,500</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179" w:right="0"/>
              <w:jc w:val="left"/>
              <w:rPr>
                <w:rFonts w:ascii="Times New Roman" w:hAnsi="Times New Roman" w:cs="Times New Roman" w:eastAsia="Times New Roman" w:hint="default"/>
                <w:sz w:val="18"/>
                <w:szCs w:val="18"/>
              </w:rPr>
            </w:pPr>
            <w:r>
              <w:rPr>
                <w:rFonts w:ascii="Times New Roman"/>
                <w:sz w:val="18"/>
              </w:rPr>
              <w:t>237,500</w:t>
            </w:r>
          </w:p>
        </w:tc>
      </w:tr>
      <w:tr>
        <w:trPr>
          <w:trHeight w:val="1025" w:hRule="exact"/>
        </w:trPr>
        <w:tc>
          <w:tcPr>
            <w:tcW w:w="800" w:type="dxa"/>
            <w:vMerge/>
            <w:tcBorders>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1,430,633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1,430,633</w:t>
            </w:r>
          </w:p>
        </w:tc>
      </w:tr>
    </w:tbl>
    <w:p>
      <w:pPr>
        <w:spacing w:line="240" w:lineRule="auto" w:before="1"/>
        <w:rPr>
          <w:rFonts w:ascii="宋体" w:hAnsi="宋体" w:cs="宋体" w:eastAsia="宋体" w:hint="default"/>
          <w:b/>
          <w:bCs/>
          <w:sz w:val="18"/>
          <w:szCs w:val="18"/>
        </w:rPr>
      </w:pPr>
    </w:p>
    <w:p>
      <w:pPr>
        <w:pStyle w:val="Heading3"/>
        <w:spacing w:line="240" w:lineRule="auto" w:before="26"/>
        <w:ind w:right="1133"/>
        <w:jc w:val="left"/>
        <w:rPr>
          <w:b w:val="0"/>
          <w:bCs w:val="0"/>
        </w:rPr>
      </w:pPr>
      <w:r>
        <w:rPr/>
        <w:t>二、公司董事、监事、高级管理人员变动情况</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2"/>
        <w:gridCol w:w="1397"/>
        <w:gridCol w:w="4179"/>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黄坚</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因工作调整原因主动离任</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刘一凡</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因工作调整原因主动离任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王成钢</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因工作调整原因主动离任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宋培新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因工作调整原因主动离任</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2"/>
        <w:gridCol w:w="1397"/>
        <w:gridCol w:w="4179"/>
      </w:tblGrid>
      <w:tr>
        <w:trPr>
          <w:trHeight w:val="102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91" w:right="0"/>
              <w:jc w:val="left"/>
              <w:rPr>
                <w:rFonts w:ascii="宋体" w:hAnsi="宋体" w:cs="宋体" w:eastAsia="宋体" w:hint="default"/>
                <w:sz w:val="18"/>
                <w:szCs w:val="18"/>
              </w:rPr>
            </w:pPr>
            <w:r>
              <w:rPr>
                <w:rFonts w:ascii="宋体" w:hAnsi="宋体" w:cs="宋体" w:eastAsia="宋体" w:hint="default"/>
                <w:sz w:val="18"/>
                <w:szCs w:val="18"/>
              </w:rPr>
              <w:t>周晓梅</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1" w:right="27"/>
              <w:jc w:val="center"/>
              <w:rPr>
                <w:rFonts w:ascii="宋体" w:hAnsi="宋体" w:cs="宋体" w:eastAsia="宋体" w:hint="default"/>
                <w:sz w:val="18"/>
                <w:szCs w:val="18"/>
              </w:rPr>
            </w:pPr>
            <w:r>
              <w:rPr>
                <w:rFonts w:ascii="宋体" w:hAnsi="宋体" w:cs="宋体" w:eastAsia="宋体" w:hint="default"/>
                <w:sz w:val="18"/>
                <w:szCs w:val="18"/>
              </w:rPr>
              <w:t>副总经理、总工 程师、董事会秘 书</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因工作调整原因主动离任</w:t>
            </w:r>
          </w:p>
        </w:tc>
      </w:tr>
    </w:tbl>
    <w:p>
      <w:pPr>
        <w:spacing w:line="240" w:lineRule="auto" w:before="1"/>
        <w:rPr>
          <w:rFonts w:ascii="宋体" w:hAnsi="宋体" w:cs="宋体" w:eastAsia="宋体" w:hint="default"/>
          <w:sz w:val="18"/>
          <w:szCs w:val="18"/>
        </w:rPr>
      </w:pPr>
    </w:p>
    <w:p>
      <w:pPr>
        <w:pStyle w:val="Heading3"/>
        <w:spacing w:line="240" w:lineRule="auto" w:before="26"/>
        <w:ind w:right="0"/>
        <w:jc w:val="both"/>
        <w:rPr>
          <w:b w:val="0"/>
          <w:bCs w:val="0"/>
        </w:rPr>
      </w:pPr>
      <w:r>
        <w:rPr/>
        <w:t>三、任职情况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pStyle w:val="BodyText"/>
        <w:spacing w:line="259" w:lineRule="auto" w:before="87"/>
        <w:ind w:left="592" w:right="1133"/>
        <w:jc w:val="left"/>
      </w:pPr>
      <w:r>
        <w:rPr/>
        <w:t>（一）董事会成员</w:t>
      </w:r>
      <w:r>
        <w:rPr>
          <w:rFonts w:ascii="宋体" w:hAnsi="宋体" w:cs="宋体" w:eastAsia="宋体" w:hint="default"/>
          <w:w w:val="100"/>
        </w:rPr>
        <w:t> </w:t>
      </w:r>
      <w:r>
        <w:rPr>
          <w:rFonts w:ascii="宋体" w:hAnsi="宋体" w:cs="宋体" w:eastAsia="宋体" w:hint="default"/>
        </w:rPr>
        <w:t>1</w:t>
      </w:r>
      <w:r>
        <w:rPr/>
        <w:t>、蔡惠星先生，中国国籍，无境外居留权，</w:t>
      </w:r>
      <w:r>
        <w:rPr>
          <w:rFonts w:ascii="宋体" w:hAnsi="宋体" w:cs="宋体" w:eastAsia="宋体" w:hint="default"/>
        </w:rPr>
        <w:t>1960</w:t>
      </w:r>
      <w:r>
        <w:rPr/>
        <w:t>年生，中共党员，在职硕士研究生学历，工商</w:t>
      </w:r>
    </w:p>
    <w:p>
      <w:pPr>
        <w:pStyle w:val="BodyText"/>
        <w:spacing w:line="259" w:lineRule="auto" w:before="6"/>
        <w:ind w:right="1128"/>
        <w:jc w:val="both"/>
        <w:rPr>
          <w:rFonts w:ascii="宋体" w:hAnsi="宋体" w:cs="宋体" w:eastAsia="宋体" w:hint="default"/>
        </w:rPr>
      </w:pPr>
      <w:r>
        <w:rPr>
          <w:spacing w:val="-2"/>
        </w:rPr>
        <w:t>管理硕士，研究员级高级工程师。现任中远海运科技股份有限公司董事长、党委副书记，上海船舶运</w:t>
      </w:r>
      <w:r>
        <w:rPr>
          <w:spacing w:val="-70"/>
        </w:rPr>
        <w:t> </w:t>
      </w:r>
      <w:r>
        <w:rPr>
          <w:spacing w:val="-70"/>
        </w:rPr>
      </w:r>
      <w:r>
        <w:rPr>
          <w:spacing w:val="-2"/>
        </w:rPr>
        <w:t>输科学研究所董事长、所长、党委副书记，中远海运古野通信导航科技（上海）有限公司董事，上海</w:t>
      </w:r>
      <w:r>
        <w:rPr>
          <w:spacing w:val="-71"/>
        </w:rPr>
        <w:t> </w:t>
      </w:r>
      <w:r>
        <w:rPr>
          <w:spacing w:val="-71"/>
        </w:rPr>
      </w:r>
      <w:r>
        <w:rPr>
          <w:spacing w:val="-2"/>
        </w:rPr>
        <w:t>船研迈瑞海事技术有限责任公司董事。</w:t>
      </w:r>
      <w:r>
        <w:rPr>
          <w:rFonts w:ascii="宋体" w:hAnsi="宋体" w:cs="宋体" w:eastAsia="宋体" w:hint="default"/>
          <w:spacing w:val="-2"/>
        </w:rPr>
        <w:t>1982</w:t>
      </w:r>
      <w:r>
        <w:rPr>
          <w:spacing w:val="-2"/>
        </w:rPr>
        <w:t>年</w:t>
      </w:r>
      <w:r>
        <w:rPr>
          <w:rFonts w:ascii="宋体" w:hAnsi="宋体" w:cs="宋体" w:eastAsia="宋体" w:hint="default"/>
          <w:spacing w:val="-2"/>
        </w:rPr>
        <w:t>2</w:t>
      </w:r>
      <w:r>
        <w:rPr>
          <w:spacing w:val="-2"/>
        </w:rPr>
        <w:t>月至</w:t>
      </w:r>
      <w:r>
        <w:rPr>
          <w:rFonts w:ascii="宋体" w:hAnsi="宋体" w:cs="宋体" w:eastAsia="宋体" w:hint="default"/>
          <w:spacing w:val="-2"/>
        </w:rPr>
        <w:t>1988</w:t>
      </w:r>
      <w:r>
        <w:rPr>
          <w:spacing w:val="-2"/>
        </w:rPr>
        <w:t>年</w:t>
      </w:r>
      <w:r>
        <w:rPr>
          <w:rFonts w:ascii="宋体" w:hAnsi="宋体" w:cs="宋体" w:eastAsia="宋体" w:hint="default"/>
          <w:spacing w:val="-2"/>
        </w:rPr>
        <w:t>8</w:t>
      </w:r>
      <w:r>
        <w:rPr>
          <w:spacing w:val="-2"/>
        </w:rPr>
        <w:t>月，历任上海船舶运输科学研究所团委副</w:t>
      </w:r>
      <w:r>
        <w:rPr>
          <w:spacing w:val="-62"/>
        </w:rPr>
        <w:t> </w:t>
      </w:r>
      <w:r>
        <w:rPr>
          <w:spacing w:val="-62"/>
        </w:rPr>
      </w:r>
      <w:r>
        <w:rPr>
          <w:spacing w:val="-2"/>
        </w:rPr>
        <w:t>书记、书记；</w:t>
      </w:r>
      <w:r>
        <w:rPr>
          <w:rFonts w:ascii="宋体" w:hAnsi="宋体" w:cs="宋体" w:eastAsia="宋体" w:hint="default"/>
          <w:spacing w:val="-2"/>
        </w:rPr>
        <w:t>1988</w:t>
      </w:r>
      <w:r>
        <w:rPr>
          <w:spacing w:val="-2"/>
        </w:rPr>
        <w:t>年</w:t>
      </w:r>
      <w:r>
        <w:rPr>
          <w:rFonts w:ascii="宋体" w:hAnsi="宋体" w:cs="宋体" w:eastAsia="宋体" w:hint="default"/>
          <w:spacing w:val="-2"/>
        </w:rPr>
        <w:t>8</w:t>
      </w:r>
      <w:r>
        <w:rPr>
          <w:spacing w:val="-2"/>
        </w:rPr>
        <w:t>月至</w:t>
      </w:r>
      <w:r>
        <w:rPr>
          <w:rFonts w:ascii="宋体" w:hAnsi="宋体" w:cs="宋体" w:eastAsia="宋体" w:hint="default"/>
          <w:spacing w:val="-2"/>
        </w:rPr>
        <w:t>1998</w:t>
      </w:r>
      <w:r>
        <w:rPr>
          <w:spacing w:val="-2"/>
        </w:rPr>
        <w:t>年</w:t>
      </w:r>
      <w:r>
        <w:rPr>
          <w:rFonts w:ascii="宋体" w:hAnsi="宋体" w:cs="宋体" w:eastAsia="宋体" w:hint="default"/>
          <w:spacing w:val="-2"/>
        </w:rPr>
        <w:t>2</w:t>
      </w:r>
      <w:r>
        <w:rPr>
          <w:spacing w:val="-2"/>
        </w:rPr>
        <w:t>月，历任上海船舶运输科学研究所办公室主任科员、副主任、改革</w:t>
      </w:r>
      <w:r>
        <w:rPr>
          <w:spacing w:val="-64"/>
        </w:rPr>
        <w:t> </w:t>
      </w:r>
      <w:r>
        <w:rPr>
          <w:spacing w:val="-64"/>
        </w:rPr>
      </w:r>
      <w:r>
        <w:rPr/>
        <w:t>办主任、所长助理；</w:t>
      </w:r>
      <w:r>
        <w:rPr>
          <w:rFonts w:ascii="宋体" w:hAnsi="宋体" w:cs="宋体" w:eastAsia="宋体" w:hint="default"/>
        </w:rPr>
        <w:t>1998</w:t>
      </w:r>
      <w:r>
        <w:rPr/>
        <w:t>年</w:t>
      </w:r>
      <w:r>
        <w:rPr>
          <w:rFonts w:ascii="宋体" w:hAnsi="宋体" w:cs="宋体" w:eastAsia="宋体" w:hint="default"/>
        </w:rPr>
        <w:t>2</w:t>
      </w:r>
      <w:r>
        <w:rPr/>
        <w:t>月至</w:t>
      </w:r>
      <w:r>
        <w:rPr>
          <w:rFonts w:ascii="宋体" w:hAnsi="宋体" w:cs="宋体" w:eastAsia="宋体" w:hint="default"/>
        </w:rPr>
        <w:t>2009</w:t>
      </w:r>
      <w:r>
        <w:rPr/>
        <w:t>年</w:t>
      </w:r>
      <w:r>
        <w:rPr>
          <w:rFonts w:ascii="宋体" w:hAnsi="宋体" w:cs="宋体" w:eastAsia="宋体" w:hint="default"/>
        </w:rPr>
        <w:t>10</w:t>
      </w:r>
      <w:r>
        <w:rPr/>
        <w:t>月，历任上海船舶运输科学研究所副所长、党委委员；期</w:t>
      </w:r>
      <w:r>
        <w:rPr>
          <w:spacing w:val="-48"/>
        </w:rPr>
        <w:t> </w:t>
      </w:r>
      <w:r>
        <w:rPr>
          <w:spacing w:val="-48"/>
        </w:rPr>
      </w:r>
      <w:r>
        <w:rPr/>
        <w:t>间，</w:t>
      </w:r>
      <w:r>
        <w:rPr>
          <w:rFonts w:ascii="宋体" w:hAnsi="宋体" w:cs="宋体" w:eastAsia="宋体" w:hint="default"/>
        </w:rPr>
        <w:t>2001</w:t>
      </w:r>
      <w:r>
        <w:rPr/>
        <w:t>年</w:t>
      </w:r>
      <w:r>
        <w:rPr>
          <w:rFonts w:ascii="宋体" w:hAnsi="宋体" w:cs="宋体" w:eastAsia="宋体" w:hint="default"/>
        </w:rPr>
        <w:t>1</w:t>
      </w:r>
      <w:r>
        <w:rPr/>
        <w:t>月至</w:t>
      </w:r>
      <w:r>
        <w:rPr>
          <w:rFonts w:ascii="宋体" w:hAnsi="宋体" w:cs="宋体" w:eastAsia="宋体" w:hint="default"/>
        </w:rPr>
        <w:t>2003</w:t>
      </w:r>
      <w:r>
        <w:rPr/>
        <w:t>年</w:t>
      </w:r>
      <w:r>
        <w:rPr>
          <w:rFonts w:ascii="宋体" w:hAnsi="宋体" w:cs="宋体" w:eastAsia="宋体" w:hint="default"/>
        </w:rPr>
        <w:t>12</w:t>
      </w:r>
      <w:r>
        <w:rPr/>
        <w:t>月，兼任上海交技发展股份有限公司董事、总经理，</w:t>
      </w:r>
      <w:r>
        <w:rPr>
          <w:rFonts w:ascii="宋体" w:hAnsi="宋体" w:cs="宋体" w:eastAsia="宋体" w:hint="default"/>
        </w:rPr>
        <w:t>2005</w:t>
      </w:r>
      <w:r>
        <w:rPr/>
        <w:t>年</w:t>
      </w:r>
      <w:r>
        <w:rPr>
          <w:rFonts w:ascii="宋体" w:hAnsi="宋体" w:cs="宋体" w:eastAsia="宋体" w:hint="default"/>
        </w:rPr>
        <w:t>3</w:t>
      </w:r>
      <w:r>
        <w:rPr/>
        <w:t>月至</w:t>
      </w:r>
      <w:r>
        <w:rPr>
          <w:rFonts w:ascii="宋体" w:hAnsi="宋体" w:cs="宋体" w:eastAsia="宋体" w:hint="default"/>
        </w:rPr>
        <w:t>2007</w:t>
      </w:r>
      <w:r>
        <w:rPr/>
        <w:t>年</w:t>
      </w:r>
      <w:r>
        <w:rPr>
          <w:rFonts w:ascii="宋体" w:hAnsi="宋体" w:cs="宋体" w:eastAsia="宋体" w:hint="default"/>
        </w:rPr>
        <w:t>3</w:t>
      </w:r>
      <w:r>
        <w:rPr>
          <w:rFonts w:ascii="宋体" w:hAnsi="宋体" w:cs="宋体" w:eastAsia="宋体" w:hint="default"/>
          <w:spacing w:val="-48"/>
        </w:rPr>
        <w:t> </w:t>
      </w:r>
      <w:r>
        <w:rPr>
          <w:spacing w:val="-2"/>
        </w:rPr>
        <w:t>月挂任辽宁省科技厅副厅长、党组成员；</w:t>
      </w:r>
      <w:r>
        <w:rPr>
          <w:rFonts w:ascii="宋体" w:hAnsi="宋体" w:cs="宋体" w:eastAsia="宋体" w:hint="default"/>
          <w:spacing w:val="-2"/>
        </w:rPr>
        <w:t>2009</w:t>
      </w:r>
      <w:r>
        <w:rPr>
          <w:spacing w:val="-2"/>
        </w:rPr>
        <w:t>年</w:t>
      </w:r>
      <w:r>
        <w:rPr>
          <w:rFonts w:ascii="宋体" w:hAnsi="宋体" w:cs="宋体" w:eastAsia="宋体" w:hint="default"/>
          <w:spacing w:val="-2"/>
        </w:rPr>
        <w:t>10</w:t>
      </w:r>
      <w:r>
        <w:rPr>
          <w:spacing w:val="-2"/>
        </w:rPr>
        <w:t>月至</w:t>
      </w:r>
      <w:r>
        <w:rPr>
          <w:rFonts w:ascii="宋体" w:hAnsi="宋体" w:cs="宋体" w:eastAsia="宋体" w:hint="default"/>
          <w:spacing w:val="-2"/>
        </w:rPr>
        <w:t>2017</w:t>
      </w:r>
      <w:r>
        <w:rPr>
          <w:spacing w:val="-2"/>
        </w:rPr>
        <w:t>年</w:t>
      </w:r>
      <w:r>
        <w:rPr>
          <w:rFonts w:ascii="宋体" w:hAnsi="宋体" w:cs="宋体" w:eastAsia="宋体" w:hint="default"/>
          <w:spacing w:val="-2"/>
        </w:rPr>
        <w:t>11</w:t>
      </w:r>
      <w:r>
        <w:rPr>
          <w:spacing w:val="-2"/>
        </w:rPr>
        <w:t>月，历任上海船舶运输科学研究所党</w:t>
      </w:r>
      <w:r>
        <w:rPr>
          <w:spacing w:val="-57"/>
        </w:rPr>
        <w:t> </w:t>
      </w:r>
      <w:r>
        <w:rPr>
          <w:spacing w:val="-57"/>
        </w:rPr>
      </w:r>
      <w:r>
        <w:rPr/>
        <w:t>委副书记、副所长、所长。</w:t>
      </w:r>
      <w:r>
        <w:rPr>
          <w:rFonts w:ascii="宋体" w:hAnsi="宋体" w:cs="宋体" w:eastAsia="宋体" w:hint="default"/>
        </w:rPr>
        <w:t> </w:t>
      </w:r>
    </w:p>
    <w:p>
      <w:pPr>
        <w:pStyle w:val="BodyText"/>
        <w:spacing w:line="259" w:lineRule="auto" w:before="6"/>
        <w:ind w:right="1129" w:firstLine="439"/>
        <w:jc w:val="both"/>
        <w:rPr>
          <w:rFonts w:ascii="宋体" w:hAnsi="宋体" w:cs="宋体" w:eastAsia="宋体" w:hint="default"/>
        </w:rPr>
      </w:pPr>
      <w:r>
        <w:rPr>
          <w:rFonts w:ascii="宋体" w:hAnsi="宋体" w:cs="宋体" w:eastAsia="宋体" w:hint="default"/>
        </w:rPr>
        <w:t>2</w:t>
      </w:r>
      <w:r>
        <w:rPr/>
        <w:t>、夏蔚先生，中国国籍，无境外居留权，</w:t>
      </w:r>
      <w:r>
        <w:rPr>
          <w:rFonts w:ascii="宋体" w:hAnsi="宋体" w:cs="宋体" w:eastAsia="宋体" w:hint="default"/>
        </w:rPr>
        <w:t>1960</w:t>
      </w:r>
      <w:r>
        <w:rPr/>
        <w:t>年生，中共党员，大学本科学历，高级政工师。</w:t>
      </w:r>
      <w:r>
        <w:rPr>
          <w:w w:val="100"/>
        </w:rPr>
        <w:t> </w:t>
      </w:r>
      <w:r>
        <w:rPr>
          <w:spacing w:val="-2"/>
        </w:rPr>
        <w:t>现任中远海运科技股份有限公司副董事长、党委书记，上海船舶运输科学研究所党委书记、董事、副</w:t>
      </w:r>
      <w:r>
        <w:rPr>
          <w:spacing w:val="-72"/>
        </w:rPr>
        <w:t> </w:t>
      </w:r>
      <w:r>
        <w:rPr>
          <w:spacing w:val="-72"/>
        </w:rPr>
      </w:r>
      <w:r>
        <w:rPr>
          <w:spacing w:val="-2"/>
        </w:rPr>
        <w:t>所长，中海电信有限公司董事长。</w:t>
      </w:r>
      <w:r>
        <w:rPr>
          <w:rFonts w:ascii="宋体" w:hAnsi="宋体" w:cs="宋体" w:eastAsia="宋体" w:hint="default"/>
          <w:spacing w:val="-2"/>
        </w:rPr>
        <w:t>1981</w:t>
      </w:r>
      <w:r>
        <w:rPr>
          <w:spacing w:val="-2"/>
        </w:rPr>
        <w:t>年</w:t>
      </w:r>
      <w:r>
        <w:rPr>
          <w:rFonts w:ascii="宋体" w:hAnsi="宋体" w:cs="宋体" w:eastAsia="宋体" w:hint="default"/>
          <w:spacing w:val="-2"/>
        </w:rPr>
        <w:t>8</w:t>
      </w:r>
      <w:r>
        <w:rPr>
          <w:spacing w:val="-2"/>
        </w:rPr>
        <w:t>月至</w:t>
      </w:r>
      <w:r>
        <w:rPr>
          <w:rFonts w:ascii="宋体" w:hAnsi="宋体" w:cs="宋体" w:eastAsia="宋体" w:hint="default"/>
          <w:spacing w:val="-2"/>
        </w:rPr>
        <w:t>1991</w:t>
      </w:r>
      <w:r>
        <w:rPr>
          <w:spacing w:val="-2"/>
        </w:rPr>
        <w:t>年</w:t>
      </w:r>
      <w:r>
        <w:rPr>
          <w:rFonts w:ascii="宋体" w:hAnsi="宋体" w:cs="宋体" w:eastAsia="宋体" w:hint="default"/>
          <w:spacing w:val="-2"/>
        </w:rPr>
        <w:t>9</w:t>
      </w:r>
      <w:r>
        <w:rPr>
          <w:spacing w:val="-2"/>
        </w:rPr>
        <w:t>月，历任上海海运管理局客运公司报务员、代</w:t>
      </w:r>
      <w:r>
        <w:rPr>
          <w:spacing w:val="-60"/>
        </w:rPr>
        <w:t> </w:t>
      </w:r>
      <w:r>
        <w:rPr>
          <w:spacing w:val="-60"/>
        </w:rPr>
      </w:r>
      <w:r>
        <w:rPr/>
        <w:t>报务主任、报务主任、机要科机要员；</w:t>
      </w:r>
      <w:r>
        <w:rPr>
          <w:rFonts w:ascii="宋体" w:hAnsi="宋体" w:cs="宋体" w:eastAsia="宋体" w:hint="default"/>
        </w:rPr>
        <w:t>1991</w:t>
      </w:r>
      <w:r>
        <w:rPr/>
        <w:t>年</w:t>
      </w:r>
      <w:r>
        <w:rPr>
          <w:rFonts w:ascii="宋体" w:hAnsi="宋体" w:cs="宋体" w:eastAsia="宋体" w:hint="default"/>
        </w:rPr>
        <w:t>9</w:t>
      </w:r>
      <w:r>
        <w:rPr/>
        <w:t>月至</w:t>
      </w:r>
      <w:r>
        <w:rPr>
          <w:rFonts w:ascii="宋体" w:hAnsi="宋体" w:cs="宋体" w:eastAsia="宋体" w:hint="default"/>
        </w:rPr>
        <w:t>1998</w:t>
      </w:r>
      <w:r>
        <w:rPr/>
        <w:t>年</w:t>
      </w:r>
      <w:r>
        <w:rPr>
          <w:rFonts w:ascii="宋体" w:hAnsi="宋体" w:cs="宋体" w:eastAsia="宋体" w:hint="default"/>
        </w:rPr>
        <w:t>10</w:t>
      </w:r>
      <w:r>
        <w:rPr/>
        <w:t>月，历任上海船舶通信导航公司团工委</w:t>
      </w:r>
      <w:r>
        <w:rPr>
          <w:spacing w:val="-49"/>
        </w:rPr>
        <w:t> </w:t>
      </w:r>
      <w:r>
        <w:rPr>
          <w:spacing w:val="-49"/>
        </w:rPr>
      </w:r>
      <w:r>
        <w:rPr/>
        <w:t>副书记、书记、工会主席；</w:t>
      </w:r>
      <w:r>
        <w:rPr>
          <w:rFonts w:ascii="宋体" w:hAnsi="宋体" w:cs="宋体" w:eastAsia="宋体" w:hint="default"/>
        </w:rPr>
        <w:t>1998</w:t>
      </w:r>
      <w:r>
        <w:rPr/>
        <w:t>年</w:t>
      </w:r>
      <w:r>
        <w:rPr>
          <w:rFonts w:ascii="宋体" w:hAnsi="宋体" w:cs="宋体" w:eastAsia="宋体" w:hint="default"/>
        </w:rPr>
        <w:t>10</w:t>
      </w:r>
      <w:r>
        <w:rPr/>
        <w:t>月至</w:t>
      </w:r>
      <w:r>
        <w:rPr>
          <w:rFonts w:ascii="宋体" w:hAnsi="宋体" w:cs="宋体" w:eastAsia="宋体" w:hint="default"/>
        </w:rPr>
        <w:t>2014</w:t>
      </w:r>
      <w:r>
        <w:rPr/>
        <w:t>年</w:t>
      </w:r>
      <w:r>
        <w:rPr>
          <w:rFonts w:ascii="宋体" w:hAnsi="宋体" w:cs="宋体" w:eastAsia="宋体" w:hint="default"/>
        </w:rPr>
        <w:t>3</w:t>
      </w:r>
      <w:r>
        <w:rPr/>
        <w:t>月，历任中海电信有限公司工会代主席、主席、纪</w:t>
      </w:r>
      <w:r>
        <w:rPr>
          <w:spacing w:val="-47"/>
        </w:rPr>
        <w:t> </w:t>
      </w:r>
      <w:r>
        <w:rPr>
          <w:spacing w:val="-47"/>
        </w:rPr>
      </w:r>
      <w:r>
        <w:rPr/>
        <w:t>委书记、党委书记、总经理；</w:t>
      </w:r>
      <w:r>
        <w:rPr>
          <w:rFonts w:ascii="宋体" w:hAnsi="宋体" w:cs="宋体" w:eastAsia="宋体" w:hint="default"/>
        </w:rPr>
        <w:t>2014</w:t>
      </w:r>
      <w:r>
        <w:rPr/>
        <w:t>年</w:t>
      </w:r>
      <w:r>
        <w:rPr>
          <w:rFonts w:ascii="宋体" w:hAnsi="宋体" w:cs="宋体" w:eastAsia="宋体" w:hint="default"/>
        </w:rPr>
        <w:t>3</w:t>
      </w:r>
      <w:r>
        <w:rPr/>
        <w:t>月至</w:t>
      </w:r>
      <w:r>
        <w:rPr>
          <w:rFonts w:ascii="宋体" w:hAnsi="宋体" w:cs="宋体" w:eastAsia="宋体" w:hint="default"/>
        </w:rPr>
        <w:t>2017</w:t>
      </w:r>
      <w:r>
        <w:rPr/>
        <w:t>年</w:t>
      </w:r>
      <w:r>
        <w:rPr>
          <w:rFonts w:ascii="宋体" w:hAnsi="宋体" w:cs="宋体" w:eastAsia="宋体" w:hint="default"/>
        </w:rPr>
        <w:t>11</w:t>
      </w:r>
      <w:r>
        <w:rPr/>
        <w:t>月，历任上海船舶运输科学研究所党委书记、副</w:t>
      </w:r>
      <w:r>
        <w:rPr>
          <w:spacing w:val="-48"/>
        </w:rPr>
        <w:t> </w:t>
      </w:r>
      <w:r>
        <w:rPr>
          <w:spacing w:val="-48"/>
        </w:rPr>
      </w:r>
      <w:r>
        <w:rPr/>
        <w:t>所长。</w:t>
      </w:r>
      <w:r>
        <w:rPr>
          <w:rFonts w:ascii="宋体" w:hAnsi="宋体" w:cs="宋体" w:eastAsia="宋体" w:hint="default"/>
        </w:rPr>
        <w:t> </w:t>
      </w:r>
    </w:p>
    <w:p>
      <w:pPr>
        <w:pStyle w:val="BodyText"/>
        <w:spacing w:line="259" w:lineRule="auto" w:before="6"/>
        <w:ind w:right="0" w:firstLine="439"/>
        <w:jc w:val="left"/>
        <w:rPr>
          <w:rFonts w:ascii="宋体" w:hAnsi="宋体" w:cs="宋体" w:eastAsia="宋体" w:hint="default"/>
        </w:rPr>
      </w:pPr>
      <w:r>
        <w:rPr>
          <w:rFonts w:ascii="宋体" w:hAnsi="宋体" w:cs="宋体" w:eastAsia="宋体" w:hint="default"/>
          <w:spacing w:val="-2"/>
        </w:rPr>
        <w:t>3</w:t>
      </w:r>
      <w:r>
        <w:rPr>
          <w:spacing w:val="-2"/>
        </w:rPr>
        <w:t>、周群先生，中国国籍，无境外居留权，</w:t>
      </w:r>
      <w:r>
        <w:rPr>
          <w:rFonts w:ascii="宋体" w:hAnsi="宋体" w:cs="宋体" w:eastAsia="宋体" w:hint="default"/>
          <w:spacing w:val="-2"/>
        </w:rPr>
        <w:t>1961</w:t>
      </w:r>
      <w:r>
        <w:rPr>
          <w:spacing w:val="-2"/>
        </w:rPr>
        <w:t>年生，中共党员，大学本科学历，在职工学硕士，</w:t>
      </w:r>
      <w:r>
        <w:rPr>
          <w:w w:val="100"/>
        </w:rPr>
        <w:t> </w:t>
      </w:r>
      <w:r>
        <w:rPr>
          <w:spacing w:val="-2"/>
        </w:rPr>
        <w:t>研究员级高级工程师。现任中远海运科技股份有限公司董事、总经理、党委副书记，上海船舶运输科</w:t>
      </w:r>
      <w:r>
        <w:rPr>
          <w:spacing w:val="-72"/>
        </w:rPr>
        <w:t> </w:t>
      </w:r>
      <w:r>
        <w:rPr>
          <w:spacing w:val="-72"/>
        </w:rPr>
      </w:r>
      <w:r>
        <w:rPr>
          <w:spacing w:val="-2"/>
        </w:rPr>
        <w:t>学研究所党委副书记，中远海运科技（北京）有限公司董事长，北京中远海运数字科技有限公司董事</w:t>
      </w:r>
      <w:r>
        <w:rPr>
          <w:spacing w:val="-71"/>
        </w:rPr>
        <w:t> </w:t>
      </w:r>
      <w:r>
        <w:rPr>
          <w:spacing w:val="-71"/>
        </w:rPr>
      </w:r>
      <w:r>
        <w:rPr/>
        <w:t>长，中远网络航海科技有限公司董事长，宁夏交投科技发展有限公司副董事长，深圳一海通全球供应</w:t>
      </w:r>
      <w:r>
        <w:rPr>
          <w:w w:val="100"/>
        </w:rPr>
        <w:t> </w:t>
      </w:r>
      <w:r>
        <w:rPr>
          <w:spacing w:val="-2"/>
        </w:rPr>
        <w:t>链管理有限公司董事。</w:t>
      </w:r>
      <w:r>
        <w:rPr>
          <w:rFonts w:ascii="宋体" w:hAnsi="宋体" w:cs="宋体" w:eastAsia="宋体" w:hint="default"/>
          <w:spacing w:val="-2"/>
        </w:rPr>
        <w:t>1983</w:t>
      </w:r>
      <w:r>
        <w:rPr>
          <w:spacing w:val="-2"/>
        </w:rPr>
        <w:t>年</w:t>
      </w:r>
      <w:r>
        <w:rPr>
          <w:rFonts w:ascii="宋体" w:hAnsi="宋体" w:cs="宋体" w:eastAsia="宋体" w:hint="default"/>
          <w:spacing w:val="-2"/>
        </w:rPr>
        <w:t>8</w:t>
      </w:r>
      <w:r>
        <w:rPr>
          <w:spacing w:val="-2"/>
        </w:rPr>
        <w:t>月至</w:t>
      </w:r>
      <w:r>
        <w:rPr>
          <w:rFonts w:ascii="宋体" w:hAnsi="宋体" w:cs="宋体" w:eastAsia="宋体" w:hint="default"/>
          <w:spacing w:val="-2"/>
        </w:rPr>
        <w:t>1988</w:t>
      </w:r>
      <w:r>
        <w:rPr>
          <w:spacing w:val="-2"/>
        </w:rPr>
        <w:t>年</w:t>
      </w:r>
      <w:r>
        <w:rPr>
          <w:rFonts w:ascii="宋体" w:hAnsi="宋体" w:cs="宋体" w:eastAsia="宋体" w:hint="default"/>
          <w:spacing w:val="-2"/>
        </w:rPr>
        <w:t>10</w:t>
      </w:r>
      <w:r>
        <w:rPr>
          <w:spacing w:val="-2"/>
        </w:rPr>
        <w:t>月，历任上海船舶运输科学研究所实验工厂助理工程师、</w:t>
      </w:r>
      <w:r>
        <w:rPr>
          <w:spacing w:val="-61"/>
        </w:rPr>
        <w:t> </w:t>
      </w:r>
      <w:r>
        <w:rPr>
          <w:spacing w:val="-61"/>
        </w:rPr>
      </w:r>
      <w:r>
        <w:rPr/>
        <w:t>所团委委员；</w:t>
      </w:r>
      <w:r>
        <w:rPr>
          <w:rFonts w:ascii="宋体" w:hAnsi="宋体" w:cs="宋体" w:eastAsia="宋体" w:hint="default"/>
        </w:rPr>
        <w:t>1988</w:t>
      </w:r>
      <w:r>
        <w:rPr/>
        <w:t>年</w:t>
      </w:r>
      <w:r>
        <w:rPr>
          <w:rFonts w:ascii="宋体" w:hAnsi="宋体" w:cs="宋体" w:eastAsia="宋体" w:hint="default"/>
        </w:rPr>
        <w:t>10</w:t>
      </w:r>
      <w:r>
        <w:rPr/>
        <w:t>月至</w:t>
      </w:r>
      <w:r>
        <w:rPr>
          <w:rFonts w:ascii="宋体" w:hAnsi="宋体" w:cs="宋体" w:eastAsia="宋体" w:hint="default"/>
        </w:rPr>
        <w:t>2001</w:t>
      </w:r>
      <w:r>
        <w:rPr/>
        <w:t>年</w:t>
      </w:r>
      <w:r>
        <w:rPr>
          <w:rFonts w:ascii="宋体" w:hAnsi="宋体" w:cs="宋体" w:eastAsia="宋体" w:hint="default"/>
        </w:rPr>
        <w:t>3</w:t>
      </w:r>
      <w:r>
        <w:rPr/>
        <w:t>月，历任上海船舶运输科学研究所经营开发处工程师、高级工程</w:t>
      </w:r>
      <w:r>
        <w:rPr>
          <w:spacing w:val="-48"/>
        </w:rPr>
        <w:t> </w:t>
      </w:r>
      <w:r>
        <w:rPr>
          <w:spacing w:val="-48"/>
        </w:rPr>
      </w:r>
      <w:r>
        <w:rPr/>
        <w:t>师、副处长，所团委副书记、科技产业处副处长；</w:t>
      </w:r>
      <w:r>
        <w:rPr>
          <w:rFonts w:ascii="宋体" w:hAnsi="宋体" w:cs="宋体" w:eastAsia="宋体" w:hint="default"/>
        </w:rPr>
        <w:t>2001</w:t>
      </w:r>
      <w:r>
        <w:rPr/>
        <w:t>年</w:t>
      </w:r>
      <w:r>
        <w:rPr>
          <w:rFonts w:ascii="宋体" w:hAnsi="宋体" w:cs="宋体" w:eastAsia="宋体" w:hint="default"/>
        </w:rPr>
        <w:t>3</w:t>
      </w:r>
      <w:r>
        <w:rPr/>
        <w:t>月至</w:t>
      </w:r>
      <w:r>
        <w:rPr>
          <w:rFonts w:ascii="宋体" w:hAnsi="宋体" w:cs="宋体" w:eastAsia="宋体" w:hint="default"/>
        </w:rPr>
        <w:t>2017</w:t>
      </w:r>
      <w:r>
        <w:rPr/>
        <w:t>年</w:t>
      </w:r>
      <w:r>
        <w:rPr>
          <w:rFonts w:ascii="宋体" w:hAnsi="宋体" w:cs="宋体" w:eastAsia="宋体" w:hint="default"/>
        </w:rPr>
        <w:t>12</w:t>
      </w:r>
      <w:r>
        <w:rPr/>
        <w:t>月，历任上海交技发展股份</w:t>
      </w:r>
      <w:r>
        <w:rPr>
          <w:spacing w:val="-46"/>
        </w:rPr>
        <w:t> </w:t>
      </w:r>
      <w:r>
        <w:rPr>
          <w:spacing w:val="-46"/>
        </w:rPr>
      </w:r>
      <w:r>
        <w:rPr>
          <w:spacing w:val="-2"/>
        </w:rPr>
        <w:t>有限公司（于</w:t>
      </w:r>
      <w:r>
        <w:rPr>
          <w:rFonts w:ascii="宋体" w:hAnsi="宋体" w:cs="宋体" w:eastAsia="宋体" w:hint="default"/>
          <w:spacing w:val="-2"/>
        </w:rPr>
        <w:t>2011</w:t>
      </w:r>
      <w:r>
        <w:rPr>
          <w:spacing w:val="-2"/>
        </w:rPr>
        <w:t>年</w:t>
      </w:r>
      <w:r>
        <w:rPr>
          <w:rFonts w:ascii="宋体" w:hAnsi="宋体" w:cs="宋体" w:eastAsia="宋体" w:hint="default"/>
          <w:spacing w:val="-2"/>
        </w:rPr>
        <w:t>8</w:t>
      </w:r>
      <w:r>
        <w:rPr>
          <w:spacing w:val="-2"/>
        </w:rPr>
        <w:t>月更名为中海网络科技股份有限公司，于</w:t>
      </w:r>
      <w:r>
        <w:rPr>
          <w:rFonts w:ascii="宋体" w:hAnsi="宋体" w:cs="宋体" w:eastAsia="宋体" w:hint="default"/>
          <w:spacing w:val="-2"/>
        </w:rPr>
        <w:t>2017</w:t>
      </w:r>
      <w:r>
        <w:rPr>
          <w:spacing w:val="-2"/>
        </w:rPr>
        <w:t>年</w:t>
      </w:r>
      <w:r>
        <w:rPr>
          <w:rFonts w:ascii="宋体" w:hAnsi="宋体" w:cs="宋体" w:eastAsia="宋体" w:hint="default"/>
          <w:spacing w:val="-2"/>
        </w:rPr>
        <w:t>5</w:t>
      </w:r>
      <w:r>
        <w:rPr>
          <w:spacing w:val="-2"/>
        </w:rPr>
        <w:t>月更名为中远海运科技股份有</w:t>
      </w:r>
      <w:r>
        <w:rPr>
          <w:spacing w:val="-62"/>
        </w:rPr>
        <w:t> </w:t>
      </w:r>
      <w:r>
        <w:rPr>
          <w:spacing w:val="-62"/>
        </w:rPr>
      </w:r>
      <w:r>
        <w:rPr/>
        <w:t>限公司）经营发展部主任，副总经理、总经理、董事、党委副书记、董事长；</w:t>
      </w:r>
      <w:r>
        <w:rPr>
          <w:rFonts w:ascii="宋体" w:hAnsi="宋体" w:cs="宋体" w:eastAsia="宋体" w:hint="default"/>
        </w:rPr>
        <w:t>2012</w:t>
      </w:r>
      <w:r>
        <w:rPr/>
        <w:t>年</w:t>
      </w:r>
      <w:r>
        <w:rPr>
          <w:rFonts w:ascii="宋体" w:hAnsi="宋体" w:cs="宋体" w:eastAsia="宋体" w:hint="default"/>
        </w:rPr>
        <w:t>12</w:t>
      </w:r>
      <w:r>
        <w:rPr/>
        <w:t>月至</w:t>
      </w:r>
      <w:r>
        <w:rPr>
          <w:rFonts w:ascii="宋体" w:hAnsi="宋体" w:cs="宋体" w:eastAsia="宋体" w:hint="default"/>
        </w:rPr>
        <w:t>2017</w:t>
      </w:r>
      <w:r>
        <w:rPr/>
        <w:t>年</w:t>
      </w:r>
      <w:r>
        <w:rPr>
          <w:rFonts w:ascii="宋体" w:hAnsi="宋体" w:cs="宋体" w:eastAsia="宋体" w:hint="default"/>
        </w:rPr>
        <w:t>11</w:t>
      </w:r>
      <w:r>
        <w:rPr>
          <w:rFonts w:ascii="宋体" w:hAnsi="宋体" w:cs="宋体" w:eastAsia="宋体" w:hint="default"/>
          <w:w w:val="100"/>
        </w:rPr>
        <w:t> </w:t>
      </w:r>
      <w:r>
        <w:rPr/>
        <w:t>月，历任上海船舶运输科学研究所党委委员，党委副书记，副所长、工会主席。</w:t>
      </w:r>
      <w:r>
        <w:rPr>
          <w:rFonts w:ascii="宋体" w:hAnsi="宋体" w:cs="宋体" w:eastAsia="宋体" w:hint="default"/>
        </w:rPr>
        <w:t> </w:t>
      </w:r>
    </w:p>
    <w:p>
      <w:pPr>
        <w:pStyle w:val="BodyText"/>
        <w:spacing w:line="259" w:lineRule="auto" w:before="6"/>
        <w:ind w:right="1089" w:firstLine="439"/>
        <w:jc w:val="both"/>
        <w:rPr>
          <w:rFonts w:ascii="宋体" w:hAnsi="宋体" w:cs="宋体" w:eastAsia="宋体" w:hint="default"/>
        </w:rPr>
      </w:pPr>
      <w:r>
        <w:rPr>
          <w:rFonts w:ascii="宋体" w:hAnsi="宋体" w:cs="宋体" w:eastAsia="宋体" w:hint="default"/>
        </w:rPr>
        <w:t>4</w:t>
      </w:r>
      <w:r>
        <w:rPr/>
        <w:t>、李国荣先生，中国国籍，无境外居留权，</w:t>
      </w:r>
      <w:r>
        <w:rPr>
          <w:rFonts w:ascii="宋体" w:hAnsi="宋体" w:cs="宋体" w:eastAsia="宋体" w:hint="default"/>
        </w:rPr>
        <w:t>1969</w:t>
      </w:r>
      <w:r>
        <w:rPr/>
        <w:t>年生，中共党员，博士研究生学历、经济学博</w:t>
      </w:r>
      <w:r>
        <w:rPr>
          <w:w w:val="100"/>
        </w:rPr>
        <w:t> </w:t>
      </w:r>
      <w:r>
        <w:rPr/>
        <w:t>士，高级会计师。现任中远海运科技股份有限公司董事，中远海运（大连）公司</w:t>
      </w:r>
      <w:r>
        <w:rPr>
          <w:rFonts w:ascii="宋体" w:hAnsi="宋体" w:cs="宋体" w:eastAsia="宋体" w:hint="default"/>
        </w:rPr>
        <w:t>/</w:t>
      </w:r>
      <w:r>
        <w:rPr/>
        <w:t>中远海运客运有限</w:t>
      </w:r>
      <w:r>
        <w:rPr>
          <w:spacing w:val="-40"/>
        </w:rPr>
        <w:t> </w:t>
      </w:r>
      <w:r>
        <w:rPr>
          <w:spacing w:val="-40"/>
        </w:rPr>
      </w:r>
      <w:r>
        <w:rPr>
          <w:spacing w:val="-2"/>
        </w:rPr>
        <w:t>公司董事，中远海运（广州）有限公司董事，中远海运重工有限公司董事，中远海运（天津）有限公</w:t>
      </w:r>
      <w:r>
        <w:rPr>
          <w:spacing w:val="-75"/>
        </w:rPr>
        <w:t> </w:t>
      </w:r>
      <w:r>
        <w:rPr>
          <w:spacing w:val="-75"/>
        </w:rPr>
      </w:r>
      <w:r>
        <w:rPr>
          <w:spacing w:val="-1"/>
        </w:rPr>
        <w:t>司监事会主席。</w:t>
      </w:r>
      <w:r>
        <w:rPr>
          <w:rFonts w:ascii="宋体" w:hAnsi="宋体" w:cs="宋体" w:eastAsia="宋体" w:hint="default"/>
          <w:spacing w:val="-1"/>
        </w:rPr>
        <w:t>2001</w:t>
      </w:r>
      <w:r>
        <w:rPr>
          <w:spacing w:val="-1"/>
        </w:rPr>
        <w:t>年以来历任：中石化湖北省石油分公司财务资产处副处长、副总会计师兼处长，</w:t>
      </w:r>
      <w:r>
        <w:rPr>
          <w:spacing w:val="-71"/>
        </w:rPr>
        <w:t> </w:t>
      </w:r>
      <w:r>
        <w:rPr>
          <w:spacing w:val="-71"/>
        </w:rPr>
      </w:r>
      <w:r>
        <w:rPr>
          <w:spacing w:val="-7"/>
        </w:rPr>
        <w:t>中石化中海船舶燃料供应有限公司财务经理，中海码头发展有限公司财务总监、党总支委员，中海（海</w:t>
      </w:r>
      <w:r>
        <w:rPr>
          <w:spacing w:val="-67"/>
        </w:rPr>
        <w:t> </w:t>
      </w:r>
      <w:r>
        <w:rPr>
          <w:spacing w:val="-67"/>
        </w:rPr>
      </w:r>
      <w:r>
        <w:rPr>
          <w:spacing w:val="-2"/>
        </w:rPr>
        <w:t>南）海盛船务股份有限公司总会计师、党委委员，中国海运（欧洲）控股有限公司总会计师、党总支</w:t>
      </w:r>
      <w:r>
        <w:rPr>
          <w:spacing w:val="-69"/>
        </w:rPr>
        <w:t> </w:t>
      </w:r>
      <w:r>
        <w:rPr>
          <w:spacing w:val="-69"/>
        </w:rPr>
      </w:r>
      <w:r>
        <w:rPr/>
        <w:t>委员。</w:t>
      </w:r>
      <w:r>
        <w:rPr>
          <w:rFonts w:ascii="宋体" w:hAnsi="宋体" w:cs="宋体" w:eastAsia="宋体" w:hint="default"/>
        </w:rPr>
        <w:t> </w:t>
      </w:r>
    </w:p>
    <w:p>
      <w:pPr>
        <w:pStyle w:val="BodyText"/>
        <w:spacing w:line="259" w:lineRule="auto" w:before="6"/>
        <w:ind w:right="1127" w:firstLine="439"/>
        <w:jc w:val="both"/>
      </w:pPr>
      <w:r>
        <w:rPr>
          <w:rFonts w:ascii="宋体" w:hAnsi="宋体" w:cs="宋体" w:eastAsia="宋体" w:hint="default"/>
        </w:rPr>
        <w:t>5</w:t>
      </w:r>
      <w:r>
        <w:rPr/>
        <w:t>、方楚南先生，中国国籍，无境外居留权，</w:t>
      </w:r>
      <w:r>
        <w:rPr>
          <w:rFonts w:ascii="宋体" w:hAnsi="宋体" w:cs="宋体" w:eastAsia="宋体" w:hint="default"/>
        </w:rPr>
        <w:t>1961</w:t>
      </w:r>
      <w:r>
        <w:rPr/>
        <w:t>年生，中共党员，大学本科学历，会计师。现</w:t>
      </w:r>
      <w:r>
        <w:rPr>
          <w:w w:val="100"/>
        </w:rPr>
        <w:t> </w:t>
      </w:r>
      <w:r>
        <w:rPr>
          <w:spacing w:val="-2"/>
        </w:rPr>
        <w:t>任中远海运科技股份有限公司董事，中远海运集团财务有限责任公司董事，中远海运大连投资有限公</w:t>
      </w:r>
      <w:r>
        <w:rPr>
          <w:spacing w:val="-70"/>
        </w:rPr>
        <w:t> </w:t>
      </w:r>
      <w:r>
        <w:rPr>
          <w:spacing w:val="-70"/>
        </w:rPr>
      </w:r>
      <w:r>
        <w:rPr>
          <w:spacing w:val="-2"/>
        </w:rPr>
        <w:t>司监事会主席，中远海运博鳌有限公司监事。</w:t>
      </w:r>
      <w:r>
        <w:rPr>
          <w:rFonts w:ascii="宋体" w:hAnsi="宋体" w:cs="宋体" w:eastAsia="宋体" w:hint="default"/>
          <w:spacing w:val="-2"/>
        </w:rPr>
        <w:t>1983</w:t>
      </w:r>
      <w:r>
        <w:rPr>
          <w:spacing w:val="-2"/>
        </w:rPr>
        <w:t>年</w:t>
      </w:r>
      <w:r>
        <w:rPr>
          <w:rFonts w:ascii="宋体" w:hAnsi="宋体" w:cs="宋体" w:eastAsia="宋体" w:hint="default"/>
          <w:spacing w:val="-2"/>
        </w:rPr>
        <w:t>8</w:t>
      </w:r>
      <w:r>
        <w:rPr>
          <w:spacing w:val="-2"/>
        </w:rPr>
        <w:t>月至</w:t>
      </w:r>
      <w:r>
        <w:rPr>
          <w:rFonts w:ascii="宋体" w:hAnsi="宋体" w:cs="宋体" w:eastAsia="宋体" w:hint="default"/>
          <w:spacing w:val="-2"/>
        </w:rPr>
        <w:t>1993</w:t>
      </w:r>
      <w:r>
        <w:rPr>
          <w:spacing w:val="-2"/>
        </w:rPr>
        <w:t>年</w:t>
      </w:r>
      <w:r>
        <w:rPr>
          <w:rFonts w:ascii="宋体" w:hAnsi="宋体" w:cs="宋体" w:eastAsia="宋体" w:hint="default"/>
          <w:spacing w:val="-2"/>
        </w:rPr>
        <w:t>6</w:t>
      </w:r>
      <w:r>
        <w:rPr>
          <w:spacing w:val="-2"/>
        </w:rPr>
        <w:t>月，历任交通部秦皇岛港务局财务</w:t>
      </w:r>
    </w:p>
    <w:p>
      <w:pPr>
        <w:spacing w:after="0" w:line="259" w:lineRule="auto"/>
        <w:jc w:val="both"/>
        <w:sectPr>
          <w:pgSz w:w="11910" w:h="16840"/>
          <w:pgMar w:header="745" w:footer="979" w:top="1060" w:bottom="1160" w:left="980" w:right="0"/>
        </w:sectPr>
      </w:pPr>
    </w:p>
    <w:p>
      <w:pPr>
        <w:spacing w:line="240" w:lineRule="auto" w:before="5"/>
        <w:rPr>
          <w:rFonts w:ascii="宋体" w:hAnsi="宋体" w:cs="宋体" w:eastAsia="宋体" w:hint="default"/>
          <w:sz w:val="24"/>
          <w:szCs w:val="24"/>
        </w:rPr>
      </w:pPr>
    </w:p>
    <w:p>
      <w:pPr>
        <w:pStyle w:val="BodyText"/>
        <w:spacing w:line="259" w:lineRule="auto" w:before="32"/>
        <w:ind w:right="0"/>
        <w:jc w:val="left"/>
        <w:rPr>
          <w:rFonts w:ascii="宋体" w:hAnsi="宋体" w:cs="宋体" w:eastAsia="宋体" w:hint="default"/>
        </w:rPr>
      </w:pPr>
      <w:r>
        <w:rPr/>
        <w:t>处科员、副主任科员、科长、副处长；其间：</w:t>
      </w:r>
      <w:r>
        <w:rPr>
          <w:rFonts w:ascii="宋体" w:hAnsi="宋体" w:cs="宋体" w:eastAsia="宋体" w:hint="default"/>
        </w:rPr>
        <w:t>1987</w:t>
      </w:r>
      <w:r>
        <w:rPr/>
        <w:t>年</w:t>
      </w:r>
      <w:r>
        <w:rPr>
          <w:rFonts w:ascii="宋体" w:hAnsi="宋体" w:cs="宋体" w:eastAsia="宋体" w:hint="default"/>
        </w:rPr>
        <w:t>10</w:t>
      </w:r>
      <w:r>
        <w:rPr/>
        <w:t>月至</w:t>
      </w:r>
      <w:r>
        <w:rPr>
          <w:rFonts w:ascii="宋体" w:hAnsi="宋体" w:cs="宋体" w:eastAsia="宋体" w:hint="default"/>
        </w:rPr>
        <w:t>1990</w:t>
      </w:r>
      <w:r>
        <w:rPr/>
        <w:t>年</w:t>
      </w:r>
      <w:r>
        <w:rPr>
          <w:rFonts w:ascii="宋体" w:hAnsi="宋体" w:cs="宋体" w:eastAsia="宋体" w:hint="default"/>
        </w:rPr>
        <w:t>1</w:t>
      </w:r>
      <w:r>
        <w:rPr/>
        <w:t>月，援助毛里塔尼亚，任友谊港</w:t>
      </w:r>
      <w:r>
        <w:rPr>
          <w:spacing w:val="-47"/>
        </w:rPr>
        <w:t> </w:t>
      </w:r>
      <w:r>
        <w:rPr>
          <w:spacing w:val="-47"/>
        </w:rPr>
      </w:r>
      <w:r>
        <w:rPr/>
        <w:t>顾问；</w:t>
      </w:r>
      <w:r>
        <w:rPr>
          <w:rFonts w:ascii="宋体" w:hAnsi="宋体" w:cs="宋体" w:eastAsia="宋体" w:hint="default"/>
        </w:rPr>
        <w:t>1993</w:t>
      </w:r>
      <w:r>
        <w:rPr/>
        <w:t>年</w:t>
      </w:r>
      <w:r>
        <w:rPr>
          <w:rFonts w:ascii="宋体" w:hAnsi="宋体" w:cs="宋体" w:eastAsia="宋体" w:hint="default"/>
        </w:rPr>
        <w:t>6</w:t>
      </w:r>
      <w:r>
        <w:rPr/>
        <w:t>月至</w:t>
      </w:r>
      <w:r>
        <w:rPr>
          <w:rFonts w:ascii="宋体" w:hAnsi="宋体" w:cs="宋体" w:eastAsia="宋体" w:hint="default"/>
        </w:rPr>
        <w:t>1996</w:t>
      </w:r>
      <w:r>
        <w:rPr/>
        <w:t>年</w:t>
      </w:r>
      <w:r>
        <w:rPr>
          <w:rFonts w:ascii="宋体" w:hAnsi="宋体" w:cs="宋体" w:eastAsia="宋体" w:hint="default"/>
        </w:rPr>
        <w:t>10</w:t>
      </w:r>
      <w:r>
        <w:rPr/>
        <w:t>月，任招商局中银漳州经济开发区有限公司财务部经理，开发区财政局</w:t>
      </w:r>
      <w:r>
        <w:rPr>
          <w:spacing w:val="-47"/>
        </w:rPr>
        <w:t> </w:t>
      </w:r>
      <w:r>
        <w:rPr>
          <w:spacing w:val="-47"/>
        </w:rPr>
      </w:r>
      <w:r>
        <w:rPr>
          <w:spacing w:val="-2"/>
        </w:rPr>
        <w:t>局长；</w:t>
      </w:r>
      <w:r>
        <w:rPr>
          <w:rFonts w:ascii="宋体" w:hAnsi="宋体" w:cs="宋体" w:eastAsia="宋体" w:hint="default"/>
          <w:spacing w:val="-2"/>
        </w:rPr>
        <w:t>1996</w:t>
      </w:r>
      <w:r>
        <w:rPr>
          <w:spacing w:val="-2"/>
        </w:rPr>
        <w:t>年</w:t>
      </w:r>
      <w:r>
        <w:rPr>
          <w:rFonts w:ascii="宋体" w:hAnsi="宋体" w:cs="宋体" w:eastAsia="宋体" w:hint="default"/>
          <w:spacing w:val="-2"/>
        </w:rPr>
        <w:t>10</w:t>
      </w:r>
      <w:r>
        <w:rPr>
          <w:spacing w:val="-2"/>
        </w:rPr>
        <w:t>月至</w:t>
      </w:r>
      <w:r>
        <w:rPr>
          <w:rFonts w:ascii="宋体" w:hAnsi="宋体" w:cs="宋体" w:eastAsia="宋体" w:hint="default"/>
          <w:spacing w:val="-2"/>
        </w:rPr>
        <w:t>1997</w:t>
      </w:r>
      <w:r>
        <w:rPr>
          <w:spacing w:val="-2"/>
        </w:rPr>
        <w:t>年</w:t>
      </w:r>
      <w:r>
        <w:rPr>
          <w:rFonts w:ascii="宋体" w:hAnsi="宋体" w:cs="宋体" w:eastAsia="宋体" w:hint="default"/>
          <w:spacing w:val="-2"/>
        </w:rPr>
        <w:t>1</w:t>
      </w:r>
      <w:r>
        <w:rPr>
          <w:spacing w:val="-2"/>
        </w:rPr>
        <w:t>月，任广州海运（集团）有限公司财务处科员；</w:t>
      </w:r>
      <w:r>
        <w:rPr>
          <w:rFonts w:ascii="宋体" w:hAnsi="宋体" w:cs="宋体" w:eastAsia="宋体" w:hint="default"/>
          <w:spacing w:val="-2"/>
        </w:rPr>
        <w:t>1997</w:t>
      </w:r>
      <w:r>
        <w:rPr>
          <w:spacing w:val="-2"/>
        </w:rPr>
        <w:t>年</w:t>
      </w:r>
      <w:r>
        <w:rPr>
          <w:rFonts w:ascii="宋体" w:hAnsi="宋体" w:cs="宋体" w:eastAsia="宋体" w:hint="default"/>
          <w:spacing w:val="-2"/>
        </w:rPr>
        <w:t>1</w:t>
      </w:r>
      <w:r>
        <w:rPr>
          <w:spacing w:val="-2"/>
        </w:rPr>
        <w:t>月至</w:t>
      </w:r>
      <w:r>
        <w:rPr>
          <w:rFonts w:ascii="宋体" w:hAnsi="宋体" w:cs="宋体" w:eastAsia="宋体" w:hint="default"/>
          <w:spacing w:val="-2"/>
        </w:rPr>
        <w:t>2007</w:t>
      </w:r>
      <w:r>
        <w:rPr>
          <w:spacing w:val="-2"/>
        </w:rPr>
        <w:t>年</w:t>
      </w:r>
      <w:r>
        <w:rPr>
          <w:rFonts w:ascii="宋体" w:hAnsi="宋体" w:cs="宋体" w:eastAsia="宋体" w:hint="default"/>
          <w:spacing w:val="-2"/>
        </w:rPr>
        <w:t>1</w:t>
      </w:r>
      <w:r>
        <w:rPr>
          <w:spacing w:val="-2"/>
        </w:rPr>
        <w:t>月，</w:t>
      </w:r>
      <w:r>
        <w:rPr>
          <w:spacing w:val="-52"/>
        </w:rPr>
        <w:t> </w:t>
      </w:r>
      <w:r>
        <w:rPr/>
        <w:t>任中海（海南）海盛船务股份有限公司总会计师；</w:t>
      </w:r>
      <w:r>
        <w:rPr>
          <w:rFonts w:ascii="宋体" w:hAnsi="宋体" w:cs="宋体" w:eastAsia="宋体" w:hint="default"/>
        </w:rPr>
        <w:t>2007</w:t>
      </w:r>
      <w:r>
        <w:rPr/>
        <w:t>年</w:t>
      </w:r>
      <w:r>
        <w:rPr>
          <w:rFonts w:ascii="宋体" w:hAnsi="宋体" w:cs="宋体" w:eastAsia="宋体" w:hint="default"/>
        </w:rPr>
        <w:t>1</w:t>
      </w:r>
      <w:r>
        <w:rPr/>
        <w:t>月至</w:t>
      </w:r>
      <w:r>
        <w:rPr>
          <w:rFonts w:ascii="宋体" w:hAnsi="宋体" w:cs="宋体" w:eastAsia="宋体" w:hint="default"/>
        </w:rPr>
        <w:t>2016</w:t>
      </w:r>
      <w:r>
        <w:rPr/>
        <w:t>年</w:t>
      </w:r>
      <w:r>
        <w:rPr>
          <w:rFonts w:ascii="宋体" w:hAnsi="宋体" w:cs="宋体" w:eastAsia="宋体" w:hint="default"/>
        </w:rPr>
        <w:t>4</w:t>
      </w:r>
      <w:r>
        <w:rPr/>
        <w:t>月，任中海散货运输有限公司</w:t>
      </w:r>
      <w:r>
        <w:rPr>
          <w:w w:val="100"/>
        </w:rPr>
        <w:t> </w:t>
      </w:r>
      <w:r>
        <w:rPr/>
        <w:t>总会计师；</w:t>
      </w:r>
      <w:r>
        <w:rPr>
          <w:rFonts w:ascii="宋体" w:hAnsi="宋体" w:cs="宋体" w:eastAsia="宋体" w:hint="default"/>
        </w:rPr>
        <w:t>2016</w:t>
      </w:r>
      <w:r>
        <w:rPr/>
        <w:t>年</w:t>
      </w:r>
      <w:r>
        <w:rPr>
          <w:rFonts w:ascii="宋体" w:hAnsi="宋体" w:cs="宋体" w:eastAsia="宋体" w:hint="default"/>
        </w:rPr>
        <w:t>4</w:t>
      </w:r>
      <w:r>
        <w:rPr/>
        <w:t>月至</w:t>
      </w:r>
      <w:r>
        <w:rPr>
          <w:rFonts w:ascii="宋体" w:hAnsi="宋体" w:cs="宋体" w:eastAsia="宋体" w:hint="default"/>
        </w:rPr>
        <w:t>2019</w:t>
      </w:r>
      <w:r>
        <w:rPr/>
        <w:t>年</w:t>
      </w:r>
      <w:r>
        <w:rPr>
          <w:rFonts w:ascii="宋体" w:hAnsi="宋体" w:cs="宋体" w:eastAsia="宋体" w:hint="default"/>
        </w:rPr>
        <w:t>1</w:t>
      </w:r>
      <w:r>
        <w:rPr/>
        <w:t>月，任中远海运资产经营管理有限公司总会计师。</w:t>
      </w:r>
      <w:r>
        <w:rPr>
          <w:rFonts w:ascii="宋体" w:hAnsi="宋体" w:cs="宋体" w:eastAsia="宋体" w:hint="default"/>
        </w:rPr>
        <w:t> </w:t>
      </w:r>
    </w:p>
    <w:p>
      <w:pPr>
        <w:pStyle w:val="BodyText"/>
        <w:spacing w:line="259" w:lineRule="auto" w:before="6"/>
        <w:ind w:right="0" w:firstLine="439"/>
        <w:jc w:val="left"/>
        <w:rPr>
          <w:rFonts w:ascii="宋体" w:hAnsi="宋体" w:cs="宋体" w:eastAsia="宋体" w:hint="default"/>
        </w:rPr>
      </w:pPr>
      <w:r>
        <w:rPr>
          <w:rFonts w:ascii="宋体" w:hAnsi="宋体" w:cs="宋体" w:eastAsia="宋体" w:hint="default"/>
          <w:spacing w:val="-2"/>
        </w:rPr>
        <w:t>6</w:t>
      </w:r>
      <w:r>
        <w:rPr>
          <w:spacing w:val="-2"/>
        </w:rPr>
        <w:t>、刘竹声先生，中国国籍，无境外居留权，</w:t>
      </w:r>
      <w:r>
        <w:rPr>
          <w:rFonts w:ascii="宋体" w:hAnsi="宋体" w:cs="宋体" w:eastAsia="宋体" w:hint="default"/>
          <w:spacing w:val="-2"/>
        </w:rPr>
        <w:t>1961</w:t>
      </w:r>
      <w:r>
        <w:rPr>
          <w:spacing w:val="-2"/>
        </w:rPr>
        <w:t>年生，中共党员，硕士研究生学历，工学硕士，</w:t>
      </w:r>
      <w:r>
        <w:rPr>
          <w:w w:val="100"/>
        </w:rPr>
        <w:t> </w:t>
      </w:r>
      <w:r>
        <w:rPr>
          <w:spacing w:val="-7"/>
          <w:w w:val="100"/>
        </w:rPr>
        <w:t>高级工程师。现任中远海运科技股份有限公司董事，上海船舶运输科学研究所董事。</w:t>
      </w:r>
      <w:r>
        <w:rPr>
          <w:rFonts w:ascii="宋体" w:hAnsi="宋体" w:cs="宋体" w:eastAsia="宋体" w:hint="default"/>
          <w:spacing w:val="-7"/>
          <w:w w:val="100"/>
        </w:rPr>
        <w:t>1983</w:t>
      </w:r>
      <w:r>
        <w:rPr>
          <w:spacing w:val="-7"/>
          <w:w w:val="100"/>
        </w:rPr>
        <w:t>年</w:t>
      </w:r>
      <w:r>
        <w:rPr>
          <w:rFonts w:ascii="宋体" w:hAnsi="宋体" w:cs="宋体" w:eastAsia="宋体" w:hint="default"/>
          <w:spacing w:val="-7"/>
          <w:w w:val="100"/>
        </w:rPr>
        <w:t>12</w:t>
      </w:r>
      <w:r>
        <w:rPr>
          <w:spacing w:val="-7"/>
          <w:w w:val="100"/>
        </w:rPr>
        <w:t>月至</w:t>
      </w:r>
      <w:r>
        <w:rPr>
          <w:rFonts w:ascii="宋体" w:hAnsi="宋体" w:cs="宋体" w:eastAsia="宋体" w:hint="default"/>
          <w:spacing w:val="-7"/>
          <w:w w:val="100"/>
        </w:rPr>
        <w:t>1987</w:t>
      </w:r>
      <w:r>
        <w:rPr>
          <w:rFonts w:ascii="宋体" w:hAnsi="宋体" w:cs="宋体" w:eastAsia="宋体" w:hint="default"/>
          <w:spacing w:val="-67"/>
          <w:w w:val="100"/>
        </w:rPr>
        <w:t> </w:t>
      </w:r>
      <w:r>
        <w:rPr>
          <w:rFonts w:ascii="宋体" w:hAnsi="宋体" w:cs="宋体" w:eastAsia="宋体" w:hint="default"/>
          <w:spacing w:val="-67"/>
          <w:w w:val="100"/>
        </w:rPr>
      </w:r>
      <w:r>
        <w:rPr/>
        <w:t>年</w:t>
      </w:r>
      <w:r>
        <w:rPr>
          <w:rFonts w:ascii="宋体" w:hAnsi="宋体" w:cs="宋体" w:eastAsia="宋体" w:hint="default"/>
        </w:rPr>
        <w:t>5</w:t>
      </w:r>
      <w:r>
        <w:rPr/>
        <w:t>月，任哈尔滨飞机制造公司设计试验室工作技术员；</w:t>
      </w:r>
      <w:r>
        <w:rPr>
          <w:rFonts w:ascii="宋体" w:hAnsi="宋体" w:cs="宋体" w:eastAsia="宋体" w:hint="default"/>
        </w:rPr>
        <w:t>1987</w:t>
      </w:r>
      <w:r>
        <w:rPr/>
        <w:t>年</w:t>
      </w:r>
      <w:r>
        <w:rPr>
          <w:rFonts w:ascii="宋体" w:hAnsi="宋体" w:cs="宋体" w:eastAsia="宋体" w:hint="default"/>
        </w:rPr>
        <w:t>6</w:t>
      </w:r>
      <w:r>
        <w:rPr/>
        <w:t>月至</w:t>
      </w:r>
      <w:r>
        <w:rPr>
          <w:rFonts w:ascii="宋体" w:hAnsi="宋体" w:cs="宋体" w:eastAsia="宋体" w:hint="default"/>
        </w:rPr>
        <w:t>1990</w:t>
      </w:r>
      <w:r>
        <w:rPr/>
        <w:t>年</w:t>
      </w:r>
      <w:r>
        <w:rPr>
          <w:rFonts w:ascii="宋体" w:hAnsi="宋体" w:cs="宋体" w:eastAsia="宋体" w:hint="default"/>
        </w:rPr>
        <w:t>9</w:t>
      </w:r>
      <w:r>
        <w:rPr/>
        <w:t>月，任天津市塘沽区市</w:t>
      </w:r>
      <w:r>
        <w:rPr>
          <w:spacing w:val="-45"/>
        </w:rPr>
        <w:t> </w:t>
      </w:r>
      <w:r>
        <w:rPr>
          <w:spacing w:val="-45"/>
        </w:rPr>
      </w:r>
      <w:r>
        <w:rPr/>
        <w:t>政工程局工作技术员；</w:t>
      </w:r>
      <w:r>
        <w:rPr>
          <w:rFonts w:ascii="宋体" w:hAnsi="宋体" w:cs="宋体" w:eastAsia="宋体" w:hint="default"/>
        </w:rPr>
        <w:t>1990</w:t>
      </w:r>
      <w:r>
        <w:rPr/>
        <w:t>年</w:t>
      </w:r>
      <w:r>
        <w:rPr>
          <w:rFonts w:ascii="宋体" w:hAnsi="宋体" w:cs="宋体" w:eastAsia="宋体" w:hint="default"/>
        </w:rPr>
        <w:t>9</w:t>
      </w:r>
      <w:r>
        <w:rPr/>
        <w:t>月至</w:t>
      </w:r>
      <w:r>
        <w:rPr>
          <w:rFonts w:ascii="宋体" w:hAnsi="宋体" w:cs="宋体" w:eastAsia="宋体" w:hint="default"/>
        </w:rPr>
        <w:t>1993</w:t>
      </w:r>
      <w:r>
        <w:rPr/>
        <w:t>年</w:t>
      </w:r>
      <w:r>
        <w:rPr>
          <w:rFonts w:ascii="宋体" w:hAnsi="宋体" w:cs="宋体" w:eastAsia="宋体" w:hint="default"/>
        </w:rPr>
        <w:t>3</w:t>
      </w:r>
      <w:r>
        <w:rPr/>
        <w:t>月，北京航空航天大学就读研究生；</w:t>
      </w:r>
      <w:r>
        <w:rPr>
          <w:rFonts w:ascii="宋体" w:hAnsi="宋体" w:cs="宋体" w:eastAsia="宋体" w:hint="default"/>
        </w:rPr>
        <w:t>1993</w:t>
      </w:r>
      <w:r>
        <w:rPr/>
        <w:t>年</w:t>
      </w:r>
      <w:r>
        <w:rPr>
          <w:rFonts w:ascii="宋体" w:hAnsi="宋体" w:cs="宋体" w:eastAsia="宋体" w:hint="default"/>
        </w:rPr>
        <w:t>4</w:t>
      </w:r>
      <w:r>
        <w:rPr/>
        <w:t>月至</w:t>
      </w:r>
      <w:r>
        <w:rPr>
          <w:rFonts w:ascii="宋体" w:hAnsi="宋体" w:cs="宋体" w:eastAsia="宋体" w:hint="default"/>
        </w:rPr>
        <w:t>1996</w:t>
      </w:r>
      <w:r>
        <w:rPr/>
        <w:t>年</w:t>
      </w:r>
      <w:r>
        <w:rPr>
          <w:spacing w:val="-45"/>
        </w:rPr>
        <w:t> </w:t>
      </w:r>
      <w:r>
        <w:rPr>
          <w:rFonts w:ascii="宋体" w:hAnsi="宋体" w:cs="宋体" w:eastAsia="宋体" w:hint="default"/>
          <w:spacing w:val="-2"/>
        </w:rPr>
        <w:t>10</w:t>
      </w:r>
      <w:r>
        <w:rPr>
          <w:spacing w:val="-2"/>
        </w:rPr>
        <w:t>月，任科苑（北京）有限公司职员；</w:t>
      </w:r>
      <w:r>
        <w:rPr>
          <w:rFonts w:ascii="宋体" w:hAnsi="宋体" w:cs="宋体" w:eastAsia="宋体" w:hint="default"/>
          <w:spacing w:val="-2"/>
        </w:rPr>
        <w:t>1996</w:t>
      </w:r>
      <w:r>
        <w:rPr>
          <w:spacing w:val="-2"/>
        </w:rPr>
        <w:t>年</w:t>
      </w:r>
      <w:r>
        <w:rPr>
          <w:rFonts w:ascii="宋体" w:hAnsi="宋体" w:cs="宋体" w:eastAsia="宋体" w:hint="default"/>
          <w:spacing w:val="-2"/>
        </w:rPr>
        <w:t>11</w:t>
      </w:r>
      <w:r>
        <w:rPr>
          <w:spacing w:val="-2"/>
        </w:rPr>
        <w:t>月至</w:t>
      </w:r>
      <w:r>
        <w:rPr>
          <w:rFonts w:ascii="宋体" w:hAnsi="宋体" w:cs="宋体" w:eastAsia="宋体" w:hint="default"/>
          <w:spacing w:val="-2"/>
        </w:rPr>
        <w:t>1998</w:t>
      </w:r>
      <w:r>
        <w:rPr>
          <w:spacing w:val="-2"/>
        </w:rPr>
        <w:t>年</w:t>
      </w:r>
      <w:r>
        <w:rPr>
          <w:rFonts w:ascii="宋体" w:hAnsi="宋体" w:cs="宋体" w:eastAsia="宋体" w:hint="default"/>
          <w:spacing w:val="-2"/>
        </w:rPr>
        <w:t>11</w:t>
      </w:r>
      <w:r>
        <w:rPr>
          <w:spacing w:val="-2"/>
        </w:rPr>
        <w:t>月，任天津北方海事企业有限公司部门</w:t>
      </w:r>
      <w:r>
        <w:rPr>
          <w:spacing w:val="-58"/>
        </w:rPr>
        <w:t> </w:t>
      </w:r>
      <w:r>
        <w:rPr>
          <w:spacing w:val="-58"/>
        </w:rPr>
      </w:r>
      <w:r>
        <w:rPr/>
        <w:t>经理；</w:t>
      </w:r>
      <w:r>
        <w:rPr>
          <w:rFonts w:ascii="宋体" w:hAnsi="宋体" w:cs="宋体" w:eastAsia="宋体" w:hint="default"/>
        </w:rPr>
        <w:t>1998</w:t>
      </w:r>
      <w:r>
        <w:rPr/>
        <w:t>年</w:t>
      </w:r>
      <w:r>
        <w:rPr>
          <w:rFonts w:ascii="宋体" w:hAnsi="宋体" w:cs="宋体" w:eastAsia="宋体" w:hint="default"/>
        </w:rPr>
        <w:t>11</w:t>
      </w:r>
      <w:r>
        <w:rPr/>
        <w:t>月至</w:t>
      </w:r>
      <w:r>
        <w:rPr>
          <w:rFonts w:ascii="宋体" w:hAnsi="宋体" w:cs="宋体" w:eastAsia="宋体" w:hint="default"/>
        </w:rPr>
        <w:t>2004</w:t>
      </w:r>
      <w:r>
        <w:rPr/>
        <w:t>年</w:t>
      </w:r>
      <w:r>
        <w:rPr>
          <w:rFonts w:ascii="宋体" w:hAnsi="宋体" w:cs="宋体" w:eastAsia="宋体" w:hint="default"/>
        </w:rPr>
        <w:t>11</w:t>
      </w:r>
      <w:r>
        <w:rPr/>
        <w:t>月，任天津智舟信息技术有限公司总经理；</w:t>
      </w:r>
      <w:r>
        <w:rPr>
          <w:rFonts w:ascii="宋体" w:hAnsi="宋体" w:cs="宋体" w:eastAsia="宋体" w:hint="default"/>
        </w:rPr>
        <w:t>2004</w:t>
      </w:r>
      <w:r>
        <w:rPr/>
        <w:t>年</w:t>
      </w:r>
      <w:r>
        <w:rPr>
          <w:rFonts w:ascii="宋体" w:hAnsi="宋体" w:cs="宋体" w:eastAsia="宋体" w:hint="default"/>
        </w:rPr>
        <w:t>11</w:t>
      </w:r>
      <w:r>
        <w:rPr/>
        <w:t>月至</w:t>
      </w:r>
      <w:r>
        <w:rPr>
          <w:rFonts w:ascii="宋体" w:hAnsi="宋体" w:cs="宋体" w:eastAsia="宋体" w:hint="default"/>
        </w:rPr>
        <w:t>2006</w:t>
      </w:r>
      <w:r>
        <w:rPr/>
        <w:t>年</w:t>
      </w:r>
      <w:r>
        <w:rPr>
          <w:rFonts w:ascii="宋体" w:hAnsi="宋体" w:cs="宋体" w:eastAsia="宋体" w:hint="default"/>
        </w:rPr>
        <w:t>11</w:t>
      </w:r>
      <w:r>
        <w:rPr/>
        <w:t>月，</w:t>
      </w:r>
      <w:r>
        <w:rPr>
          <w:w w:val="100"/>
        </w:rPr>
        <w:t> </w:t>
      </w:r>
      <w:r>
        <w:rPr/>
        <w:t>任天津慧成软件开发有限公司总经理；</w:t>
      </w:r>
      <w:r>
        <w:rPr>
          <w:rFonts w:ascii="宋体" w:hAnsi="宋体" w:cs="宋体" w:eastAsia="宋体" w:hint="default"/>
        </w:rPr>
        <w:t>2006</w:t>
      </w:r>
      <w:r>
        <w:rPr/>
        <w:t>年</w:t>
      </w:r>
      <w:r>
        <w:rPr>
          <w:rFonts w:ascii="宋体" w:hAnsi="宋体" w:cs="宋体" w:eastAsia="宋体" w:hint="default"/>
        </w:rPr>
        <w:t>11</w:t>
      </w:r>
      <w:r>
        <w:rPr/>
        <w:t>月至</w:t>
      </w:r>
      <w:r>
        <w:rPr>
          <w:rFonts w:ascii="宋体" w:hAnsi="宋体" w:cs="宋体" w:eastAsia="宋体" w:hint="default"/>
        </w:rPr>
        <w:t>2015</w:t>
      </w:r>
      <w:r>
        <w:rPr/>
        <w:t>年</w:t>
      </w:r>
      <w:r>
        <w:rPr>
          <w:rFonts w:ascii="宋体" w:hAnsi="宋体" w:cs="宋体" w:eastAsia="宋体" w:hint="default"/>
        </w:rPr>
        <w:t>8</w:t>
      </w:r>
      <w:r>
        <w:rPr/>
        <w:t>月，历任中远船务工程集团有限公司信</w:t>
      </w:r>
      <w:r>
        <w:rPr>
          <w:spacing w:val="-48"/>
        </w:rPr>
        <w:t> </w:t>
      </w:r>
      <w:r>
        <w:rPr>
          <w:spacing w:val="-48"/>
        </w:rPr>
      </w:r>
      <w:r>
        <w:rPr>
          <w:spacing w:val="-7"/>
        </w:rPr>
        <w:t>息技术部项目经理、副经理、总经理，信息中心总经理；</w:t>
      </w:r>
      <w:r>
        <w:rPr>
          <w:rFonts w:ascii="宋体" w:hAnsi="宋体" w:cs="宋体" w:eastAsia="宋体" w:hint="default"/>
          <w:spacing w:val="-7"/>
        </w:rPr>
        <w:t>2015</w:t>
      </w:r>
      <w:r>
        <w:rPr>
          <w:spacing w:val="-7"/>
        </w:rPr>
        <w:t>年</w:t>
      </w:r>
      <w:r>
        <w:rPr>
          <w:rFonts w:ascii="宋体" w:hAnsi="宋体" w:cs="宋体" w:eastAsia="宋体" w:hint="default"/>
          <w:spacing w:val="-7"/>
        </w:rPr>
        <w:t>8</w:t>
      </w:r>
      <w:r>
        <w:rPr>
          <w:spacing w:val="-7"/>
        </w:rPr>
        <w:t>月至</w:t>
      </w:r>
      <w:r>
        <w:rPr>
          <w:rFonts w:ascii="宋体" w:hAnsi="宋体" w:cs="宋体" w:eastAsia="宋体" w:hint="default"/>
          <w:spacing w:val="-7"/>
        </w:rPr>
        <w:t>2016</w:t>
      </w:r>
      <w:r>
        <w:rPr>
          <w:spacing w:val="-7"/>
        </w:rPr>
        <w:t>年</w:t>
      </w:r>
      <w:r>
        <w:rPr>
          <w:rFonts w:ascii="宋体" w:hAnsi="宋体" w:cs="宋体" w:eastAsia="宋体" w:hint="default"/>
          <w:spacing w:val="-7"/>
        </w:rPr>
        <w:t>2</w:t>
      </w:r>
      <w:r>
        <w:rPr>
          <w:spacing w:val="-7"/>
        </w:rPr>
        <w:t>月，任中国远洋运输（集</w:t>
      </w:r>
      <w:r>
        <w:rPr>
          <w:spacing w:val="-32"/>
        </w:rPr>
        <w:t> </w:t>
      </w:r>
      <w:r>
        <w:rPr>
          <w:spacing w:val="-32"/>
        </w:rPr>
      </w:r>
      <w:r>
        <w:rPr/>
        <w:t>团）公司信息化管理部副总经理；</w:t>
      </w:r>
      <w:r>
        <w:rPr>
          <w:rFonts w:ascii="宋体" w:hAnsi="宋体" w:cs="宋体" w:eastAsia="宋体" w:hint="default"/>
        </w:rPr>
        <w:t>2016</w:t>
      </w:r>
      <w:r>
        <w:rPr/>
        <w:t>年</w:t>
      </w:r>
      <w:r>
        <w:rPr>
          <w:rFonts w:ascii="宋体" w:hAnsi="宋体" w:cs="宋体" w:eastAsia="宋体" w:hint="default"/>
        </w:rPr>
        <w:t>2</w:t>
      </w:r>
      <w:r>
        <w:rPr/>
        <w:t>月至</w:t>
      </w:r>
      <w:r>
        <w:rPr>
          <w:rFonts w:ascii="宋体" w:hAnsi="宋体" w:cs="宋体" w:eastAsia="宋体" w:hint="default"/>
        </w:rPr>
        <w:t>2019</w:t>
      </w:r>
      <w:r>
        <w:rPr/>
        <w:t>年</w:t>
      </w:r>
      <w:r>
        <w:rPr>
          <w:rFonts w:ascii="宋体" w:hAnsi="宋体" w:cs="宋体" w:eastAsia="宋体" w:hint="default"/>
        </w:rPr>
        <w:t>8</w:t>
      </w:r>
      <w:r>
        <w:rPr/>
        <w:t>月，任中国远洋海运集团有限公司科技和信息</w:t>
      </w:r>
      <w:r>
        <w:rPr>
          <w:w w:val="100"/>
        </w:rPr>
        <w:t> </w:t>
      </w:r>
      <w:r>
        <w:rPr/>
        <w:t>化管理本部副总经理。</w:t>
      </w:r>
      <w:r>
        <w:rPr>
          <w:rFonts w:ascii="宋体" w:hAnsi="宋体" w:cs="宋体" w:eastAsia="宋体" w:hint="default"/>
        </w:rPr>
        <w:t> </w:t>
      </w:r>
    </w:p>
    <w:p>
      <w:pPr>
        <w:pStyle w:val="BodyText"/>
        <w:spacing w:line="259" w:lineRule="auto" w:before="6"/>
        <w:ind w:right="1088" w:firstLine="439"/>
        <w:jc w:val="both"/>
        <w:rPr>
          <w:rFonts w:ascii="宋体" w:hAnsi="宋体" w:cs="宋体" w:eastAsia="宋体" w:hint="default"/>
        </w:rPr>
      </w:pPr>
      <w:r>
        <w:rPr>
          <w:rFonts w:ascii="宋体" w:hAnsi="宋体" w:cs="宋体" w:eastAsia="宋体" w:hint="default"/>
        </w:rPr>
        <w:t>7</w:t>
      </w:r>
      <w:r>
        <w:rPr/>
        <w:t>、钱志昂先生，中国国籍，无境外居留权，</w:t>
      </w:r>
      <w:r>
        <w:rPr>
          <w:rFonts w:ascii="宋体" w:hAnsi="宋体" w:cs="宋体" w:eastAsia="宋体" w:hint="default"/>
        </w:rPr>
        <w:t>1966</w:t>
      </w:r>
      <w:r>
        <w:rPr/>
        <w:t>年生，在职研究生学历，注册会计师。现任立</w:t>
      </w:r>
      <w:r>
        <w:rPr>
          <w:w w:val="100"/>
        </w:rPr>
        <w:t> </w:t>
      </w:r>
      <w:r>
        <w:rPr>
          <w:spacing w:val="-2"/>
        </w:rPr>
        <w:t>信会计师事务所董事、高级合伙人，中远海运科技股份有限公司独立董事，上海华东电脑股份有限公</w:t>
      </w:r>
      <w:r>
        <w:rPr>
          <w:spacing w:val="-66"/>
        </w:rPr>
        <w:t> </w:t>
      </w:r>
      <w:r>
        <w:rPr>
          <w:spacing w:val="-66"/>
        </w:rPr>
      </w:r>
      <w:r>
        <w:rPr>
          <w:spacing w:val="-1"/>
        </w:rPr>
        <w:t>司独立董事，山东丽鹏股份有限公司独立董事。</w:t>
      </w:r>
      <w:r>
        <w:rPr>
          <w:rFonts w:ascii="宋体" w:hAnsi="宋体" w:cs="宋体" w:eastAsia="宋体" w:hint="default"/>
          <w:spacing w:val="-1"/>
        </w:rPr>
        <w:t>1988</w:t>
      </w:r>
      <w:r>
        <w:rPr>
          <w:spacing w:val="-1"/>
        </w:rPr>
        <w:t>年至</w:t>
      </w:r>
      <w:r>
        <w:rPr>
          <w:rFonts w:ascii="宋体" w:hAnsi="宋体" w:cs="宋体" w:eastAsia="宋体" w:hint="default"/>
          <w:spacing w:val="-1"/>
        </w:rPr>
        <w:t>2000</w:t>
      </w:r>
      <w:r>
        <w:rPr>
          <w:spacing w:val="-1"/>
        </w:rPr>
        <w:t>年，历任上海会计师事务所项目经理，</w:t>
      </w:r>
      <w:r>
        <w:rPr>
          <w:spacing w:val="-68"/>
        </w:rPr>
        <w:t> </w:t>
      </w:r>
      <w:r>
        <w:rPr>
          <w:spacing w:val="-68"/>
        </w:rPr>
      </w:r>
      <w:r>
        <w:rPr/>
        <w:t>部门经理，副主任会计师。</w:t>
      </w:r>
      <w:r>
        <w:rPr>
          <w:rFonts w:ascii="宋体" w:hAnsi="宋体" w:cs="宋体" w:eastAsia="宋体" w:hint="default"/>
        </w:rPr>
        <w:t>2000</w:t>
      </w:r>
      <w:r>
        <w:rPr/>
        <w:t>年起，就职于立信会计师事务所。</w:t>
      </w:r>
      <w:r>
        <w:rPr>
          <w:rFonts w:ascii="宋体" w:hAnsi="宋体" w:cs="宋体" w:eastAsia="宋体" w:hint="default"/>
        </w:rPr>
        <w:t> </w:t>
      </w:r>
    </w:p>
    <w:p>
      <w:pPr>
        <w:pStyle w:val="BodyText"/>
        <w:spacing w:line="259" w:lineRule="auto" w:before="6"/>
        <w:ind w:right="1126" w:firstLine="439"/>
        <w:jc w:val="both"/>
        <w:rPr>
          <w:rFonts w:ascii="宋体" w:hAnsi="宋体" w:cs="宋体" w:eastAsia="宋体" w:hint="default"/>
        </w:rPr>
      </w:pPr>
      <w:r>
        <w:rPr>
          <w:rFonts w:ascii="宋体" w:hAnsi="宋体" w:cs="宋体" w:eastAsia="宋体" w:hint="default"/>
        </w:rPr>
        <w:t>8</w:t>
      </w:r>
      <w:r>
        <w:rPr/>
        <w:t>、王清华女士，中国国籍，无境外居留权，</w:t>
      </w:r>
      <w:r>
        <w:rPr>
          <w:rFonts w:ascii="宋体" w:hAnsi="宋体" w:cs="宋体" w:eastAsia="宋体" w:hint="default"/>
        </w:rPr>
        <w:t>1974</w:t>
      </w:r>
      <w:r>
        <w:rPr/>
        <w:t>年生，博士研究生学历。现任上海市锦天城律</w:t>
      </w:r>
      <w:r>
        <w:rPr>
          <w:w w:val="100"/>
        </w:rPr>
        <w:t> </w:t>
      </w:r>
      <w:r>
        <w:rPr>
          <w:spacing w:val="-2"/>
        </w:rPr>
        <w:t>师事务所高级合伙人，中远海运科技股份有限公司独立董事。自</w:t>
      </w:r>
      <w:r>
        <w:rPr>
          <w:rFonts w:ascii="宋体" w:hAnsi="宋体" w:cs="宋体" w:eastAsia="宋体" w:hint="default"/>
          <w:spacing w:val="-2"/>
        </w:rPr>
        <w:t>1997</w:t>
      </w:r>
      <w:r>
        <w:rPr>
          <w:spacing w:val="-2"/>
        </w:rPr>
        <w:t>年起从事律师工作，</w:t>
      </w:r>
      <w:r>
        <w:rPr>
          <w:rFonts w:ascii="宋体" w:hAnsi="宋体" w:cs="宋体" w:eastAsia="宋体" w:hint="default"/>
          <w:spacing w:val="-2"/>
        </w:rPr>
        <w:t>1998</w:t>
      </w:r>
      <w:r>
        <w:rPr>
          <w:spacing w:val="-2"/>
        </w:rPr>
        <w:t>年获得</w:t>
      </w:r>
      <w:r>
        <w:rPr>
          <w:spacing w:val="-57"/>
        </w:rPr>
        <w:t> </w:t>
      </w:r>
      <w:r>
        <w:rPr/>
        <w:t>律师执业（专职）证，</w:t>
      </w:r>
      <w:r>
        <w:rPr>
          <w:rFonts w:ascii="宋体" w:hAnsi="宋体" w:cs="宋体" w:eastAsia="宋体" w:hint="default"/>
        </w:rPr>
        <w:t>2001</w:t>
      </w:r>
      <w:r>
        <w:rPr/>
        <w:t>年起就职于上海市锦天城律师事务所。</w:t>
      </w:r>
      <w:r>
        <w:rPr>
          <w:rFonts w:ascii="宋体" w:hAnsi="宋体" w:cs="宋体" w:eastAsia="宋体" w:hint="default"/>
        </w:rPr>
        <w:t> </w:t>
      </w:r>
    </w:p>
    <w:p>
      <w:pPr>
        <w:pStyle w:val="BodyText"/>
        <w:spacing w:line="259" w:lineRule="auto" w:before="6"/>
        <w:ind w:right="1128" w:firstLine="439"/>
        <w:jc w:val="both"/>
        <w:rPr>
          <w:rFonts w:ascii="宋体" w:hAnsi="宋体" w:cs="宋体" w:eastAsia="宋体" w:hint="default"/>
        </w:rPr>
      </w:pPr>
      <w:r>
        <w:rPr>
          <w:rFonts w:ascii="宋体" w:hAnsi="宋体" w:cs="宋体" w:eastAsia="宋体" w:hint="default"/>
        </w:rPr>
        <w:t>9</w:t>
      </w:r>
      <w:r>
        <w:rPr/>
        <w:t>、杨珉先生，中国国籍，无境外居留权，</w:t>
      </w:r>
      <w:r>
        <w:rPr>
          <w:rFonts w:ascii="宋体" w:hAnsi="宋体" w:cs="宋体" w:eastAsia="宋体" w:hint="default"/>
        </w:rPr>
        <w:t>1979</w:t>
      </w:r>
      <w:r>
        <w:rPr/>
        <w:t>年生，中共党员，博士研究生学历。现任复旦大</w:t>
      </w:r>
      <w:r>
        <w:rPr>
          <w:w w:val="100"/>
        </w:rPr>
        <w:t> </w:t>
      </w:r>
      <w:r>
        <w:rPr/>
        <w:t>学计算机科学技术学院教授、博士生导师，国家</w:t>
      </w:r>
      <w:r>
        <w:rPr>
          <w:rFonts w:ascii="宋体" w:hAnsi="宋体" w:cs="宋体" w:eastAsia="宋体" w:hint="default"/>
        </w:rPr>
        <w:t>973</w:t>
      </w:r>
      <w:r>
        <w:rPr/>
        <w:t>首席科学家，中远海运科技股份有限公司独立董</w:t>
      </w:r>
      <w:r>
        <w:rPr>
          <w:spacing w:val="-45"/>
        </w:rPr>
        <w:t> </w:t>
      </w:r>
      <w:r>
        <w:rPr>
          <w:spacing w:val="-45"/>
        </w:rPr>
      </w:r>
      <w:r>
        <w:rPr>
          <w:spacing w:val="-2"/>
        </w:rPr>
        <w:t>事。</w:t>
      </w:r>
      <w:r>
        <w:rPr>
          <w:rFonts w:ascii="宋体" w:hAnsi="宋体" w:cs="宋体" w:eastAsia="宋体" w:hint="default"/>
          <w:spacing w:val="-2"/>
        </w:rPr>
        <w:t>2007</w:t>
      </w:r>
      <w:r>
        <w:rPr>
          <w:spacing w:val="-2"/>
        </w:rPr>
        <w:t>年起任复旦大学计算机科学技术学院讲师、副教授、博士生导师；</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月至今，任复旦</w:t>
      </w:r>
      <w:r>
        <w:rPr>
          <w:spacing w:val="-62"/>
        </w:rPr>
        <w:t> </w:t>
      </w:r>
      <w:r>
        <w:rPr>
          <w:spacing w:val="-62"/>
        </w:rPr>
      </w:r>
      <w:r>
        <w:rPr/>
        <w:t>大学计算机科学技术学院教授、博士生导师，研究领域为计算机系统软件与安全。</w:t>
      </w:r>
      <w:r>
        <w:rPr>
          <w:rFonts w:ascii="宋体" w:hAnsi="宋体" w:cs="宋体" w:eastAsia="宋体" w:hint="default"/>
        </w:rPr>
        <w:t> </w:t>
      </w:r>
    </w:p>
    <w:p>
      <w:pPr>
        <w:pStyle w:val="BodyText"/>
        <w:spacing w:line="259" w:lineRule="auto" w:before="6"/>
        <w:ind w:left="592" w:right="1133"/>
        <w:jc w:val="left"/>
      </w:pPr>
      <w:r>
        <w:rPr/>
        <w:t>（二）监事会成员</w:t>
      </w:r>
      <w:r>
        <w:rPr>
          <w:rFonts w:ascii="宋体" w:hAnsi="宋体" w:cs="宋体" w:eastAsia="宋体" w:hint="default"/>
          <w:w w:val="100"/>
        </w:rPr>
        <w:t> </w:t>
      </w:r>
      <w:r>
        <w:rPr>
          <w:rFonts w:ascii="宋体" w:hAnsi="宋体" w:cs="宋体" w:eastAsia="宋体" w:hint="default"/>
        </w:rPr>
        <w:t>1</w:t>
      </w:r>
      <w:r>
        <w:rPr/>
        <w:t>、叶红军先生，中国国籍，无境外居留权，</w:t>
      </w:r>
      <w:r>
        <w:rPr>
          <w:rFonts w:ascii="宋体" w:hAnsi="宋体" w:cs="宋体" w:eastAsia="宋体" w:hint="default"/>
        </w:rPr>
        <w:t>1963</w:t>
      </w:r>
      <w:r>
        <w:rPr/>
        <w:t>年生，中共党员，硕士学位，高级经济师。现</w:t>
      </w:r>
    </w:p>
    <w:p>
      <w:pPr>
        <w:pStyle w:val="BodyText"/>
        <w:spacing w:line="259" w:lineRule="auto" w:before="6"/>
        <w:ind w:left="0" w:right="1019"/>
        <w:jc w:val="right"/>
      </w:pPr>
      <w:r>
        <w:rPr>
          <w:spacing w:val="-2"/>
        </w:rPr>
        <w:t>任中国远洋海运集团有限公司总法律顾问、法务与风险管理本部总经理，中远海运科技股份有限公司</w:t>
      </w:r>
      <w:r>
        <w:rPr>
          <w:w w:val="100"/>
        </w:rPr>
        <w:t> </w:t>
      </w:r>
      <w:r>
        <w:rPr/>
        <w:t>监事会主席，中远海运发展股份有限公司监事会主席。</w:t>
      </w:r>
      <w:r>
        <w:rPr>
          <w:rFonts w:ascii="宋体" w:hAnsi="宋体" w:cs="宋体" w:eastAsia="宋体" w:hint="default"/>
        </w:rPr>
        <w:t>1989</w:t>
      </w:r>
      <w:r>
        <w:rPr/>
        <w:t>年</w:t>
      </w:r>
      <w:r>
        <w:rPr>
          <w:rFonts w:ascii="宋体" w:hAnsi="宋体" w:cs="宋体" w:eastAsia="宋体" w:hint="default"/>
        </w:rPr>
        <w:t>12</w:t>
      </w:r>
      <w:r>
        <w:rPr/>
        <w:t>月至</w:t>
      </w:r>
      <w:r>
        <w:rPr>
          <w:rFonts w:ascii="宋体" w:hAnsi="宋体" w:cs="宋体" w:eastAsia="宋体" w:hint="default"/>
        </w:rPr>
        <w:t>2012</w:t>
      </w:r>
      <w:r>
        <w:rPr/>
        <w:t>年</w:t>
      </w:r>
      <w:r>
        <w:rPr>
          <w:rFonts w:ascii="宋体" w:hAnsi="宋体" w:cs="宋体" w:eastAsia="宋体" w:hint="default"/>
        </w:rPr>
        <w:t>4</w:t>
      </w:r>
      <w:r>
        <w:rPr/>
        <w:t>月，历任交通部政策法</w:t>
      </w:r>
      <w:r>
        <w:rPr>
          <w:w w:val="100"/>
        </w:rPr>
        <w:t> </w:t>
      </w:r>
      <w:r>
        <w:rPr>
          <w:spacing w:val="-2"/>
        </w:rPr>
        <w:t>规司副主任科员，体法司法律处主任科员、副处长，水运管理司价格规章处副处长、处长，法规处处</w:t>
      </w:r>
      <w:r>
        <w:rPr>
          <w:w w:val="100"/>
        </w:rPr>
        <w:t> </w:t>
      </w:r>
      <w:r>
        <w:rPr/>
        <w:t>长，水运局国内航运管理处处长；期间：</w:t>
      </w:r>
      <w:r>
        <w:rPr>
          <w:rFonts w:ascii="宋体" w:hAnsi="宋体" w:cs="宋体" w:eastAsia="宋体" w:hint="default"/>
        </w:rPr>
        <w:t>2006</w:t>
      </w:r>
      <w:r>
        <w:rPr/>
        <w:t>年</w:t>
      </w:r>
      <w:r>
        <w:rPr>
          <w:rFonts w:ascii="宋体" w:hAnsi="宋体" w:cs="宋体" w:eastAsia="宋体" w:hint="default"/>
        </w:rPr>
        <w:t>11</w:t>
      </w:r>
      <w:r>
        <w:rPr/>
        <w:t>月至</w:t>
      </w:r>
      <w:r>
        <w:rPr>
          <w:rFonts w:ascii="宋体" w:hAnsi="宋体" w:cs="宋体" w:eastAsia="宋体" w:hint="default"/>
        </w:rPr>
        <w:t>2009</w:t>
      </w:r>
      <w:r>
        <w:rPr/>
        <w:t>年</w:t>
      </w:r>
      <w:r>
        <w:rPr>
          <w:rFonts w:ascii="宋体" w:hAnsi="宋体" w:cs="宋体" w:eastAsia="宋体" w:hint="default"/>
        </w:rPr>
        <w:t>6</w:t>
      </w:r>
      <w:r>
        <w:rPr/>
        <w:t>月，挂职任交通部海事局局长助理；</w:t>
      </w:r>
      <w:r>
        <w:rPr>
          <w:w w:val="100"/>
        </w:rPr>
        <w:t> </w:t>
      </w:r>
      <w:r>
        <w:rPr>
          <w:rFonts w:ascii="宋体" w:hAnsi="宋体" w:cs="宋体" w:eastAsia="宋体" w:hint="default"/>
          <w:spacing w:val="-2"/>
        </w:rPr>
        <w:t>2012</w:t>
      </w:r>
      <w:r>
        <w:rPr>
          <w:spacing w:val="-2"/>
        </w:rPr>
        <w:t>年</w:t>
      </w:r>
      <w:r>
        <w:rPr>
          <w:rFonts w:ascii="宋体" w:hAnsi="宋体" w:cs="宋体" w:eastAsia="宋体" w:hint="default"/>
          <w:spacing w:val="-2"/>
        </w:rPr>
        <w:t>2</w:t>
      </w:r>
      <w:r>
        <w:rPr>
          <w:spacing w:val="-2"/>
        </w:rPr>
        <w:t>月至</w:t>
      </w:r>
      <w:r>
        <w:rPr>
          <w:rFonts w:ascii="宋体" w:hAnsi="宋体" w:cs="宋体" w:eastAsia="宋体" w:hint="default"/>
          <w:spacing w:val="-2"/>
        </w:rPr>
        <w:t>2020</w:t>
      </w:r>
      <w:r>
        <w:rPr>
          <w:spacing w:val="-2"/>
        </w:rPr>
        <w:t>年</w:t>
      </w:r>
      <w:r>
        <w:rPr>
          <w:rFonts w:ascii="宋体" w:hAnsi="宋体" w:cs="宋体" w:eastAsia="宋体" w:hint="default"/>
          <w:spacing w:val="-2"/>
        </w:rPr>
        <w:t>1</w:t>
      </w:r>
      <w:r>
        <w:rPr>
          <w:spacing w:val="-2"/>
        </w:rPr>
        <w:t>月，历任中国海运（集团）总公司总法律顾问，中国远洋海运集团有限公司总法</w:t>
      </w:r>
      <w:r>
        <w:rPr>
          <w:w w:val="100"/>
        </w:rPr>
        <w:t> </w:t>
      </w:r>
      <w:r>
        <w:rPr>
          <w:spacing w:val="-1"/>
        </w:rPr>
        <w:t>律顾问；</w:t>
      </w:r>
      <w:r>
        <w:rPr>
          <w:rFonts w:ascii="宋体" w:hAnsi="宋体" w:cs="宋体" w:eastAsia="宋体" w:hint="default"/>
          <w:spacing w:val="-1"/>
        </w:rPr>
        <w:t>2020</w:t>
      </w:r>
      <w:r>
        <w:rPr>
          <w:spacing w:val="-1"/>
        </w:rPr>
        <w:t>年</w:t>
      </w:r>
      <w:r>
        <w:rPr>
          <w:rFonts w:ascii="宋体" w:hAnsi="宋体" w:cs="宋体" w:eastAsia="宋体" w:hint="default"/>
          <w:spacing w:val="-1"/>
        </w:rPr>
        <w:t>1</w:t>
      </w:r>
      <w:r>
        <w:rPr>
          <w:spacing w:val="-1"/>
        </w:rPr>
        <w:t>月至今，任中国远洋海运集团有限公司总法律顾问，法务与风险管理本部总经理。</w:t>
      </w:r>
      <w:r>
        <w:rPr>
          <w:rFonts w:ascii="宋体" w:hAnsi="宋体" w:cs="宋体" w:eastAsia="宋体" w:hint="default"/>
          <w:w w:val="100"/>
        </w:rPr>
        <w:t> </w:t>
      </w:r>
      <w:r>
        <w:rPr>
          <w:rFonts w:ascii="宋体" w:hAnsi="宋体" w:cs="宋体" w:eastAsia="宋体" w:hint="default"/>
        </w:rPr>
        <w:t>2</w:t>
      </w:r>
      <w:r>
        <w:rPr/>
        <w:t>、郝文义先生，中国国籍，无境外居留权，</w:t>
      </w:r>
      <w:r>
        <w:rPr>
          <w:rFonts w:ascii="宋体" w:hAnsi="宋体" w:cs="宋体" w:eastAsia="宋体" w:hint="default"/>
        </w:rPr>
        <w:t>1962</w:t>
      </w:r>
      <w:r>
        <w:rPr/>
        <w:t>年生，中共党员，硕士研究生学历，高级政工</w:t>
      </w:r>
      <w:r>
        <w:rPr>
          <w:w w:val="100"/>
        </w:rPr>
        <w:t> </w:t>
      </w:r>
      <w:r>
        <w:rPr>
          <w:spacing w:val="-2"/>
        </w:rPr>
        <w:t>师。现任中国远洋海运集团有限公司纪检监察组副组长，中远海运科技股份有限公司监事，中远海运</w:t>
      </w:r>
      <w:r>
        <w:rPr>
          <w:w w:val="100"/>
        </w:rPr>
        <w:t> </w:t>
      </w:r>
      <w:r>
        <w:rPr>
          <w:spacing w:val="-7"/>
          <w:w w:val="100"/>
        </w:rPr>
        <w:t>控股股份有限公司监事，中远海运发展股份有限公司监事，中远海运特种运输股份有限公司监事。</w:t>
      </w:r>
      <w:r>
        <w:rPr>
          <w:rFonts w:ascii="宋体" w:hAnsi="宋体" w:cs="宋体" w:eastAsia="宋体" w:hint="default"/>
          <w:spacing w:val="-7"/>
          <w:w w:val="100"/>
        </w:rPr>
        <w:t>1996</w:t>
      </w:r>
      <w:r>
        <w:rPr>
          <w:rFonts w:ascii="宋体" w:hAnsi="宋体" w:cs="宋体" w:eastAsia="宋体" w:hint="default"/>
          <w:spacing w:val="-3"/>
          <w:w w:val="100"/>
        </w:rPr>
        <w:t> </w:t>
      </w:r>
      <w:r>
        <w:rPr>
          <w:spacing w:val="-2"/>
        </w:rPr>
        <w:t>年</w:t>
      </w:r>
      <w:r>
        <w:rPr>
          <w:rFonts w:ascii="宋体" w:hAnsi="宋体" w:cs="宋体" w:eastAsia="宋体" w:hint="default"/>
          <w:spacing w:val="-2"/>
        </w:rPr>
        <w:t>1</w:t>
      </w:r>
      <w:r>
        <w:rPr>
          <w:spacing w:val="-2"/>
        </w:rPr>
        <w:t>月至</w:t>
      </w:r>
      <w:r>
        <w:rPr>
          <w:rFonts w:ascii="宋体" w:hAnsi="宋体" w:cs="宋体" w:eastAsia="宋体" w:hint="default"/>
          <w:spacing w:val="-2"/>
        </w:rPr>
        <w:t>2013</w:t>
      </w:r>
      <w:r>
        <w:rPr>
          <w:spacing w:val="-2"/>
        </w:rPr>
        <w:t>年</w:t>
      </w:r>
      <w:r>
        <w:rPr>
          <w:rFonts w:ascii="宋体" w:hAnsi="宋体" w:cs="宋体" w:eastAsia="宋体" w:hint="default"/>
          <w:spacing w:val="-2"/>
        </w:rPr>
        <w:t>1</w:t>
      </w:r>
      <w:r>
        <w:rPr>
          <w:spacing w:val="-2"/>
        </w:rPr>
        <w:t>月，历任中央纪委监察部监察综合室干部、主任科员，部长办公室副主任，综合处副</w:t>
      </w:r>
      <w:r>
        <w:rPr>
          <w:w w:val="100"/>
        </w:rPr>
        <w:t> </w:t>
      </w:r>
      <w:r>
        <w:rPr>
          <w:spacing w:val="-2"/>
        </w:rPr>
        <w:t>处长、处长，办公室主任；</w:t>
      </w:r>
      <w:r>
        <w:rPr>
          <w:rFonts w:ascii="宋体" w:hAnsi="宋体" w:cs="宋体" w:eastAsia="宋体" w:hint="default"/>
          <w:spacing w:val="-2"/>
        </w:rPr>
        <w:t>2013</w:t>
      </w:r>
      <w:r>
        <w:rPr>
          <w:spacing w:val="-2"/>
        </w:rPr>
        <w:t>年</w:t>
      </w:r>
      <w:r>
        <w:rPr>
          <w:rFonts w:ascii="宋体" w:hAnsi="宋体" w:cs="宋体" w:eastAsia="宋体" w:hint="default"/>
          <w:spacing w:val="-2"/>
        </w:rPr>
        <w:t>1</w:t>
      </w:r>
      <w:r>
        <w:rPr>
          <w:spacing w:val="-2"/>
        </w:rPr>
        <w:t>月至</w:t>
      </w:r>
      <w:r>
        <w:rPr>
          <w:rFonts w:ascii="宋体" w:hAnsi="宋体" w:cs="宋体" w:eastAsia="宋体" w:hint="default"/>
          <w:spacing w:val="-2"/>
        </w:rPr>
        <w:t>2019</w:t>
      </w:r>
      <w:r>
        <w:rPr>
          <w:spacing w:val="-2"/>
        </w:rPr>
        <w:t>年</w:t>
      </w:r>
      <w:r>
        <w:rPr>
          <w:rFonts w:ascii="宋体" w:hAnsi="宋体" w:cs="宋体" w:eastAsia="宋体" w:hint="default"/>
          <w:spacing w:val="-2"/>
        </w:rPr>
        <w:t>11</w:t>
      </w:r>
      <w:r>
        <w:rPr>
          <w:spacing w:val="-2"/>
        </w:rPr>
        <w:t>月，任中国海运（集团）总公司党组纪检组副组长，</w:t>
      </w:r>
    </w:p>
    <w:p>
      <w:pPr>
        <w:pStyle w:val="BodyText"/>
        <w:spacing w:line="259" w:lineRule="auto" w:before="6"/>
        <w:ind w:right="1133"/>
        <w:jc w:val="left"/>
        <w:rPr>
          <w:rFonts w:ascii="宋体" w:hAnsi="宋体" w:cs="宋体" w:eastAsia="宋体" w:hint="default"/>
        </w:rPr>
      </w:pPr>
      <w:r>
        <w:rPr>
          <w:spacing w:val="-2"/>
        </w:rPr>
        <w:t>监察审计部</w:t>
      </w:r>
      <w:r>
        <w:rPr>
          <w:rFonts w:ascii="宋体" w:hAnsi="宋体" w:cs="宋体" w:eastAsia="宋体" w:hint="default"/>
          <w:spacing w:val="-2"/>
        </w:rPr>
        <w:t>/</w:t>
      </w:r>
      <w:r>
        <w:rPr>
          <w:spacing w:val="-2"/>
        </w:rPr>
        <w:t>纪检组工作部部长，党组巡视工作领导小组办公室主任，监察审计本部主任</w:t>
      </w:r>
      <w:r>
        <w:rPr>
          <w:rFonts w:ascii="宋体" w:hAnsi="宋体" w:cs="宋体" w:eastAsia="宋体" w:hint="default"/>
          <w:spacing w:val="-2"/>
        </w:rPr>
        <w:t>/</w:t>
      </w:r>
      <w:r>
        <w:rPr>
          <w:spacing w:val="-2"/>
        </w:rPr>
        <w:t>党组纪检组</w:t>
      </w:r>
      <w:r>
        <w:rPr>
          <w:spacing w:val="-67"/>
        </w:rPr>
        <w:t> </w:t>
      </w:r>
      <w:r>
        <w:rPr>
          <w:spacing w:val="-67"/>
        </w:rPr>
      </w:r>
      <w:r>
        <w:rPr/>
        <w:t>工作部部长；</w:t>
      </w:r>
      <w:r>
        <w:rPr>
          <w:rFonts w:ascii="宋体" w:hAnsi="宋体" w:cs="宋体" w:eastAsia="宋体" w:hint="default"/>
        </w:rPr>
        <w:t>2019</w:t>
      </w:r>
      <w:r>
        <w:rPr/>
        <w:t>年</w:t>
      </w:r>
      <w:r>
        <w:rPr>
          <w:rFonts w:ascii="宋体" w:hAnsi="宋体" w:cs="宋体" w:eastAsia="宋体" w:hint="default"/>
        </w:rPr>
        <w:t>11</w:t>
      </w:r>
      <w:r>
        <w:rPr/>
        <w:t>月至今，任中国远洋海运集团有限公司纪检监察组副组长。</w:t>
      </w:r>
      <w:r>
        <w:rPr>
          <w:rFonts w:ascii="宋体" w:hAnsi="宋体" w:cs="宋体" w:eastAsia="宋体" w:hint="default"/>
          <w:spacing w:val="-3"/>
        </w:rPr>
        <w:t> </w:t>
      </w:r>
      <w:r>
        <w:rPr>
          <w:rFonts w:ascii="宋体" w:hAnsi="宋体" w:cs="宋体" w:eastAsia="宋体" w:hint="default"/>
        </w:rPr>
        <w:t> </w:t>
      </w:r>
    </w:p>
    <w:p>
      <w:pPr>
        <w:pStyle w:val="BodyText"/>
        <w:spacing w:line="259" w:lineRule="auto" w:before="6"/>
        <w:ind w:right="1088" w:firstLine="439"/>
        <w:jc w:val="both"/>
      </w:pPr>
      <w:r>
        <w:rPr>
          <w:rFonts w:ascii="宋体" w:hAnsi="宋体" w:cs="宋体" w:eastAsia="宋体" w:hint="default"/>
        </w:rPr>
        <w:t>3</w:t>
      </w:r>
      <w:r>
        <w:rPr/>
        <w:t>、杨阳先生，中国国籍，无境外居留权，</w:t>
      </w:r>
      <w:r>
        <w:rPr>
          <w:rFonts w:ascii="宋体" w:hAnsi="宋体" w:cs="宋体" w:eastAsia="宋体" w:hint="default"/>
        </w:rPr>
        <w:t>1965</w:t>
      </w:r>
      <w:r>
        <w:rPr/>
        <w:t>年生，中共党员，博士研究生，研究员。现任中</w:t>
      </w:r>
      <w:r>
        <w:rPr>
          <w:w w:val="100"/>
        </w:rPr>
        <w:t> </w:t>
      </w:r>
      <w:r>
        <w:rPr>
          <w:spacing w:val="-1"/>
        </w:rPr>
        <w:t>远海运科技股份有限公司职工监事、总法律顾问，中海环境科技（上海）股份有限公司监事会主席，</w:t>
      </w:r>
      <w:r>
        <w:rPr>
          <w:spacing w:val="-72"/>
        </w:rPr>
        <w:t> </w:t>
      </w:r>
      <w:r>
        <w:rPr>
          <w:spacing w:val="-72"/>
        </w:rPr>
      </w:r>
      <w:r>
        <w:rPr>
          <w:spacing w:val="-2"/>
        </w:rPr>
        <w:t>上海交通设计所有限公司董事长，上海运昌商贸发展有限公司执行董事，中远海运古野通信导航科技</w:t>
      </w:r>
    </w:p>
    <w:p>
      <w:pPr>
        <w:spacing w:after="0" w:line="259" w:lineRule="auto"/>
        <w:jc w:val="both"/>
        <w:sectPr>
          <w:pgSz w:w="11910" w:h="16840"/>
          <w:pgMar w:header="745" w:footer="979" w:top="1060" w:bottom="1160" w:left="980" w:right="0"/>
        </w:sectPr>
      </w:pPr>
    </w:p>
    <w:p>
      <w:pPr>
        <w:spacing w:line="240" w:lineRule="auto" w:before="5"/>
        <w:rPr>
          <w:rFonts w:ascii="宋体" w:hAnsi="宋体" w:cs="宋体" w:eastAsia="宋体" w:hint="default"/>
          <w:sz w:val="24"/>
          <w:szCs w:val="24"/>
        </w:rPr>
      </w:pPr>
    </w:p>
    <w:p>
      <w:pPr>
        <w:pStyle w:val="BodyText"/>
        <w:spacing w:line="259" w:lineRule="auto" w:before="32"/>
        <w:ind w:right="1090"/>
        <w:jc w:val="both"/>
        <w:rPr>
          <w:rFonts w:ascii="宋体" w:hAnsi="宋体" w:cs="宋体" w:eastAsia="宋体" w:hint="default"/>
        </w:rPr>
      </w:pPr>
      <w:r>
        <w:rPr>
          <w:spacing w:val="-2"/>
        </w:rPr>
        <w:t>（上海）有限公司监事。</w:t>
      </w:r>
      <w:r>
        <w:rPr>
          <w:rFonts w:ascii="宋体" w:hAnsi="宋体" w:cs="宋体" w:eastAsia="宋体" w:hint="default"/>
          <w:spacing w:val="-2"/>
        </w:rPr>
        <w:t>1989</w:t>
      </w:r>
      <w:r>
        <w:rPr>
          <w:spacing w:val="-2"/>
        </w:rPr>
        <w:t>年</w:t>
      </w:r>
      <w:r>
        <w:rPr>
          <w:rFonts w:ascii="宋体" w:hAnsi="宋体" w:cs="宋体" w:eastAsia="宋体" w:hint="default"/>
          <w:spacing w:val="-2"/>
        </w:rPr>
        <w:t>7</w:t>
      </w:r>
      <w:r>
        <w:rPr>
          <w:spacing w:val="-2"/>
        </w:rPr>
        <w:t>月至</w:t>
      </w:r>
      <w:r>
        <w:rPr>
          <w:rFonts w:ascii="宋体" w:hAnsi="宋体" w:cs="宋体" w:eastAsia="宋体" w:hint="default"/>
          <w:spacing w:val="-2"/>
        </w:rPr>
        <w:t>1994</w:t>
      </w:r>
      <w:r>
        <w:rPr>
          <w:spacing w:val="-2"/>
        </w:rPr>
        <w:t>年</w:t>
      </w:r>
      <w:r>
        <w:rPr>
          <w:rFonts w:ascii="宋体" w:hAnsi="宋体" w:cs="宋体" w:eastAsia="宋体" w:hint="default"/>
          <w:spacing w:val="-2"/>
        </w:rPr>
        <w:t>9</w:t>
      </w:r>
      <w:r>
        <w:rPr>
          <w:spacing w:val="-2"/>
        </w:rPr>
        <w:t>月，任苏州大学中心实验室教师；</w:t>
      </w:r>
      <w:r>
        <w:rPr>
          <w:rFonts w:ascii="宋体" w:hAnsi="宋体" w:cs="宋体" w:eastAsia="宋体" w:hint="default"/>
          <w:spacing w:val="-2"/>
        </w:rPr>
        <w:t>1994</w:t>
      </w:r>
      <w:r>
        <w:rPr>
          <w:spacing w:val="-2"/>
        </w:rPr>
        <w:t>年</w:t>
      </w:r>
      <w:r>
        <w:rPr>
          <w:rFonts w:ascii="宋体" w:hAnsi="宋体" w:cs="宋体" w:eastAsia="宋体" w:hint="default"/>
          <w:spacing w:val="-2"/>
        </w:rPr>
        <w:t>9</w:t>
      </w:r>
      <w:r>
        <w:rPr>
          <w:spacing w:val="-2"/>
        </w:rPr>
        <w:t>月至</w:t>
      </w:r>
      <w:r>
        <w:rPr>
          <w:rFonts w:ascii="宋体" w:hAnsi="宋体" w:cs="宋体" w:eastAsia="宋体" w:hint="default"/>
          <w:spacing w:val="-2"/>
        </w:rPr>
        <w:t>1997</w:t>
      </w:r>
      <w:r>
        <w:rPr>
          <w:spacing w:val="-2"/>
        </w:rPr>
        <w:t>年</w:t>
      </w:r>
      <w:r>
        <w:rPr>
          <w:rFonts w:ascii="宋体" w:hAnsi="宋体" w:cs="宋体" w:eastAsia="宋体" w:hint="default"/>
          <w:spacing w:val="-2"/>
        </w:rPr>
        <w:t>7</w:t>
      </w:r>
      <w:r>
        <w:rPr>
          <w:rFonts w:ascii="宋体" w:hAnsi="宋体" w:cs="宋体" w:eastAsia="宋体" w:hint="default"/>
          <w:spacing w:val="-49"/>
        </w:rPr>
        <w:t> </w:t>
      </w:r>
      <w:r>
        <w:rPr>
          <w:spacing w:val="-2"/>
        </w:rPr>
        <w:t>月，在中科院上海硅酸盐研究所无机非金属材料专业攻读博士研究生；</w:t>
      </w:r>
      <w:r>
        <w:rPr>
          <w:rFonts w:ascii="宋体" w:hAnsi="宋体" w:cs="宋体" w:eastAsia="宋体" w:hint="default"/>
          <w:spacing w:val="-2"/>
        </w:rPr>
        <w:t>1997</w:t>
      </w:r>
      <w:r>
        <w:rPr>
          <w:spacing w:val="-2"/>
        </w:rPr>
        <w:t>年</w:t>
      </w:r>
      <w:r>
        <w:rPr>
          <w:rFonts w:ascii="宋体" w:hAnsi="宋体" w:cs="宋体" w:eastAsia="宋体" w:hint="default"/>
          <w:spacing w:val="-2"/>
        </w:rPr>
        <w:t>7</w:t>
      </w:r>
      <w:r>
        <w:rPr>
          <w:spacing w:val="-2"/>
        </w:rPr>
        <w:t>月至</w:t>
      </w:r>
      <w:r>
        <w:rPr>
          <w:rFonts w:ascii="宋体" w:hAnsi="宋体" w:cs="宋体" w:eastAsia="宋体" w:hint="default"/>
          <w:spacing w:val="-2"/>
        </w:rPr>
        <w:t>2005</w:t>
      </w:r>
      <w:r>
        <w:rPr>
          <w:spacing w:val="-2"/>
        </w:rPr>
        <w:t>年</w:t>
      </w:r>
      <w:r>
        <w:rPr>
          <w:rFonts w:ascii="宋体" w:hAnsi="宋体" w:cs="宋体" w:eastAsia="宋体" w:hint="default"/>
          <w:spacing w:val="-2"/>
        </w:rPr>
        <w:t>4</w:t>
      </w:r>
      <w:r>
        <w:rPr>
          <w:spacing w:val="-2"/>
        </w:rPr>
        <w:t>月，历任</w:t>
      </w:r>
      <w:r>
        <w:rPr>
          <w:spacing w:val="-56"/>
        </w:rPr>
        <w:t> </w:t>
      </w:r>
      <w:r>
        <w:rPr>
          <w:spacing w:val="-56"/>
        </w:rPr>
      </w:r>
      <w:r>
        <w:rPr>
          <w:spacing w:val="-1"/>
        </w:rPr>
        <w:t>上海船舶运输科学研究所助理研究员、副研究员，可编程控制器技术开发部主任，工控事业部主任，</w:t>
      </w:r>
      <w:r>
        <w:rPr>
          <w:spacing w:val="-73"/>
        </w:rPr>
        <w:t> </w:t>
      </w:r>
      <w:r>
        <w:rPr>
          <w:spacing w:val="-73"/>
        </w:rPr>
      </w:r>
      <w:r>
        <w:rPr>
          <w:spacing w:val="-2"/>
        </w:rPr>
        <w:t>研究发展处副处长兼研究部主任，研究发展处处长，计划经营处处长；</w:t>
      </w:r>
      <w:r>
        <w:rPr>
          <w:rFonts w:ascii="宋体" w:hAnsi="宋体" w:cs="宋体" w:eastAsia="宋体" w:hint="default"/>
          <w:spacing w:val="-2"/>
        </w:rPr>
        <w:t>2005</w:t>
      </w:r>
      <w:r>
        <w:rPr>
          <w:spacing w:val="-2"/>
        </w:rPr>
        <w:t>年</w:t>
      </w:r>
      <w:r>
        <w:rPr>
          <w:rFonts w:ascii="宋体" w:hAnsi="宋体" w:cs="宋体" w:eastAsia="宋体" w:hint="default"/>
          <w:spacing w:val="-2"/>
        </w:rPr>
        <w:t>4</w:t>
      </w:r>
      <w:r>
        <w:rPr>
          <w:spacing w:val="-2"/>
        </w:rPr>
        <w:t>月至</w:t>
      </w:r>
      <w:r>
        <w:rPr>
          <w:rFonts w:ascii="宋体" w:hAnsi="宋体" w:cs="宋体" w:eastAsia="宋体" w:hint="default"/>
          <w:spacing w:val="-2"/>
        </w:rPr>
        <w:t>2018</w:t>
      </w:r>
      <w:r>
        <w:rPr>
          <w:spacing w:val="-2"/>
        </w:rPr>
        <w:t>年</w:t>
      </w:r>
      <w:r>
        <w:rPr>
          <w:rFonts w:ascii="宋体" w:hAnsi="宋体" w:cs="宋体" w:eastAsia="宋体" w:hint="default"/>
          <w:spacing w:val="-2"/>
        </w:rPr>
        <w:t>2</w:t>
      </w:r>
      <w:r>
        <w:rPr>
          <w:spacing w:val="-2"/>
        </w:rPr>
        <w:t>月，历任</w:t>
      </w:r>
      <w:r>
        <w:rPr>
          <w:spacing w:val="-61"/>
        </w:rPr>
        <w:t> </w:t>
      </w:r>
      <w:r>
        <w:rPr>
          <w:spacing w:val="-61"/>
        </w:rPr>
      </w:r>
      <w:r>
        <w:rPr>
          <w:spacing w:val="-2"/>
        </w:rPr>
        <w:t>所长助理兼计划经营处处长、计划经营部常务副部长，所长助理兼民品分所所长、民品分所所长兼分</w:t>
      </w:r>
      <w:r>
        <w:rPr>
          <w:spacing w:val="-68"/>
        </w:rPr>
        <w:t> </w:t>
      </w:r>
      <w:r>
        <w:rPr>
          <w:spacing w:val="-68"/>
        </w:rPr>
      </w:r>
      <w:r>
        <w:rPr/>
        <w:t>所总工，所长助理兼计划经营部部长，所长助理兼办公室主任。</w:t>
      </w:r>
      <w:r>
        <w:rPr>
          <w:rFonts w:ascii="宋体" w:hAnsi="宋体" w:cs="宋体" w:eastAsia="宋体" w:hint="default"/>
        </w:rPr>
        <w:t>2018</w:t>
      </w:r>
      <w:r>
        <w:rPr/>
        <w:t>年</w:t>
      </w:r>
      <w:r>
        <w:rPr>
          <w:rFonts w:ascii="宋体" w:hAnsi="宋体" w:cs="宋体" w:eastAsia="宋体" w:hint="default"/>
        </w:rPr>
        <w:t>2</w:t>
      </w:r>
      <w:r>
        <w:rPr/>
        <w:t>月至今，任中远海运科技股</w:t>
      </w:r>
      <w:r>
        <w:rPr>
          <w:spacing w:val="-44"/>
        </w:rPr>
        <w:t> </w:t>
      </w:r>
      <w:r>
        <w:rPr>
          <w:spacing w:val="-44"/>
        </w:rPr>
      </w:r>
      <w:r>
        <w:rPr/>
        <w:t>份有限公司总法律顾问。</w:t>
      </w:r>
      <w:r>
        <w:rPr>
          <w:rFonts w:ascii="宋体" w:hAnsi="宋体" w:cs="宋体" w:eastAsia="宋体" w:hint="default"/>
        </w:rPr>
        <w:t> </w:t>
      </w:r>
    </w:p>
    <w:p>
      <w:pPr>
        <w:pStyle w:val="BodyText"/>
        <w:spacing w:line="259" w:lineRule="auto" w:before="6"/>
        <w:ind w:right="0" w:firstLine="439"/>
        <w:jc w:val="left"/>
        <w:rPr>
          <w:rFonts w:ascii="宋体" w:hAnsi="宋体" w:cs="宋体" w:eastAsia="宋体" w:hint="default"/>
        </w:rPr>
      </w:pPr>
      <w:r>
        <w:rPr>
          <w:rFonts w:ascii="宋体" w:hAnsi="宋体" w:cs="宋体" w:eastAsia="宋体" w:hint="default"/>
        </w:rPr>
        <w:t>4</w:t>
      </w:r>
      <w:r>
        <w:rPr/>
        <w:t>、陈建飞先生，中国国籍，无境外居留权，</w:t>
      </w:r>
      <w:r>
        <w:rPr>
          <w:rFonts w:ascii="宋体" w:hAnsi="宋体" w:cs="宋体" w:eastAsia="宋体" w:hint="default"/>
        </w:rPr>
        <w:t>1962</w:t>
      </w:r>
      <w:r>
        <w:rPr/>
        <w:t>年生，中共党员，大学本科学历，在职工程硕</w:t>
      </w:r>
      <w:r>
        <w:rPr>
          <w:w w:val="100"/>
        </w:rPr>
        <w:t> </w:t>
      </w:r>
      <w:r>
        <w:rPr>
          <w:spacing w:val="-2"/>
        </w:rPr>
        <w:t>士，高级工程师。现任中远海运科技股份有限公司职工监事、党委工作部部长。</w:t>
      </w:r>
      <w:r>
        <w:rPr>
          <w:rFonts w:ascii="宋体" w:hAnsi="宋体" w:cs="宋体" w:eastAsia="宋体" w:hint="default"/>
          <w:spacing w:val="-2"/>
        </w:rPr>
        <w:t>1985</w:t>
      </w:r>
      <w:r>
        <w:rPr>
          <w:spacing w:val="-2"/>
        </w:rPr>
        <w:t>年</w:t>
      </w:r>
      <w:r>
        <w:rPr>
          <w:rFonts w:ascii="宋体" w:hAnsi="宋体" w:cs="宋体" w:eastAsia="宋体" w:hint="default"/>
          <w:spacing w:val="-2"/>
        </w:rPr>
        <w:t>7</w:t>
      </w:r>
      <w:r>
        <w:rPr>
          <w:spacing w:val="-2"/>
        </w:rPr>
        <w:t>月至</w:t>
      </w:r>
      <w:r>
        <w:rPr>
          <w:rFonts w:ascii="宋体" w:hAnsi="宋体" w:cs="宋体" w:eastAsia="宋体" w:hint="default"/>
          <w:spacing w:val="-2"/>
        </w:rPr>
        <w:t>2001</w:t>
      </w:r>
      <w:r>
        <w:rPr>
          <w:spacing w:val="-2"/>
        </w:rPr>
        <w:t>年</w:t>
      </w:r>
      <w:r>
        <w:rPr>
          <w:rFonts w:ascii="宋体" w:hAnsi="宋体" w:cs="宋体" w:eastAsia="宋体" w:hint="default"/>
          <w:spacing w:val="-2"/>
        </w:rPr>
        <w:t>2</w:t>
      </w:r>
      <w:r>
        <w:rPr>
          <w:rFonts w:ascii="宋体" w:hAnsi="宋体" w:cs="宋体" w:eastAsia="宋体" w:hint="default"/>
          <w:spacing w:val="-59"/>
        </w:rPr>
        <w:t> </w:t>
      </w:r>
      <w:r>
        <w:rPr/>
        <w:t>月，历任上海船舶运输科学研究所工程师，高级工程师；</w:t>
      </w:r>
      <w:r>
        <w:rPr>
          <w:rFonts w:ascii="宋体" w:hAnsi="宋体" w:cs="宋体" w:eastAsia="宋体" w:hint="default"/>
        </w:rPr>
        <w:t>2001</w:t>
      </w:r>
      <w:r>
        <w:rPr/>
        <w:t>年</w:t>
      </w:r>
      <w:r>
        <w:rPr>
          <w:rFonts w:ascii="宋体" w:hAnsi="宋体" w:cs="宋体" w:eastAsia="宋体" w:hint="default"/>
        </w:rPr>
        <w:t>2</w:t>
      </w:r>
      <w:r>
        <w:rPr/>
        <w:t>月至</w:t>
      </w:r>
      <w:r>
        <w:rPr>
          <w:rFonts w:ascii="宋体" w:hAnsi="宋体" w:cs="宋体" w:eastAsia="宋体" w:hint="default"/>
        </w:rPr>
        <w:t>2012</w:t>
      </w:r>
      <w:r>
        <w:rPr/>
        <w:t>年</w:t>
      </w:r>
      <w:r>
        <w:rPr>
          <w:rFonts w:ascii="宋体" w:hAnsi="宋体" w:cs="宋体" w:eastAsia="宋体" w:hint="default"/>
        </w:rPr>
        <w:t>11</w:t>
      </w:r>
      <w:r>
        <w:rPr/>
        <w:t>月，历任上海交技发</w:t>
      </w:r>
      <w:r>
        <w:rPr>
          <w:spacing w:val="-45"/>
        </w:rPr>
        <w:t> </w:t>
      </w:r>
      <w:r>
        <w:rPr>
          <w:spacing w:val="-45"/>
        </w:rPr>
      </w:r>
      <w:r>
        <w:rPr/>
        <w:t>展股份有限公司（于</w:t>
      </w:r>
      <w:r>
        <w:rPr>
          <w:rFonts w:ascii="宋体" w:hAnsi="宋体" w:cs="宋体" w:eastAsia="宋体" w:hint="default"/>
        </w:rPr>
        <w:t>2011</w:t>
      </w:r>
      <w:r>
        <w:rPr/>
        <w:t>年</w:t>
      </w:r>
      <w:r>
        <w:rPr>
          <w:rFonts w:ascii="宋体" w:hAnsi="宋体" w:cs="宋体" w:eastAsia="宋体" w:hint="default"/>
        </w:rPr>
        <w:t>8</w:t>
      </w:r>
      <w:r>
        <w:rPr/>
        <w:t>月更名为中海网络科技股份有限公司）高级工程师，总经理办公室主任</w:t>
      </w:r>
      <w:r>
        <w:rPr>
          <w:spacing w:val="-45"/>
        </w:rPr>
        <w:t> </w:t>
      </w:r>
      <w:r>
        <w:rPr>
          <w:spacing w:val="-45"/>
        </w:rPr>
      </w:r>
      <w:r>
        <w:rPr>
          <w:spacing w:val="-2"/>
        </w:rPr>
        <w:t>助理、副主任、主任，总经理办公室主任兼党委办公室主任、工会副主席；</w:t>
      </w:r>
      <w:r>
        <w:rPr>
          <w:rFonts w:ascii="宋体" w:hAnsi="宋体" w:cs="宋体" w:eastAsia="宋体" w:hint="default"/>
          <w:spacing w:val="-2"/>
        </w:rPr>
        <w:t>2012</w:t>
      </w:r>
      <w:r>
        <w:rPr>
          <w:spacing w:val="-2"/>
        </w:rPr>
        <w:t>年</w:t>
      </w:r>
      <w:r>
        <w:rPr>
          <w:rFonts w:ascii="宋体" w:hAnsi="宋体" w:cs="宋体" w:eastAsia="宋体" w:hint="default"/>
          <w:spacing w:val="-2"/>
        </w:rPr>
        <w:t>11</w:t>
      </w:r>
      <w:r>
        <w:rPr>
          <w:spacing w:val="-2"/>
        </w:rPr>
        <w:t>月至</w:t>
      </w:r>
      <w:r>
        <w:rPr>
          <w:rFonts w:ascii="宋体" w:hAnsi="宋体" w:cs="宋体" w:eastAsia="宋体" w:hint="default"/>
          <w:spacing w:val="-2"/>
        </w:rPr>
        <w:t>2018</w:t>
      </w:r>
      <w:r>
        <w:rPr>
          <w:spacing w:val="-2"/>
        </w:rPr>
        <w:t>年</w:t>
      </w:r>
      <w:r>
        <w:rPr>
          <w:rFonts w:ascii="宋体" w:hAnsi="宋体" w:cs="宋体" w:eastAsia="宋体" w:hint="default"/>
          <w:spacing w:val="-2"/>
        </w:rPr>
        <w:t>2</w:t>
      </w:r>
      <w:r>
        <w:rPr>
          <w:spacing w:val="-2"/>
        </w:rPr>
        <w:t>月，</w:t>
      </w:r>
      <w:r>
        <w:rPr>
          <w:spacing w:val="-63"/>
        </w:rPr>
        <w:t> </w:t>
      </w:r>
      <w:r>
        <w:rPr/>
        <w:t>历任上海船舶运输科学研究所监察审计处处长，党群工作部主任。</w:t>
      </w:r>
      <w:r>
        <w:rPr>
          <w:rFonts w:ascii="宋体" w:hAnsi="宋体" w:cs="宋体" w:eastAsia="宋体" w:hint="default"/>
        </w:rPr>
        <w:t>2018</w:t>
      </w:r>
      <w:r>
        <w:rPr/>
        <w:t>年</w:t>
      </w:r>
      <w:r>
        <w:rPr>
          <w:rFonts w:ascii="宋体" w:hAnsi="宋体" w:cs="宋体" w:eastAsia="宋体" w:hint="default"/>
        </w:rPr>
        <w:t>2</w:t>
      </w:r>
      <w:r>
        <w:rPr/>
        <w:t>月至今，任中远海运科技</w:t>
      </w:r>
      <w:r>
        <w:rPr>
          <w:spacing w:val="-44"/>
        </w:rPr>
        <w:t> </w:t>
      </w:r>
      <w:r>
        <w:rPr>
          <w:spacing w:val="-44"/>
        </w:rPr>
      </w:r>
      <w:r>
        <w:rPr/>
        <w:t>股份有限公司党委工作部部长。</w:t>
      </w:r>
      <w:r>
        <w:rPr>
          <w:rFonts w:ascii="宋体" w:hAnsi="宋体" w:cs="宋体" w:eastAsia="宋体" w:hint="default"/>
        </w:rPr>
        <w:t> </w:t>
      </w:r>
    </w:p>
    <w:p>
      <w:pPr>
        <w:pStyle w:val="BodyText"/>
        <w:spacing w:line="259" w:lineRule="auto" w:before="6"/>
        <w:ind w:right="1127" w:firstLine="439"/>
        <w:jc w:val="both"/>
        <w:rPr>
          <w:rFonts w:ascii="宋体" w:hAnsi="宋体" w:cs="宋体" w:eastAsia="宋体" w:hint="default"/>
        </w:rPr>
      </w:pPr>
      <w:r>
        <w:rPr>
          <w:rFonts w:ascii="宋体" w:hAnsi="宋体" w:cs="宋体" w:eastAsia="宋体" w:hint="default"/>
        </w:rPr>
        <w:t>5</w:t>
      </w:r>
      <w:r>
        <w:rPr/>
        <w:t>、程丽女士，中国国籍，无境外居留权，</w:t>
      </w:r>
      <w:r>
        <w:rPr>
          <w:rFonts w:ascii="宋体" w:hAnsi="宋体" w:cs="宋体" w:eastAsia="宋体" w:hint="default"/>
        </w:rPr>
        <w:t>1973</w:t>
      </w:r>
      <w:r>
        <w:rPr/>
        <w:t>年生，中共党员，工商管理硕士，高级工程师。</w:t>
      </w:r>
      <w:r>
        <w:rPr>
          <w:w w:val="100"/>
        </w:rPr>
        <w:t> </w:t>
      </w:r>
      <w:r>
        <w:rPr/>
        <w:t>现任中远海运科技股份有限公司职工监事、纪委工作部</w:t>
      </w:r>
      <w:r>
        <w:rPr>
          <w:rFonts w:ascii="宋体" w:hAnsi="宋体" w:cs="宋体" w:eastAsia="宋体" w:hint="default"/>
        </w:rPr>
        <w:t>/</w:t>
      </w:r>
      <w:r>
        <w:rPr/>
        <w:t>监督审计部副部长，中远海运科技（北京）</w:t>
      </w:r>
      <w:r>
        <w:rPr>
          <w:spacing w:val="-41"/>
        </w:rPr>
        <w:t> </w:t>
      </w:r>
      <w:r>
        <w:rPr>
          <w:spacing w:val="-41"/>
        </w:rPr>
      </w:r>
      <w:r>
        <w:rPr>
          <w:spacing w:val="-2"/>
        </w:rPr>
        <w:t>有限公司监事，北京中远海运数字科技有限公司监事，中远网络航海科技有限公司监事，上海中远海</w:t>
      </w:r>
      <w:r>
        <w:rPr>
          <w:spacing w:val="-67"/>
        </w:rPr>
        <w:t> </w:t>
      </w:r>
      <w:r>
        <w:rPr>
          <w:spacing w:val="-67"/>
        </w:rPr>
      </w:r>
      <w:r>
        <w:rPr>
          <w:spacing w:val="-2"/>
        </w:rPr>
        <w:t>运资讯科技有限公司监事。</w:t>
      </w:r>
      <w:r>
        <w:rPr>
          <w:rFonts w:ascii="宋体" w:hAnsi="宋体" w:cs="宋体" w:eastAsia="宋体" w:hint="default"/>
          <w:spacing w:val="-2"/>
        </w:rPr>
        <w:t>1995</w:t>
      </w:r>
      <w:r>
        <w:rPr>
          <w:spacing w:val="-2"/>
        </w:rPr>
        <w:t>年</w:t>
      </w:r>
      <w:r>
        <w:rPr>
          <w:rFonts w:ascii="宋体" w:hAnsi="宋体" w:cs="宋体" w:eastAsia="宋体" w:hint="default"/>
          <w:spacing w:val="-2"/>
        </w:rPr>
        <w:t>7</w:t>
      </w:r>
      <w:r>
        <w:rPr>
          <w:spacing w:val="-2"/>
        </w:rPr>
        <w:t>月至</w:t>
      </w:r>
      <w:r>
        <w:rPr>
          <w:rFonts w:ascii="宋体" w:hAnsi="宋体" w:cs="宋体" w:eastAsia="宋体" w:hint="default"/>
          <w:spacing w:val="-2"/>
        </w:rPr>
        <w:t>2000</w:t>
      </w:r>
      <w:r>
        <w:rPr>
          <w:spacing w:val="-2"/>
        </w:rPr>
        <w:t>年</w:t>
      </w:r>
      <w:r>
        <w:rPr>
          <w:rFonts w:ascii="宋体" w:hAnsi="宋体" w:cs="宋体" w:eastAsia="宋体" w:hint="default"/>
          <w:spacing w:val="-2"/>
        </w:rPr>
        <w:t>12</w:t>
      </w:r>
      <w:r>
        <w:rPr>
          <w:spacing w:val="-2"/>
        </w:rPr>
        <w:t>月，任上海船舶运输科学研究所工程师；</w:t>
      </w:r>
      <w:r>
        <w:rPr>
          <w:rFonts w:ascii="宋体" w:hAnsi="宋体" w:cs="宋体" w:eastAsia="宋体" w:hint="default"/>
          <w:spacing w:val="-2"/>
        </w:rPr>
        <w:t>2001</w:t>
      </w:r>
      <w:r>
        <w:rPr>
          <w:spacing w:val="-2"/>
        </w:rPr>
        <w:t>年</w:t>
      </w:r>
      <w:r>
        <w:rPr>
          <w:rFonts w:ascii="宋体" w:hAnsi="宋体" w:cs="宋体" w:eastAsia="宋体" w:hint="default"/>
          <w:spacing w:val="-2"/>
        </w:rPr>
        <w:t>1</w:t>
      </w:r>
      <w:r>
        <w:rPr>
          <w:spacing w:val="-2"/>
        </w:rPr>
        <w:t>月</w:t>
      </w:r>
      <w:r>
        <w:rPr>
          <w:spacing w:val="-53"/>
        </w:rPr>
        <w:t> </w:t>
      </w:r>
      <w:r>
        <w:rPr>
          <w:spacing w:val="-2"/>
        </w:rPr>
        <w:t>起，历任上海交技发展股份有限公司（于</w:t>
      </w:r>
      <w:r>
        <w:rPr>
          <w:rFonts w:ascii="宋体" w:hAnsi="宋体" w:cs="宋体" w:eastAsia="宋体" w:hint="default"/>
          <w:spacing w:val="-2"/>
        </w:rPr>
        <w:t>2011</w:t>
      </w:r>
      <w:r>
        <w:rPr>
          <w:spacing w:val="-2"/>
        </w:rPr>
        <w:t>年</w:t>
      </w:r>
      <w:r>
        <w:rPr>
          <w:rFonts w:ascii="宋体" w:hAnsi="宋体" w:cs="宋体" w:eastAsia="宋体" w:hint="default"/>
          <w:spacing w:val="-2"/>
        </w:rPr>
        <w:t>8</w:t>
      </w:r>
      <w:r>
        <w:rPr>
          <w:spacing w:val="-2"/>
        </w:rPr>
        <w:t>月更名为中海网络科技股份有限公司，于</w:t>
      </w:r>
      <w:r>
        <w:rPr>
          <w:rFonts w:ascii="宋体" w:hAnsi="宋体" w:cs="宋体" w:eastAsia="宋体" w:hint="default"/>
          <w:spacing w:val="-2"/>
        </w:rPr>
        <w:t>2017</w:t>
      </w:r>
      <w:r>
        <w:rPr>
          <w:spacing w:val="-2"/>
        </w:rPr>
        <w:t>年</w:t>
      </w:r>
      <w:r>
        <w:rPr>
          <w:rFonts w:ascii="宋体" w:hAnsi="宋体" w:cs="宋体" w:eastAsia="宋体" w:hint="default"/>
          <w:spacing w:val="-2"/>
        </w:rPr>
        <w:t>5</w:t>
      </w:r>
      <w:r>
        <w:rPr>
          <w:spacing w:val="-2"/>
        </w:rPr>
        <w:t>月</w:t>
      </w:r>
      <w:r>
        <w:rPr>
          <w:spacing w:val="-59"/>
        </w:rPr>
        <w:t> </w:t>
      </w:r>
      <w:r>
        <w:rPr>
          <w:spacing w:val="-2"/>
        </w:rPr>
        <w:t>更名为中远海运科技股份有限公司）综合计划部总监助理、副总监，董事会办公室主任，总经理办公</w:t>
      </w:r>
      <w:r>
        <w:rPr>
          <w:spacing w:val="-70"/>
        </w:rPr>
        <w:t> </w:t>
      </w:r>
      <w:r>
        <w:rPr>
          <w:spacing w:val="-70"/>
        </w:rPr>
      </w:r>
      <w:r>
        <w:rPr/>
        <w:t>室副主任，党委办公室主任、内部审计部主任。</w:t>
      </w:r>
      <w:r>
        <w:rPr>
          <w:rFonts w:ascii="宋体" w:hAnsi="宋体" w:cs="宋体" w:eastAsia="宋体" w:hint="default"/>
        </w:rPr>
        <w:t> </w:t>
      </w:r>
    </w:p>
    <w:p>
      <w:pPr>
        <w:pStyle w:val="BodyText"/>
        <w:spacing w:line="259" w:lineRule="auto" w:before="7"/>
        <w:ind w:left="592" w:right="1133"/>
        <w:jc w:val="left"/>
      </w:pPr>
      <w:r>
        <w:rPr/>
        <w:t>（三）高级管理人员</w:t>
      </w:r>
      <w:r>
        <w:rPr>
          <w:rFonts w:ascii="宋体" w:hAnsi="宋体" w:cs="宋体" w:eastAsia="宋体" w:hint="default"/>
          <w:w w:val="100"/>
        </w:rPr>
        <w:t> </w:t>
      </w:r>
      <w:r>
        <w:rPr>
          <w:rFonts w:ascii="宋体" w:hAnsi="宋体" w:cs="宋体" w:eastAsia="宋体" w:hint="default"/>
        </w:rPr>
        <w:t>1</w:t>
      </w:r>
      <w:r>
        <w:rPr/>
        <w:t>、周群先生，现任中远海运科技股份有限公司董事、总经理。主要工作经历详见本节“（一）</w:t>
      </w:r>
    </w:p>
    <w:p>
      <w:pPr>
        <w:pStyle w:val="BodyText"/>
        <w:spacing w:line="259" w:lineRule="auto" w:before="6"/>
        <w:ind w:left="592" w:right="1133" w:hanging="440"/>
        <w:jc w:val="left"/>
      </w:pPr>
      <w:r>
        <w:rPr/>
        <w:t>董事会成员”周群先生相应内容。</w:t>
      </w:r>
      <w:r>
        <w:rPr>
          <w:rFonts w:ascii="宋体" w:hAnsi="宋体" w:cs="宋体" w:eastAsia="宋体" w:hint="default"/>
          <w:w w:val="100"/>
        </w:rPr>
        <w:t> </w:t>
      </w:r>
      <w:r>
        <w:rPr>
          <w:rFonts w:ascii="宋体" w:hAnsi="宋体" w:cs="宋体" w:eastAsia="宋体" w:hint="default"/>
        </w:rPr>
        <w:t>2</w:t>
      </w:r>
      <w:r>
        <w:rPr/>
        <w:t>、吴中岱先生，中国国籍，无境外居留权，</w:t>
      </w:r>
      <w:r>
        <w:rPr>
          <w:rFonts w:ascii="宋体" w:hAnsi="宋体" w:cs="宋体" w:eastAsia="宋体" w:hint="default"/>
        </w:rPr>
        <w:t>1976</w:t>
      </w:r>
      <w:r>
        <w:rPr/>
        <w:t>年生，中共党员，博士研究生，管理学博士学</w:t>
      </w:r>
    </w:p>
    <w:p>
      <w:pPr>
        <w:pStyle w:val="BodyText"/>
        <w:spacing w:line="259" w:lineRule="auto" w:before="6"/>
        <w:ind w:right="1018"/>
        <w:jc w:val="both"/>
        <w:rPr>
          <w:rFonts w:ascii="宋体" w:hAnsi="宋体" w:cs="宋体" w:eastAsia="宋体" w:hint="default"/>
        </w:rPr>
      </w:pPr>
      <w:r>
        <w:rPr/>
        <w:t>位，研究员级高级工程师。现任中远海运科技股份有限公司副总经理、总工程师、党委委员，上海船</w:t>
      </w:r>
      <w:r>
        <w:rPr>
          <w:w w:val="100"/>
        </w:rPr>
        <w:t> </w:t>
      </w:r>
      <w:r>
        <w:rPr/>
        <w:t>舶运输科学研究所党委委员，上海中远海运资讯科技有限公司董事。</w:t>
      </w:r>
      <w:r>
        <w:rPr>
          <w:rFonts w:ascii="宋体" w:hAnsi="宋体" w:cs="宋体" w:eastAsia="宋体" w:hint="default"/>
        </w:rPr>
        <w:t>1998</w:t>
      </w:r>
      <w:r>
        <w:rPr/>
        <w:t>年</w:t>
      </w:r>
      <w:r>
        <w:rPr>
          <w:rFonts w:ascii="宋体" w:hAnsi="宋体" w:cs="宋体" w:eastAsia="宋体" w:hint="default"/>
        </w:rPr>
        <w:t>7</w:t>
      </w:r>
      <w:r>
        <w:rPr/>
        <w:t>月至</w:t>
      </w:r>
      <w:r>
        <w:rPr>
          <w:rFonts w:ascii="宋体" w:hAnsi="宋体" w:cs="宋体" w:eastAsia="宋体" w:hint="default"/>
        </w:rPr>
        <w:t>2003</w:t>
      </w:r>
      <w:r>
        <w:rPr/>
        <w:t>年</w:t>
      </w:r>
      <w:r>
        <w:rPr>
          <w:rFonts w:ascii="宋体" w:hAnsi="宋体" w:cs="宋体" w:eastAsia="宋体" w:hint="default"/>
        </w:rPr>
        <w:t>7</w:t>
      </w:r>
      <w:r>
        <w:rPr/>
        <w:t>月，历任中</w:t>
      </w:r>
      <w:r>
        <w:rPr>
          <w:w w:val="100"/>
        </w:rPr>
        <w:t> </w:t>
      </w:r>
      <w:r>
        <w:rPr/>
        <w:t>海电信有限公司信息中心开发科科员，副科长，经理助理和副经理；</w:t>
      </w:r>
      <w:r>
        <w:rPr>
          <w:rFonts w:ascii="宋体" w:hAnsi="宋体" w:cs="宋体" w:eastAsia="宋体" w:hint="default"/>
        </w:rPr>
        <w:t>2003</w:t>
      </w:r>
      <w:r>
        <w:rPr/>
        <w:t>年</w:t>
      </w:r>
      <w:r>
        <w:rPr>
          <w:rFonts w:ascii="宋体" w:hAnsi="宋体" w:cs="宋体" w:eastAsia="宋体" w:hint="default"/>
        </w:rPr>
        <w:t>8</w:t>
      </w:r>
      <w:r>
        <w:rPr/>
        <w:t>月至</w:t>
      </w:r>
      <w:r>
        <w:rPr>
          <w:rFonts w:ascii="宋体" w:hAnsi="宋体" w:cs="宋体" w:eastAsia="宋体" w:hint="default"/>
        </w:rPr>
        <w:t>2008</w:t>
      </w:r>
      <w:r>
        <w:rPr/>
        <w:t>年</w:t>
      </w:r>
      <w:r>
        <w:rPr>
          <w:rFonts w:ascii="宋体" w:hAnsi="宋体" w:cs="宋体" w:eastAsia="宋体" w:hint="default"/>
        </w:rPr>
        <w:t>6</w:t>
      </w:r>
      <w:r>
        <w:rPr/>
        <w:t>月，任环州</w:t>
      </w:r>
      <w:r>
        <w:rPr>
          <w:w w:val="100"/>
        </w:rPr>
        <w:t> </w:t>
      </w:r>
      <w:r>
        <w:rPr/>
        <w:t>电脑有限公司上海代表处研发部经理；</w:t>
      </w:r>
      <w:r>
        <w:rPr>
          <w:rFonts w:ascii="宋体" w:hAnsi="宋体" w:cs="宋体" w:eastAsia="宋体" w:hint="default"/>
        </w:rPr>
        <w:t>2008</w:t>
      </w:r>
      <w:r>
        <w:rPr/>
        <w:t>年</w:t>
      </w:r>
      <w:r>
        <w:rPr>
          <w:rFonts w:ascii="宋体" w:hAnsi="宋体" w:cs="宋体" w:eastAsia="宋体" w:hint="default"/>
        </w:rPr>
        <w:t>6</w:t>
      </w:r>
      <w:r>
        <w:rPr/>
        <w:t>月至</w:t>
      </w:r>
      <w:r>
        <w:rPr>
          <w:rFonts w:ascii="宋体" w:hAnsi="宋体" w:cs="宋体" w:eastAsia="宋体" w:hint="default"/>
        </w:rPr>
        <w:t>2012</w:t>
      </w:r>
      <w:r>
        <w:rPr/>
        <w:t>年</w:t>
      </w:r>
      <w:r>
        <w:rPr>
          <w:rFonts w:ascii="宋体" w:hAnsi="宋体" w:cs="宋体" w:eastAsia="宋体" w:hint="default"/>
        </w:rPr>
        <w:t>8</w:t>
      </w:r>
      <w:r>
        <w:rPr/>
        <w:t>月，任中海信息系统有限公司副总经理；</w:t>
      </w:r>
      <w:r>
        <w:rPr>
          <w:w w:val="100"/>
        </w:rPr>
        <w:t> </w:t>
      </w:r>
      <w:r>
        <w:rPr>
          <w:rFonts w:ascii="宋体" w:hAnsi="宋体" w:cs="宋体" w:eastAsia="宋体" w:hint="default"/>
          <w:spacing w:val="-4"/>
        </w:rPr>
        <w:t>2012</w:t>
      </w:r>
      <w:r>
        <w:rPr>
          <w:spacing w:val="-4"/>
        </w:rPr>
        <w:t>年</w:t>
      </w:r>
      <w:r>
        <w:rPr>
          <w:rFonts w:ascii="宋体" w:hAnsi="宋体" w:cs="宋体" w:eastAsia="宋体" w:hint="default"/>
          <w:spacing w:val="-4"/>
        </w:rPr>
        <w:t>8</w:t>
      </w:r>
      <w:r>
        <w:rPr>
          <w:spacing w:val="-4"/>
        </w:rPr>
        <w:t>月至</w:t>
      </w:r>
      <w:r>
        <w:rPr>
          <w:rFonts w:ascii="宋体" w:hAnsi="宋体" w:cs="宋体" w:eastAsia="宋体" w:hint="default"/>
          <w:spacing w:val="-4"/>
        </w:rPr>
        <w:t>2015</w:t>
      </w:r>
      <w:r>
        <w:rPr>
          <w:spacing w:val="-4"/>
        </w:rPr>
        <w:t>年</w:t>
      </w:r>
      <w:r>
        <w:rPr>
          <w:rFonts w:ascii="宋体" w:hAnsi="宋体" w:cs="宋体" w:eastAsia="宋体" w:hint="default"/>
          <w:spacing w:val="-4"/>
        </w:rPr>
        <w:t>12</w:t>
      </w:r>
      <w:r>
        <w:rPr>
          <w:spacing w:val="-4"/>
        </w:rPr>
        <w:t>月，任中国海运（集团）总公司科技信息部副总经理；</w:t>
      </w:r>
      <w:r>
        <w:rPr>
          <w:rFonts w:ascii="宋体" w:hAnsi="宋体" w:cs="宋体" w:eastAsia="宋体" w:hint="default"/>
          <w:spacing w:val="-4"/>
        </w:rPr>
        <w:t>2016</w:t>
      </w:r>
      <w:r>
        <w:rPr>
          <w:spacing w:val="-4"/>
        </w:rPr>
        <w:t>年</w:t>
      </w:r>
      <w:r>
        <w:rPr>
          <w:rFonts w:ascii="宋体" w:hAnsi="宋体" w:cs="宋体" w:eastAsia="宋体" w:hint="default"/>
          <w:spacing w:val="-4"/>
        </w:rPr>
        <w:t>1</w:t>
      </w:r>
      <w:r>
        <w:rPr>
          <w:spacing w:val="-4"/>
        </w:rPr>
        <w:t>月至</w:t>
      </w:r>
      <w:r>
        <w:rPr>
          <w:rFonts w:ascii="宋体" w:hAnsi="宋体" w:cs="宋体" w:eastAsia="宋体" w:hint="default"/>
          <w:spacing w:val="-4"/>
        </w:rPr>
        <w:t>2017</w:t>
      </w:r>
      <w:r>
        <w:rPr>
          <w:spacing w:val="-4"/>
        </w:rPr>
        <w:t>年</w:t>
      </w:r>
      <w:r>
        <w:rPr>
          <w:rFonts w:ascii="宋体" w:hAnsi="宋体" w:cs="宋体" w:eastAsia="宋体" w:hint="default"/>
          <w:spacing w:val="-4"/>
        </w:rPr>
        <w:t>11</w:t>
      </w:r>
      <w:r>
        <w:rPr>
          <w:spacing w:val="-4"/>
        </w:rPr>
        <w:t>月，</w:t>
      </w:r>
      <w:r>
        <w:rPr>
          <w:spacing w:val="-45"/>
        </w:rPr>
        <w:t> </w:t>
      </w:r>
      <w:r>
        <w:rPr/>
        <w:t>任中国远洋海运集团有限公司科技与信息化管理本部副总经理。</w:t>
      </w:r>
      <w:r>
        <w:rPr>
          <w:rFonts w:ascii="宋体" w:hAnsi="宋体" w:cs="宋体" w:eastAsia="宋体" w:hint="default"/>
        </w:rPr>
        <w:t> </w:t>
      </w:r>
    </w:p>
    <w:p>
      <w:pPr>
        <w:pStyle w:val="BodyText"/>
        <w:spacing w:line="259" w:lineRule="auto" w:before="7"/>
        <w:ind w:right="0" w:firstLine="439"/>
        <w:jc w:val="left"/>
        <w:rPr>
          <w:rFonts w:ascii="宋体" w:hAnsi="宋体" w:cs="宋体" w:eastAsia="宋体" w:hint="default"/>
        </w:rPr>
      </w:pPr>
      <w:r>
        <w:rPr>
          <w:rFonts w:ascii="宋体" w:hAnsi="宋体" w:cs="宋体" w:eastAsia="宋体" w:hint="default"/>
          <w:spacing w:val="-2"/>
        </w:rPr>
        <w:t>3</w:t>
      </w:r>
      <w:r>
        <w:rPr>
          <w:spacing w:val="-2"/>
        </w:rPr>
        <w:t>、戴静女士，中国国籍，无境外居留权，</w:t>
      </w:r>
      <w:r>
        <w:rPr>
          <w:rFonts w:ascii="宋体" w:hAnsi="宋体" w:cs="宋体" w:eastAsia="宋体" w:hint="default"/>
          <w:spacing w:val="-2"/>
        </w:rPr>
        <w:t>1972</w:t>
      </w:r>
      <w:r>
        <w:rPr>
          <w:spacing w:val="-2"/>
        </w:rPr>
        <w:t>年生，中共党员，大学本科学历，在职工程硕士，</w:t>
      </w:r>
      <w:r>
        <w:rPr>
          <w:w w:val="100"/>
        </w:rPr>
        <w:t> </w:t>
      </w:r>
      <w:r>
        <w:rPr/>
        <w:t>高级会计师，中国注册会计师。现任中远海运科技股份有限公司总会计师、董事会秘书、党委委员，</w:t>
      </w:r>
      <w:r>
        <w:rPr>
          <w:w w:val="100"/>
        </w:rPr>
        <w:t> </w:t>
      </w:r>
      <w:r>
        <w:rPr/>
        <w:t>上海船舶运输科学研究所党委委员。</w:t>
      </w:r>
      <w:r>
        <w:rPr>
          <w:rFonts w:ascii="宋体" w:hAnsi="宋体" w:cs="宋体" w:eastAsia="宋体" w:hint="default"/>
        </w:rPr>
        <w:t>1994</w:t>
      </w:r>
      <w:r>
        <w:rPr/>
        <w:t>年</w:t>
      </w:r>
      <w:r>
        <w:rPr>
          <w:rFonts w:ascii="宋体" w:hAnsi="宋体" w:cs="宋体" w:eastAsia="宋体" w:hint="default"/>
        </w:rPr>
        <w:t>7</w:t>
      </w:r>
      <w:r>
        <w:rPr/>
        <w:t>月至</w:t>
      </w:r>
      <w:r>
        <w:rPr>
          <w:rFonts w:ascii="宋体" w:hAnsi="宋体" w:cs="宋体" w:eastAsia="宋体" w:hint="default"/>
        </w:rPr>
        <w:t>2011</w:t>
      </w:r>
      <w:r>
        <w:rPr/>
        <w:t>年</w:t>
      </w:r>
      <w:r>
        <w:rPr>
          <w:rFonts w:ascii="宋体" w:hAnsi="宋体" w:cs="宋体" w:eastAsia="宋体" w:hint="default"/>
        </w:rPr>
        <w:t>6</w:t>
      </w:r>
      <w:r>
        <w:rPr/>
        <w:t>月，历任上海船舶运输科学研究所财务处会</w:t>
      </w:r>
      <w:r>
        <w:rPr>
          <w:w w:val="100"/>
        </w:rPr>
        <w:t> </w:t>
      </w:r>
      <w:r>
        <w:rPr>
          <w:spacing w:val="-2"/>
        </w:rPr>
        <w:t>计员、处长助理、副处长，资产财务部部长助理兼财务处处长，资产财务部副部长兼财务处处长，所</w:t>
      </w:r>
      <w:r>
        <w:rPr>
          <w:spacing w:val="-72"/>
        </w:rPr>
        <w:t> </w:t>
      </w:r>
      <w:r>
        <w:rPr>
          <w:spacing w:val="-72"/>
        </w:rPr>
      </w:r>
      <w:r>
        <w:rPr/>
        <w:t>长助理兼资产财务部副部长、财务处处长；</w:t>
      </w:r>
      <w:r>
        <w:rPr>
          <w:rFonts w:ascii="宋体" w:hAnsi="宋体" w:cs="宋体" w:eastAsia="宋体" w:hint="default"/>
        </w:rPr>
        <w:t>2011</w:t>
      </w:r>
      <w:r>
        <w:rPr/>
        <w:t>年</w:t>
      </w:r>
      <w:r>
        <w:rPr>
          <w:rFonts w:ascii="宋体" w:hAnsi="宋体" w:cs="宋体" w:eastAsia="宋体" w:hint="default"/>
        </w:rPr>
        <w:t>6</w:t>
      </w:r>
      <w:r>
        <w:rPr/>
        <w:t>月至</w:t>
      </w:r>
      <w:r>
        <w:rPr>
          <w:rFonts w:ascii="宋体" w:hAnsi="宋体" w:cs="宋体" w:eastAsia="宋体" w:hint="default"/>
        </w:rPr>
        <w:t>2017</w:t>
      </w:r>
      <w:r>
        <w:rPr/>
        <w:t>年</w:t>
      </w:r>
      <w:r>
        <w:rPr>
          <w:rFonts w:ascii="宋体" w:hAnsi="宋体" w:cs="宋体" w:eastAsia="宋体" w:hint="default"/>
        </w:rPr>
        <w:t>11</w:t>
      </w:r>
      <w:r>
        <w:rPr/>
        <w:t>月，历任上海船舶运输科学研究所</w:t>
      </w:r>
      <w:r>
        <w:rPr>
          <w:spacing w:val="-49"/>
        </w:rPr>
        <w:t> </w:t>
      </w:r>
      <w:r>
        <w:rPr>
          <w:spacing w:val="-49"/>
        </w:rPr>
      </w:r>
      <w:r>
        <w:rPr/>
        <w:t>总会计师兼资产财务部部长、财务处处长，总会计师、党委委员；</w:t>
      </w:r>
      <w:r>
        <w:rPr>
          <w:rFonts w:ascii="宋体" w:hAnsi="宋体" w:cs="宋体" w:eastAsia="宋体" w:hint="default"/>
        </w:rPr>
        <w:t>2012</w:t>
      </w:r>
      <w:r>
        <w:rPr/>
        <w:t>年</w:t>
      </w:r>
      <w:r>
        <w:rPr>
          <w:rFonts w:ascii="宋体" w:hAnsi="宋体" w:cs="宋体" w:eastAsia="宋体" w:hint="default"/>
        </w:rPr>
        <w:t>7</w:t>
      </w:r>
      <w:r>
        <w:rPr/>
        <w:t>月至</w:t>
      </w:r>
      <w:r>
        <w:rPr>
          <w:rFonts w:ascii="宋体" w:hAnsi="宋体" w:cs="宋体" w:eastAsia="宋体" w:hint="default"/>
        </w:rPr>
        <w:t>2017</w:t>
      </w:r>
      <w:r>
        <w:rPr/>
        <w:t>年</w:t>
      </w:r>
      <w:r>
        <w:rPr>
          <w:rFonts w:ascii="宋体" w:hAnsi="宋体" w:cs="宋体" w:eastAsia="宋体" w:hint="default"/>
        </w:rPr>
        <w:t>12</w:t>
      </w:r>
      <w:r>
        <w:rPr/>
        <w:t>月，任中远</w:t>
      </w:r>
      <w:r>
        <w:rPr>
          <w:spacing w:val="-45"/>
        </w:rPr>
        <w:t> </w:t>
      </w:r>
      <w:r>
        <w:rPr>
          <w:spacing w:val="-45"/>
        </w:rPr>
      </w:r>
      <w:r>
        <w:rPr/>
        <w:t>海运科技股份有限公司监事会主席。</w:t>
      </w:r>
      <w:r>
        <w:rPr>
          <w:rFonts w:ascii="宋体" w:hAnsi="宋体" w:cs="宋体" w:eastAsia="宋体" w:hint="default"/>
        </w:rPr>
        <w:t> </w:t>
      </w:r>
    </w:p>
    <w:p>
      <w:pPr>
        <w:pStyle w:val="BodyText"/>
        <w:spacing w:line="259" w:lineRule="auto" w:before="6"/>
        <w:ind w:right="1090" w:firstLine="439"/>
        <w:jc w:val="both"/>
      </w:pPr>
      <w:r>
        <w:rPr>
          <w:rFonts w:ascii="宋体" w:hAnsi="宋体" w:cs="宋体" w:eastAsia="宋体" w:hint="default"/>
        </w:rPr>
        <w:t>4</w:t>
      </w:r>
      <w:r>
        <w:rPr/>
        <w:t>、王新波先生，中国国籍，无境外居留权，</w:t>
      </w:r>
      <w:r>
        <w:rPr>
          <w:rFonts w:ascii="宋体" w:hAnsi="宋体" w:cs="宋体" w:eastAsia="宋体" w:hint="default"/>
        </w:rPr>
        <w:t>1975</w:t>
      </w:r>
      <w:r>
        <w:rPr/>
        <w:t>年生，中共党员，大学本科学历，工商管理硕</w:t>
      </w:r>
      <w:r>
        <w:rPr>
          <w:w w:val="100"/>
        </w:rPr>
        <w:t> </w:t>
      </w:r>
      <w:r>
        <w:rPr>
          <w:spacing w:val="-2"/>
        </w:rPr>
        <w:t>士，高级工程师。现任中远海运科技股份有限公司副总经理、党委委员，上海船舶运输科学研究所党</w:t>
      </w:r>
      <w:r>
        <w:rPr>
          <w:spacing w:val="-71"/>
        </w:rPr>
        <w:t> </w:t>
      </w:r>
      <w:r>
        <w:rPr>
          <w:spacing w:val="-71"/>
        </w:rPr>
      </w:r>
      <w:r>
        <w:rPr>
          <w:spacing w:val="-2"/>
        </w:rPr>
        <w:t>委委员，中远海运科技（北京）有限公司董事，北京中远海运数字科技有限公司董事，中远网络航海</w:t>
      </w:r>
      <w:r>
        <w:rPr>
          <w:spacing w:val="-72"/>
        </w:rPr>
        <w:t> </w:t>
      </w:r>
      <w:r>
        <w:rPr>
          <w:spacing w:val="-72"/>
        </w:rPr>
      </w:r>
      <w:r>
        <w:rPr>
          <w:spacing w:val="-2"/>
        </w:rPr>
        <w:t>科技有限公司董事，上海中远海运资讯科技有限公司副董事长。</w:t>
      </w:r>
      <w:r>
        <w:rPr>
          <w:rFonts w:ascii="宋体" w:hAnsi="宋体" w:cs="宋体" w:eastAsia="宋体" w:hint="default"/>
          <w:spacing w:val="-2"/>
        </w:rPr>
        <w:t>1998</w:t>
      </w:r>
      <w:r>
        <w:rPr>
          <w:spacing w:val="-2"/>
        </w:rPr>
        <w:t>年</w:t>
      </w:r>
      <w:r>
        <w:rPr>
          <w:rFonts w:ascii="宋体" w:hAnsi="宋体" w:cs="宋体" w:eastAsia="宋体" w:hint="default"/>
          <w:spacing w:val="-2"/>
        </w:rPr>
        <w:t>8</w:t>
      </w:r>
      <w:r>
        <w:rPr>
          <w:spacing w:val="-2"/>
        </w:rPr>
        <w:t>月至</w:t>
      </w:r>
      <w:r>
        <w:rPr>
          <w:rFonts w:ascii="宋体" w:hAnsi="宋体" w:cs="宋体" w:eastAsia="宋体" w:hint="default"/>
          <w:spacing w:val="-2"/>
        </w:rPr>
        <w:t>2001</w:t>
      </w:r>
      <w:r>
        <w:rPr>
          <w:spacing w:val="-2"/>
        </w:rPr>
        <w:t>年</w:t>
      </w:r>
      <w:r>
        <w:rPr>
          <w:rFonts w:ascii="宋体" w:hAnsi="宋体" w:cs="宋体" w:eastAsia="宋体" w:hint="default"/>
          <w:spacing w:val="-2"/>
        </w:rPr>
        <w:t>5</w:t>
      </w:r>
      <w:r>
        <w:rPr>
          <w:spacing w:val="-2"/>
        </w:rPr>
        <w:t>月，历任天津中</w:t>
      </w:r>
      <w:r>
        <w:rPr>
          <w:spacing w:val="-59"/>
        </w:rPr>
        <w:t> </w:t>
      </w:r>
      <w:r>
        <w:rPr>
          <w:spacing w:val="-59"/>
        </w:rPr>
      </w:r>
      <w:r>
        <w:rPr>
          <w:spacing w:val="-2"/>
        </w:rPr>
        <w:t>远国际货运有限公司集装箱部出口科业务员，市场部信息科科长；</w:t>
      </w:r>
      <w:r>
        <w:rPr>
          <w:rFonts w:ascii="宋体" w:hAnsi="宋体" w:cs="宋体" w:eastAsia="宋体" w:hint="default"/>
          <w:spacing w:val="-2"/>
        </w:rPr>
        <w:t>2001</w:t>
      </w:r>
      <w:r>
        <w:rPr>
          <w:spacing w:val="-2"/>
        </w:rPr>
        <w:t>年</w:t>
      </w:r>
      <w:r>
        <w:rPr>
          <w:rFonts w:ascii="宋体" w:hAnsi="宋体" w:cs="宋体" w:eastAsia="宋体" w:hint="default"/>
          <w:spacing w:val="-2"/>
        </w:rPr>
        <w:t>5</w:t>
      </w:r>
      <w:r>
        <w:rPr>
          <w:spacing w:val="-2"/>
        </w:rPr>
        <w:t>月至</w:t>
      </w:r>
      <w:r>
        <w:rPr>
          <w:rFonts w:ascii="宋体" w:hAnsi="宋体" w:cs="宋体" w:eastAsia="宋体" w:hint="default"/>
          <w:spacing w:val="-2"/>
        </w:rPr>
        <w:t>2007</w:t>
      </w:r>
      <w:r>
        <w:rPr>
          <w:spacing w:val="-2"/>
        </w:rPr>
        <w:t>年</w:t>
      </w:r>
      <w:r>
        <w:rPr>
          <w:rFonts w:ascii="宋体" w:hAnsi="宋体" w:cs="宋体" w:eastAsia="宋体" w:hint="default"/>
          <w:spacing w:val="-2"/>
        </w:rPr>
        <w:t>9</w:t>
      </w:r>
      <w:r>
        <w:rPr>
          <w:spacing w:val="-2"/>
        </w:rPr>
        <w:t>月，历任中远</w:t>
      </w:r>
      <w:r>
        <w:rPr>
          <w:spacing w:val="-57"/>
        </w:rPr>
        <w:t> </w:t>
      </w:r>
      <w:r>
        <w:rPr>
          <w:spacing w:val="-57"/>
        </w:rPr>
      </w:r>
      <w:r>
        <w:rPr>
          <w:spacing w:val="-1"/>
        </w:rPr>
        <w:t>集装箱运输有限公司企业资讯发展部业务员，船务资讯部商务资讯业务经理，全球单证中心副经理、</w:t>
      </w:r>
    </w:p>
    <w:p>
      <w:pPr>
        <w:spacing w:after="0" w:line="259" w:lineRule="auto"/>
        <w:jc w:val="both"/>
        <w:sectPr>
          <w:pgSz w:w="11910" w:h="16840"/>
          <w:pgMar w:header="745" w:footer="979" w:top="1060" w:bottom="1160" w:left="980" w:right="0"/>
        </w:sectPr>
      </w:pPr>
    </w:p>
    <w:p>
      <w:pPr>
        <w:spacing w:line="240" w:lineRule="auto" w:before="5"/>
        <w:rPr>
          <w:rFonts w:ascii="宋体" w:hAnsi="宋体" w:cs="宋体" w:eastAsia="宋体" w:hint="default"/>
          <w:sz w:val="24"/>
          <w:szCs w:val="24"/>
        </w:rPr>
      </w:pPr>
    </w:p>
    <w:p>
      <w:pPr>
        <w:pStyle w:val="BodyText"/>
        <w:spacing w:line="259" w:lineRule="auto" w:before="32"/>
        <w:ind w:right="1133"/>
        <w:jc w:val="left"/>
        <w:rPr>
          <w:rFonts w:ascii="宋体" w:hAnsi="宋体" w:cs="宋体" w:eastAsia="宋体" w:hint="default"/>
        </w:rPr>
      </w:pPr>
      <w:r>
        <w:rPr>
          <w:spacing w:val="-2"/>
        </w:rPr>
        <w:t>经理；</w:t>
      </w:r>
      <w:r>
        <w:rPr>
          <w:rFonts w:ascii="宋体" w:hAnsi="宋体" w:cs="宋体" w:eastAsia="宋体" w:hint="default"/>
          <w:spacing w:val="-2"/>
        </w:rPr>
        <w:t>2007</w:t>
      </w:r>
      <w:r>
        <w:rPr>
          <w:spacing w:val="-2"/>
        </w:rPr>
        <w:t>年</w:t>
      </w:r>
      <w:r>
        <w:rPr>
          <w:rFonts w:ascii="宋体" w:hAnsi="宋体" w:cs="宋体" w:eastAsia="宋体" w:hint="default"/>
          <w:spacing w:val="-2"/>
        </w:rPr>
        <w:t>9</w:t>
      </w:r>
      <w:r>
        <w:rPr>
          <w:spacing w:val="-2"/>
        </w:rPr>
        <w:t>月至</w:t>
      </w:r>
      <w:r>
        <w:rPr>
          <w:rFonts w:ascii="宋体" w:hAnsi="宋体" w:cs="宋体" w:eastAsia="宋体" w:hint="default"/>
          <w:spacing w:val="-2"/>
        </w:rPr>
        <w:t>2016</w:t>
      </w:r>
      <w:r>
        <w:rPr>
          <w:spacing w:val="-2"/>
        </w:rPr>
        <w:t>年</w:t>
      </w:r>
      <w:r>
        <w:rPr>
          <w:rFonts w:ascii="宋体" w:hAnsi="宋体" w:cs="宋体" w:eastAsia="宋体" w:hint="default"/>
          <w:spacing w:val="-2"/>
        </w:rPr>
        <w:t>11</w:t>
      </w:r>
      <w:r>
        <w:rPr>
          <w:spacing w:val="-2"/>
        </w:rPr>
        <w:t>月，任上海中远资讯科技有限公司总经理、党委委员；</w:t>
      </w:r>
      <w:r>
        <w:rPr>
          <w:rFonts w:ascii="宋体" w:hAnsi="宋体" w:cs="宋体" w:eastAsia="宋体" w:hint="default"/>
          <w:spacing w:val="-2"/>
        </w:rPr>
        <w:t>2017</w:t>
      </w:r>
      <w:r>
        <w:rPr>
          <w:spacing w:val="-2"/>
        </w:rPr>
        <w:t>年</w:t>
      </w:r>
      <w:r>
        <w:rPr>
          <w:rFonts w:ascii="宋体" w:hAnsi="宋体" w:cs="宋体" w:eastAsia="宋体" w:hint="default"/>
          <w:spacing w:val="-2"/>
        </w:rPr>
        <w:t>2</w:t>
      </w:r>
      <w:r>
        <w:rPr>
          <w:spacing w:val="-2"/>
        </w:rPr>
        <w:t>月至</w:t>
      </w:r>
      <w:r>
        <w:rPr>
          <w:rFonts w:ascii="宋体" w:hAnsi="宋体" w:cs="宋体" w:eastAsia="宋体" w:hint="default"/>
          <w:spacing w:val="-2"/>
        </w:rPr>
        <w:t>2017</w:t>
      </w:r>
      <w:r>
        <w:rPr>
          <w:rFonts w:ascii="宋体" w:hAnsi="宋体" w:cs="宋体" w:eastAsia="宋体" w:hint="default"/>
          <w:spacing w:val="-54"/>
        </w:rPr>
        <w:t> </w:t>
      </w:r>
      <w:r>
        <w:rPr>
          <w:rFonts w:ascii="宋体" w:hAnsi="宋体" w:cs="宋体" w:eastAsia="宋体" w:hint="default"/>
          <w:spacing w:val="-54"/>
        </w:rPr>
      </w:r>
      <w:r>
        <w:rPr/>
        <w:t>年</w:t>
      </w:r>
      <w:r>
        <w:rPr>
          <w:rFonts w:ascii="宋体" w:hAnsi="宋体" w:cs="宋体" w:eastAsia="宋体" w:hint="default"/>
        </w:rPr>
        <w:t>8</w:t>
      </w:r>
      <w:r>
        <w:rPr/>
        <w:t>月，任中国远洋海运集团有限公司信息化业务推进小组组长。</w:t>
      </w:r>
      <w:r>
        <w:rPr>
          <w:rFonts w:ascii="宋体" w:hAnsi="宋体" w:cs="宋体" w:eastAsia="宋体" w:hint="default"/>
        </w:rPr>
        <w:t> </w:t>
      </w:r>
    </w:p>
    <w:p>
      <w:pPr>
        <w:pStyle w:val="BodyText"/>
        <w:spacing w:line="259" w:lineRule="auto" w:before="6"/>
        <w:ind w:right="0" w:firstLine="439"/>
        <w:jc w:val="left"/>
      </w:pPr>
      <w:r>
        <w:rPr>
          <w:rFonts w:ascii="宋体" w:hAnsi="宋体" w:cs="宋体" w:eastAsia="宋体" w:hint="default"/>
        </w:rPr>
        <w:t>5</w:t>
      </w:r>
      <w:r>
        <w:rPr/>
        <w:t>、林亦雯女士，中国国籍，无境外居留权，</w:t>
      </w:r>
      <w:r>
        <w:rPr>
          <w:rFonts w:ascii="宋体" w:hAnsi="宋体" w:cs="宋体" w:eastAsia="宋体" w:hint="default"/>
        </w:rPr>
        <w:t>1976</w:t>
      </w:r>
      <w:r>
        <w:rPr/>
        <w:t>年生，中共党员，大学本科学历，工学学士学</w:t>
      </w:r>
      <w:r>
        <w:rPr>
          <w:w w:val="100"/>
        </w:rPr>
        <w:t> </w:t>
      </w:r>
      <w:r>
        <w:rPr>
          <w:spacing w:val="-2"/>
        </w:rPr>
        <w:t>位，高级工程师。现任中远海运科技股份有限公司副总经理、党委委员，上海船舶运输科学研究所党</w:t>
      </w:r>
      <w:r>
        <w:rPr>
          <w:spacing w:val="-71"/>
        </w:rPr>
        <w:t> </w:t>
      </w:r>
      <w:r>
        <w:rPr>
          <w:spacing w:val="-71"/>
        </w:rPr>
      </w:r>
      <w:r>
        <w:rPr>
          <w:spacing w:val="-7"/>
        </w:rPr>
        <w:t>委委员，航运信息化业务总监，研发创新中心总经理，中远网络航海科技有限公司董事、总经理。</w:t>
      </w:r>
      <w:r>
        <w:rPr>
          <w:rFonts w:ascii="宋体" w:hAnsi="宋体" w:cs="宋体" w:eastAsia="宋体" w:hint="default"/>
          <w:spacing w:val="-7"/>
        </w:rPr>
        <w:t>1999</w:t>
      </w:r>
      <w:r>
        <w:rPr>
          <w:rFonts w:ascii="宋体" w:hAnsi="宋体" w:cs="宋体" w:eastAsia="宋体" w:hint="default"/>
          <w:spacing w:val="-47"/>
        </w:rPr>
        <w:t> </w:t>
      </w:r>
      <w:r>
        <w:rPr>
          <w:rFonts w:ascii="宋体" w:hAnsi="宋体" w:cs="宋体" w:eastAsia="宋体" w:hint="default"/>
          <w:spacing w:val="-47"/>
        </w:rPr>
      </w:r>
      <w:r>
        <w:rPr/>
        <w:t>年</w:t>
      </w:r>
      <w:r>
        <w:rPr>
          <w:rFonts w:ascii="宋体" w:hAnsi="宋体" w:cs="宋体" w:eastAsia="宋体" w:hint="default"/>
        </w:rPr>
        <w:t>8</w:t>
      </w:r>
      <w:r>
        <w:rPr/>
        <w:t>月至</w:t>
      </w:r>
      <w:r>
        <w:rPr>
          <w:rFonts w:ascii="宋体" w:hAnsi="宋体" w:cs="宋体" w:eastAsia="宋体" w:hint="default"/>
        </w:rPr>
        <w:t>2003</w:t>
      </w:r>
      <w:r>
        <w:rPr/>
        <w:t>年</w:t>
      </w:r>
      <w:r>
        <w:rPr>
          <w:rFonts w:ascii="宋体" w:hAnsi="宋体" w:cs="宋体" w:eastAsia="宋体" w:hint="default"/>
        </w:rPr>
        <w:t>7</w:t>
      </w:r>
      <w:r>
        <w:rPr/>
        <w:t>月，历任中海电信有限公司信息中心开发科科员，副科长；</w:t>
      </w:r>
      <w:r>
        <w:rPr>
          <w:rFonts w:ascii="宋体" w:hAnsi="宋体" w:cs="宋体" w:eastAsia="宋体" w:hint="default"/>
        </w:rPr>
        <w:t>2003</w:t>
      </w:r>
      <w:r>
        <w:rPr/>
        <w:t>年</w:t>
      </w:r>
      <w:r>
        <w:rPr>
          <w:rFonts w:ascii="宋体" w:hAnsi="宋体" w:cs="宋体" w:eastAsia="宋体" w:hint="default"/>
        </w:rPr>
        <w:t>8</w:t>
      </w:r>
      <w:r>
        <w:rPr/>
        <w:t>月至</w:t>
      </w:r>
      <w:r>
        <w:rPr>
          <w:rFonts w:ascii="宋体" w:hAnsi="宋体" w:cs="宋体" w:eastAsia="宋体" w:hint="default"/>
        </w:rPr>
        <w:t>2008</w:t>
      </w:r>
      <w:r>
        <w:rPr/>
        <w:t>年</w:t>
      </w:r>
      <w:r>
        <w:rPr>
          <w:rFonts w:ascii="宋体" w:hAnsi="宋体" w:cs="宋体" w:eastAsia="宋体" w:hint="default"/>
        </w:rPr>
        <w:t>9</w:t>
      </w:r>
      <w:r>
        <w:rPr/>
        <w:t>月，</w:t>
      </w:r>
      <w:r>
        <w:rPr>
          <w:w w:val="100"/>
        </w:rPr>
        <w:t> </w:t>
      </w:r>
      <w:r>
        <w:rPr>
          <w:spacing w:val="-2"/>
        </w:rPr>
        <w:t>任环州电脑有限公司研发一部高级主管；</w:t>
      </w:r>
      <w:r>
        <w:rPr>
          <w:rFonts w:ascii="宋体" w:hAnsi="宋体" w:cs="宋体" w:eastAsia="宋体" w:hint="default"/>
          <w:spacing w:val="-2"/>
        </w:rPr>
        <w:t>2008</w:t>
      </w:r>
      <w:r>
        <w:rPr>
          <w:spacing w:val="-2"/>
        </w:rPr>
        <w:t>年</w:t>
      </w:r>
      <w:r>
        <w:rPr>
          <w:rFonts w:ascii="宋体" w:hAnsi="宋体" w:cs="宋体" w:eastAsia="宋体" w:hint="default"/>
          <w:spacing w:val="-2"/>
        </w:rPr>
        <w:t>9</w:t>
      </w:r>
      <w:r>
        <w:rPr>
          <w:spacing w:val="-2"/>
        </w:rPr>
        <w:t>月至</w:t>
      </w:r>
      <w:r>
        <w:rPr>
          <w:rFonts w:ascii="宋体" w:hAnsi="宋体" w:cs="宋体" w:eastAsia="宋体" w:hint="default"/>
          <w:spacing w:val="-2"/>
        </w:rPr>
        <w:t>2012</w:t>
      </w:r>
      <w:r>
        <w:rPr>
          <w:spacing w:val="-2"/>
        </w:rPr>
        <w:t>年</w:t>
      </w:r>
      <w:r>
        <w:rPr>
          <w:rFonts w:ascii="宋体" w:hAnsi="宋体" w:cs="宋体" w:eastAsia="宋体" w:hint="default"/>
          <w:spacing w:val="-2"/>
        </w:rPr>
        <w:t>9</w:t>
      </w:r>
      <w:r>
        <w:rPr>
          <w:spacing w:val="-2"/>
        </w:rPr>
        <w:t>月，历任中海信息系统有限公司研发一</w:t>
      </w:r>
      <w:r>
        <w:rPr>
          <w:spacing w:val="-62"/>
        </w:rPr>
        <w:t> </w:t>
      </w:r>
      <w:r>
        <w:rPr>
          <w:spacing w:val="-62"/>
        </w:rPr>
      </w:r>
      <w:r>
        <w:rPr/>
        <w:t>部副经理（主持工作），经理；</w:t>
      </w:r>
      <w:r>
        <w:rPr>
          <w:rFonts w:ascii="宋体" w:hAnsi="宋体" w:cs="宋体" w:eastAsia="宋体" w:hint="default"/>
        </w:rPr>
        <w:t>2012</w:t>
      </w:r>
      <w:r>
        <w:rPr/>
        <w:t>年</w:t>
      </w:r>
      <w:r>
        <w:rPr>
          <w:rFonts w:ascii="宋体" w:hAnsi="宋体" w:cs="宋体" w:eastAsia="宋体" w:hint="default"/>
        </w:rPr>
        <w:t>9</w:t>
      </w:r>
      <w:r>
        <w:rPr/>
        <w:t>月至</w:t>
      </w:r>
      <w:r>
        <w:rPr>
          <w:rFonts w:ascii="宋体" w:hAnsi="宋体" w:cs="宋体" w:eastAsia="宋体" w:hint="default"/>
        </w:rPr>
        <w:t>2014</w:t>
      </w:r>
      <w:r>
        <w:rPr/>
        <w:t>年</w:t>
      </w:r>
      <w:r>
        <w:rPr>
          <w:rFonts w:ascii="宋体" w:hAnsi="宋体" w:cs="宋体" w:eastAsia="宋体" w:hint="default"/>
        </w:rPr>
        <w:t>12</w:t>
      </w:r>
      <w:r>
        <w:rPr/>
        <w:t>月，任中海信息系统有限公司副总经理；</w:t>
      </w:r>
      <w:r>
        <w:rPr>
          <w:rFonts w:ascii="宋体" w:hAnsi="宋体" w:cs="宋体" w:eastAsia="宋体" w:hint="default"/>
        </w:rPr>
        <w:t>2015</w:t>
      </w:r>
      <w:r>
        <w:rPr>
          <w:rFonts w:ascii="宋体" w:hAnsi="宋体" w:cs="宋体" w:eastAsia="宋体" w:hint="default"/>
          <w:spacing w:val="-44"/>
        </w:rPr>
        <w:t> </w:t>
      </w:r>
      <w:r>
        <w:rPr>
          <w:spacing w:val="-2"/>
        </w:rPr>
        <w:t>年</w:t>
      </w:r>
      <w:r>
        <w:rPr>
          <w:rFonts w:ascii="宋体" w:hAnsi="宋体" w:cs="宋体" w:eastAsia="宋体" w:hint="default"/>
          <w:spacing w:val="-2"/>
        </w:rPr>
        <w:t>1</w:t>
      </w:r>
      <w:r>
        <w:rPr>
          <w:spacing w:val="-2"/>
        </w:rPr>
        <w:t>月至</w:t>
      </w:r>
      <w:r>
        <w:rPr>
          <w:rFonts w:ascii="宋体" w:hAnsi="宋体" w:cs="宋体" w:eastAsia="宋体" w:hint="default"/>
          <w:spacing w:val="-2"/>
        </w:rPr>
        <w:t>2018</w:t>
      </w:r>
      <w:r>
        <w:rPr>
          <w:spacing w:val="-2"/>
        </w:rPr>
        <w:t>年</w:t>
      </w:r>
      <w:r>
        <w:rPr>
          <w:rFonts w:ascii="宋体" w:hAnsi="宋体" w:cs="宋体" w:eastAsia="宋体" w:hint="default"/>
          <w:spacing w:val="-2"/>
        </w:rPr>
        <w:t>2</w:t>
      </w:r>
      <w:r>
        <w:rPr>
          <w:spacing w:val="-2"/>
        </w:rPr>
        <w:t>月，任中海网络科技股份有限公司（于</w:t>
      </w:r>
      <w:r>
        <w:rPr>
          <w:rFonts w:ascii="宋体" w:hAnsi="宋体" w:cs="宋体" w:eastAsia="宋体" w:hint="default"/>
          <w:spacing w:val="-2"/>
        </w:rPr>
        <w:t>2017</w:t>
      </w:r>
      <w:r>
        <w:rPr>
          <w:spacing w:val="-2"/>
        </w:rPr>
        <w:t>年</w:t>
      </w:r>
      <w:r>
        <w:rPr>
          <w:rFonts w:ascii="宋体" w:hAnsi="宋体" w:cs="宋体" w:eastAsia="宋体" w:hint="default"/>
          <w:spacing w:val="-2"/>
        </w:rPr>
        <w:t>5</w:t>
      </w:r>
      <w:r>
        <w:rPr>
          <w:spacing w:val="-2"/>
        </w:rPr>
        <w:t>月更名为中远海运科技股份有限公司）</w:t>
      </w:r>
      <w:r>
        <w:rPr>
          <w:spacing w:val="-62"/>
        </w:rPr>
        <w:t> </w:t>
      </w:r>
      <w:r>
        <w:rPr>
          <w:spacing w:val="-62"/>
        </w:rPr>
      </w:r>
      <w:r>
        <w:rPr/>
        <w:t>副总经理；</w:t>
      </w:r>
      <w:r>
        <w:rPr>
          <w:rFonts w:ascii="宋体" w:hAnsi="宋体" w:cs="宋体" w:eastAsia="宋体" w:hint="default"/>
        </w:rPr>
        <w:t>2018</w:t>
      </w:r>
      <w:r>
        <w:rPr/>
        <w:t>年</w:t>
      </w:r>
      <w:r>
        <w:rPr>
          <w:rFonts w:ascii="宋体" w:hAnsi="宋体" w:cs="宋体" w:eastAsia="宋体" w:hint="default"/>
        </w:rPr>
        <w:t>2</w:t>
      </w:r>
      <w:r>
        <w:rPr/>
        <w:t>月至</w:t>
      </w:r>
      <w:r>
        <w:rPr>
          <w:rFonts w:ascii="宋体" w:hAnsi="宋体" w:cs="宋体" w:eastAsia="宋体" w:hint="default"/>
        </w:rPr>
        <w:t>2020</w:t>
      </w:r>
      <w:r>
        <w:rPr/>
        <w:t>年</w:t>
      </w:r>
      <w:r>
        <w:rPr>
          <w:rFonts w:ascii="宋体" w:hAnsi="宋体" w:cs="宋体" w:eastAsia="宋体" w:hint="default"/>
        </w:rPr>
        <w:t>1</w:t>
      </w:r>
      <w:r>
        <w:rPr/>
        <w:t>月，历任中远海运科技股份有限公司航运信息化业务总监，航运信息</w:t>
      </w:r>
      <w:r>
        <w:rPr>
          <w:w w:val="100"/>
        </w:rPr>
        <w:t> </w:t>
      </w:r>
      <w:r>
        <w:rPr/>
        <w:t>化业务总监、研发创新中心总经理。</w:t>
      </w:r>
    </w:p>
    <w:p>
      <w:pPr>
        <w:spacing w:before="78"/>
        <w:ind w:left="152" w:right="1133"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5"/>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17"/>
        <w:gridCol w:w="3231"/>
        <w:gridCol w:w="1078"/>
        <w:gridCol w:w="1212"/>
        <w:gridCol w:w="1347"/>
        <w:gridCol w:w="1486"/>
      </w:tblGrid>
      <w:tr>
        <w:trPr>
          <w:trHeight w:val="713"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0"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4" w:right="82"/>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6" w:right="107" w:hanging="89"/>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5" w:hRule="exact"/>
        </w:trPr>
        <w:tc>
          <w:tcPr>
            <w:tcW w:w="12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蔡惠星</w:t>
            </w:r>
          </w:p>
        </w:tc>
        <w:tc>
          <w:tcPr>
            <w:tcW w:w="32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上海船舶运输科学研究所</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17" w:type="dxa"/>
            <w:vMerge/>
            <w:tcBorders>
              <w:left w:val="single" w:sz="4" w:space="0" w:color="000000"/>
              <w:bottom w:val="single" w:sz="4" w:space="0" w:color="000000"/>
              <w:right w:val="single" w:sz="4" w:space="0" w:color="000000"/>
            </w:tcBorders>
          </w:tcPr>
          <w:p>
            <w:pPr/>
          </w:p>
        </w:tc>
        <w:tc>
          <w:tcPr>
            <w:tcW w:w="3231" w:type="dxa"/>
            <w:vMerge/>
            <w:tcBorders>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所长</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86" w:type="dxa"/>
            <w:vMerge/>
            <w:tcBorders>
              <w:left w:val="single" w:sz="4" w:space="0" w:color="000000"/>
              <w:bottom w:val="single" w:sz="4" w:space="0" w:color="000000"/>
              <w:right w:val="single" w:sz="4" w:space="0" w:color="000000"/>
            </w:tcBorders>
          </w:tcPr>
          <w:p>
            <w:pPr/>
          </w:p>
        </w:tc>
      </w:tr>
      <w:tr>
        <w:trPr>
          <w:trHeight w:val="716" w:hRule="exact"/>
        </w:trPr>
        <w:tc>
          <w:tcPr>
            <w:tcW w:w="12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夏蔚</w:t>
            </w:r>
          </w:p>
        </w:tc>
        <w:tc>
          <w:tcPr>
            <w:tcW w:w="32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上海船舶运输科学研究所</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17" w:type="dxa"/>
            <w:vMerge/>
            <w:tcBorders>
              <w:left w:val="single" w:sz="4" w:space="0" w:color="000000"/>
              <w:bottom w:val="single" w:sz="4" w:space="0" w:color="000000"/>
              <w:right w:val="single" w:sz="4" w:space="0" w:color="000000"/>
            </w:tcBorders>
          </w:tcPr>
          <w:p>
            <w:pPr/>
          </w:p>
        </w:tc>
        <w:tc>
          <w:tcPr>
            <w:tcW w:w="3231" w:type="dxa"/>
            <w:vMerge/>
            <w:tcBorders>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副所长</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86" w:type="dxa"/>
            <w:vMerge/>
            <w:tcBorders>
              <w:left w:val="single" w:sz="4" w:space="0" w:color="000000"/>
              <w:bottom w:val="single" w:sz="4" w:space="0" w:color="000000"/>
              <w:right w:val="single" w:sz="4" w:space="0" w:color="000000"/>
            </w:tcBorders>
          </w:tcPr>
          <w:p>
            <w:pPr/>
          </w:p>
        </w:tc>
      </w:tr>
      <w:tr>
        <w:trPr>
          <w:trHeight w:val="715"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刘竹声</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上海船舶运输科学研究所</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1"/>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5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5"/>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43" w:right="50"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蔡惠星</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中远海运古野通信导航科技（上海）有限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蔡惠星</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上海船研迈瑞海事技术有限责任公司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夏蔚</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中海电信有限公司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周群</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中远海运科技（北京）有限公司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29</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周群</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北京中远海运数字科技有限公司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周群</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中远网络航海科技有限公司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周群</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宁夏交投科技发展有限公司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周群</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深圳一海通全球供应链管理有限公司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李国荣</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宋体" w:hAnsi="宋体" w:cs="宋体" w:eastAsia="宋体" w:hint="default"/>
                <w:spacing w:val="-4"/>
                <w:sz w:val="18"/>
                <w:szCs w:val="18"/>
              </w:rPr>
              <w:t>中远海运（大连）公司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中远海运客运有限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李国荣</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中远海运（广州）有限公司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李国荣</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中远海运重工有限公司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李国荣</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中远海运（天津）有限公司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方楚南</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中远海运集团财务有限责任公司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方楚南</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中远海运大连投资有限公司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方楚南</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中远海运博鳌有限公司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钱志昂</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1"/>
              <w:jc w:val="left"/>
              <w:rPr>
                <w:rFonts w:ascii="宋体" w:hAnsi="宋体" w:cs="宋体" w:eastAsia="宋体" w:hint="default"/>
                <w:sz w:val="18"/>
                <w:szCs w:val="18"/>
              </w:rPr>
            </w:pPr>
            <w:r>
              <w:rPr>
                <w:rFonts w:ascii="宋体" w:hAnsi="宋体" w:cs="宋体" w:eastAsia="宋体" w:hint="default"/>
                <w:spacing w:val="-8"/>
                <w:sz w:val="18"/>
                <w:szCs w:val="18"/>
              </w:rPr>
              <w:t>董事、高级合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钱志昂</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上海华东电脑股份有限公司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钱志昂</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山东丽鹏股份有限公司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王清华</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上海市锦天城律师事务所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高级合伙人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复旦大学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1"/>
              <w:jc w:val="left"/>
              <w:rPr>
                <w:rFonts w:ascii="宋体" w:hAnsi="宋体" w:cs="宋体" w:eastAsia="宋体" w:hint="default"/>
                <w:sz w:val="18"/>
                <w:szCs w:val="18"/>
              </w:rPr>
            </w:pPr>
            <w:r>
              <w:rPr>
                <w:rFonts w:ascii="宋体" w:hAnsi="宋体" w:cs="宋体" w:eastAsia="宋体" w:hint="default"/>
                <w:spacing w:val="-8"/>
                <w:sz w:val="18"/>
                <w:szCs w:val="18"/>
              </w:rPr>
              <w:t>教授、博士生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导师</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7"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叶红军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中国远洋海运集团有限公司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总法律顾问、 法务与风险 管理本部总 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叶红军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中远海运发展股份有限公司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30</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1337"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郝文义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中国远洋海运集团有限公司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纪检监察组 常务副组长 兼任纪检监 察部部长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郝文义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中远海运控股股份有限公司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郝文义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中远海运发展股份有限公司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郝文义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中远海运特种运输股份有限公司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杨阳</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中海环境科技（上海）股份有限公司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杨阳</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上海交通设计所有限公司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杨阳</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中远海运古野通信导航科技（上海）有限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杨阳</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上海运昌商贸发展有限公司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程丽</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中远海运科技（北京）有限公司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程丽</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北京中远海运数字科技有限公司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程丽</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中远网络航海科技有限公司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程丽</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上海中远海运资讯科技有限公司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吴中岱</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上海中远海运资讯科技有限公司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王新波</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中远海运科技（北京）有限公司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王新波</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北京中远海运数字科技有限公司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王新波</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中远网络航海科技有限公司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王新波</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上海中远海运资讯科技有限公司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spacing w:before="44"/>
        <w:ind w:left="39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left="392" w:right="0"/>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spacing w:before="0"/>
        <w:ind w:left="392"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pStyle w:val="BodyText"/>
        <w:spacing w:line="244" w:lineRule="auto" w:before="85"/>
        <w:ind w:left="392" w:right="0" w:firstLine="439"/>
        <w:jc w:val="left"/>
      </w:pPr>
      <w:r>
        <w:rPr>
          <w:rFonts w:ascii="Times New Roman" w:hAnsi="Times New Roman" w:cs="Times New Roman" w:eastAsia="Times New Roman" w:hint="default"/>
          <w:spacing w:val="-1"/>
        </w:rPr>
        <w:t>1</w:t>
      </w:r>
      <w:r>
        <w:rPr>
          <w:spacing w:val="-1"/>
        </w:rPr>
        <w:t>、报告期内在公司担任经营管理职务的董事、监事和高级管理人员按其行政岗位及职务，结合</w:t>
      </w:r>
      <w:r>
        <w:rPr>
          <w:w w:val="100"/>
        </w:rPr>
        <w:t> </w:t>
      </w:r>
      <w:r>
        <w:rPr/>
        <w:t>公司经营业绩完成情况，对其进行考核后发放报酬；</w:t>
      </w:r>
    </w:p>
    <w:p>
      <w:pPr>
        <w:pStyle w:val="BodyText"/>
        <w:spacing w:line="244" w:lineRule="auto" w:before="60"/>
        <w:ind w:left="392" w:right="0" w:firstLine="439"/>
        <w:jc w:val="left"/>
      </w:pPr>
      <w:r>
        <w:rPr>
          <w:rFonts w:ascii="Times New Roman" w:hAnsi="Times New Roman" w:cs="Times New Roman" w:eastAsia="Times New Roman" w:hint="default"/>
          <w:spacing w:val="-1"/>
        </w:rPr>
        <w:t>2</w:t>
      </w:r>
      <w:r>
        <w:rPr>
          <w:spacing w:val="-1"/>
        </w:rPr>
        <w:t>、公司独立董事津贴每人每年</w:t>
      </w:r>
      <w:r>
        <w:rPr>
          <w:rFonts w:ascii="Times New Roman" w:hAnsi="Times New Roman" w:cs="Times New Roman" w:eastAsia="Times New Roman" w:hint="default"/>
          <w:spacing w:val="-1"/>
        </w:rPr>
        <w:t>12</w:t>
      </w:r>
      <w:r>
        <w:rPr>
          <w:spacing w:val="-1"/>
        </w:rPr>
        <w:t>万元（含税），由公司</w:t>
      </w:r>
      <w:r>
        <w:rPr>
          <w:rFonts w:ascii="Times New Roman" w:hAnsi="Times New Roman" w:cs="Times New Roman" w:eastAsia="Times New Roman" w:hint="default"/>
          <w:spacing w:val="-1"/>
        </w:rPr>
        <w:t>2017</w:t>
      </w:r>
      <w:r>
        <w:rPr>
          <w:spacing w:val="-1"/>
        </w:rPr>
        <w:t>年度股东大会审议通过，独立董事</w:t>
      </w:r>
      <w:r>
        <w:rPr>
          <w:w w:val="100"/>
        </w:rPr>
        <w:t> </w:t>
      </w:r>
      <w:r>
        <w:rPr/>
        <w:t>为履行职责所发生的费用由公司据实报销；</w:t>
      </w:r>
    </w:p>
    <w:p>
      <w:pPr>
        <w:pStyle w:val="BodyText"/>
        <w:spacing w:line="240" w:lineRule="auto" w:before="60"/>
        <w:ind w:left="748" w:right="0"/>
        <w:jc w:val="left"/>
      </w:pPr>
      <w:r>
        <w:rPr>
          <w:rFonts w:ascii="Times New Roman" w:hAnsi="Times New Roman" w:cs="Times New Roman" w:eastAsia="Times New Roman" w:hint="default"/>
        </w:rPr>
        <w:t>3</w:t>
      </w:r>
      <w:r>
        <w:rPr/>
        <w:t>、不在公司担任经营管理职务的董事（独立董事除外），均不领取公司薪酬。</w:t>
      </w:r>
    </w:p>
    <w:p>
      <w:pPr>
        <w:spacing w:before="76"/>
        <w:ind w:left="392"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1368"/>
        <w:gridCol w:w="1368"/>
        <w:gridCol w:w="802"/>
        <w:gridCol w:w="850"/>
        <w:gridCol w:w="991"/>
        <w:gridCol w:w="994"/>
        <w:gridCol w:w="1274"/>
        <w:gridCol w:w="1277"/>
        <w:gridCol w:w="1267"/>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354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6" w:right="0"/>
              <w:jc w:val="left"/>
              <w:rPr>
                <w:rFonts w:ascii="宋体" w:hAnsi="宋体" w:cs="宋体" w:eastAsia="宋体" w:hint="default"/>
                <w:sz w:val="18"/>
                <w:szCs w:val="18"/>
              </w:rPr>
            </w:pPr>
            <w:r>
              <w:rPr>
                <w:rFonts w:ascii="宋体" w:hAnsi="宋体" w:cs="宋体" w:eastAsia="宋体" w:hint="default"/>
                <w:sz w:val="18"/>
                <w:szCs w:val="18"/>
              </w:rPr>
              <w:t>从公司获得的税前报酬</w:t>
            </w:r>
          </w:p>
        </w:tc>
        <w:tc>
          <w:tcPr>
            <w:tcW w:w="12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归属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132" w:right="0"/>
              <w:jc w:val="left"/>
              <w:rPr>
                <w:rFonts w:ascii="宋体" w:hAnsi="宋体" w:cs="宋体" w:eastAsia="宋体" w:hint="default"/>
                <w:sz w:val="18"/>
                <w:szCs w:val="18"/>
              </w:rPr>
            </w:pPr>
            <w:r>
              <w:rPr>
                <w:rFonts w:ascii="宋体" w:hAnsi="宋体" w:cs="宋体" w:eastAsia="宋体" w:hint="default"/>
                <w:sz w:val="18"/>
                <w:szCs w:val="18"/>
              </w:rPr>
              <w:t>年度薪酬</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延期支付</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p>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年度薪酬</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延期支付</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年度薪酬</w:t>
            </w:r>
          </w:p>
        </w:tc>
        <w:tc>
          <w:tcPr>
            <w:tcW w:w="1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8" w:right="86"/>
              <w:jc w:val="left"/>
              <w:rPr>
                <w:rFonts w:ascii="宋体" w:hAnsi="宋体" w:cs="宋体" w:eastAsia="宋体" w:hint="default"/>
                <w:sz w:val="18"/>
                <w:szCs w:val="18"/>
              </w:rPr>
            </w:pPr>
            <w:r>
              <w:rPr>
                <w:rFonts w:ascii="宋体" w:hAnsi="宋体" w:cs="宋体" w:eastAsia="宋体" w:hint="default"/>
                <w:sz w:val="18"/>
                <w:szCs w:val="18"/>
              </w:rPr>
              <w:t>是否在公司关 联方获取报酬</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蔡惠星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1" w:right="0"/>
              <w:jc w:val="left"/>
              <w:rPr>
                <w:rFonts w:ascii="Times New Roman" w:hAnsi="Times New Roman" w:cs="Times New Roman" w:eastAsia="Times New Roman" w:hint="default"/>
                <w:sz w:val="18"/>
                <w:szCs w:val="18"/>
              </w:rPr>
            </w:pPr>
            <w:r>
              <w:rPr>
                <w:rFonts w:ascii="Times New Roman"/>
                <w:sz w:val="18"/>
              </w:rPr>
              <w:t>59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夏蔚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1" w:right="0"/>
              <w:jc w:val="left"/>
              <w:rPr>
                <w:rFonts w:ascii="Times New Roman" w:hAnsi="Times New Roman" w:cs="Times New Roman" w:eastAsia="Times New Roman" w:hint="default"/>
                <w:sz w:val="18"/>
                <w:szCs w:val="18"/>
              </w:rPr>
            </w:pPr>
            <w:r>
              <w:rPr>
                <w:rFonts w:ascii="Times New Roman"/>
                <w:sz w:val="18"/>
              </w:rPr>
              <w:t>59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周群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1" w:right="0"/>
              <w:jc w:val="left"/>
              <w:rPr>
                <w:rFonts w:ascii="Times New Roman" w:hAnsi="Times New Roman" w:cs="Times New Roman" w:eastAsia="Times New Roman" w:hint="default"/>
                <w:sz w:val="18"/>
                <w:szCs w:val="18"/>
              </w:rPr>
            </w:pPr>
            <w:r>
              <w:rPr>
                <w:rFonts w:ascii="Times New Roman"/>
                <w:sz w:val="18"/>
              </w:rPr>
              <w:t>58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56.80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86.70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李国荣</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1" w:right="0"/>
              <w:jc w:val="left"/>
              <w:rPr>
                <w:rFonts w:ascii="Times New Roman" w:hAnsi="Times New Roman" w:cs="Times New Roman" w:eastAsia="Times New Roman" w:hint="default"/>
                <w:sz w:val="18"/>
                <w:szCs w:val="18"/>
              </w:rPr>
            </w:pPr>
            <w:r>
              <w:rPr>
                <w:rFonts w:ascii="Times New Roman"/>
                <w:sz w:val="18"/>
              </w:rPr>
              <w:t>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方楚南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1" w:right="0"/>
              <w:jc w:val="left"/>
              <w:rPr>
                <w:rFonts w:ascii="Times New Roman" w:hAnsi="Times New Roman" w:cs="Times New Roman" w:eastAsia="Times New Roman" w:hint="default"/>
                <w:sz w:val="18"/>
                <w:szCs w:val="18"/>
              </w:rPr>
            </w:pPr>
            <w:r>
              <w:rPr>
                <w:rFonts w:ascii="Times New Roman"/>
                <w:sz w:val="18"/>
              </w:rPr>
              <w:t>58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刘竹声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1" w:right="0"/>
              <w:jc w:val="left"/>
              <w:rPr>
                <w:rFonts w:ascii="Times New Roman" w:hAnsi="Times New Roman" w:cs="Times New Roman" w:eastAsia="Times New Roman" w:hint="default"/>
                <w:sz w:val="18"/>
                <w:szCs w:val="18"/>
              </w:rPr>
            </w:pPr>
            <w:r>
              <w:rPr>
                <w:rFonts w:ascii="Times New Roman"/>
                <w:sz w:val="18"/>
              </w:rPr>
              <w:t>58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钱志昂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1" w:right="0"/>
              <w:jc w:val="left"/>
              <w:rPr>
                <w:rFonts w:ascii="Times New Roman" w:hAnsi="Times New Roman" w:cs="Times New Roman" w:eastAsia="Times New Roman" w:hint="default"/>
                <w:sz w:val="18"/>
                <w:szCs w:val="18"/>
              </w:rPr>
            </w:pPr>
            <w:r>
              <w:rPr>
                <w:rFonts w:ascii="Times New Roman"/>
                <w:sz w:val="18"/>
              </w:rPr>
              <w:t>53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王清华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1" w:right="0"/>
              <w:jc w:val="left"/>
              <w:rPr>
                <w:rFonts w:ascii="Times New Roman" w:hAnsi="Times New Roman" w:cs="Times New Roman" w:eastAsia="Times New Roman" w:hint="default"/>
                <w:sz w:val="18"/>
                <w:szCs w:val="18"/>
              </w:rPr>
            </w:pPr>
            <w:r>
              <w:rPr>
                <w:rFonts w:ascii="Times New Roman"/>
                <w:sz w:val="18"/>
              </w:rPr>
              <w:t>46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杨珉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1" w:right="0"/>
              <w:jc w:val="left"/>
              <w:rPr>
                <w:rFonts w:ascii="Times New Roman" w:hAnsi="Times New Roman" w:cs="Times New Roman" w:eastAsia="Times New Roman" w:hint="default"/>
                <w:sz w:val="18"/>
                <w:szCs w:val="18"/>
              </w:rPr>
            </w:pPr>
            <w:r>
              <w:rPr>
                <w:rFonts w:ascii="Times New Roman"/>
                <w:sz w:val="18"/>
              </w:rPr>
              <w:t>41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叶红军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1" w:right="0"/>
              <w:jc w:val="left"/>
              <w:rPr>
                <w:rFonts w:ascii="Times New Roman" w:hAnsi="Times New Roman" w:cs="Times New Roman" w:eastAsia="Times New Roman" w:hint="default"/>
                <w:sz w:val="18"/>
                <w:szCs w:val="18"/>
              </w:rPr>
            </w:pPr>
            <w:r>
              <w:rPr>
                <w:rFonts w:ascii="Times New Roman"/>
                <w:sz w:val="18"/>
              </w:rPr>
              <w:t>57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郝文义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1" w:right="0"/>
              <w:jc w:val="left"/>
              <w:rPr>
                <w:rFonts w:ascii="Times New Roman" w:hAnsi="Times New Roman" w:cs="Times New Roman" w:eastAsia="Times New Roman" w:hint="default"/>
                <w:sz w:val="18"/>
                <w:szCs w:val="18"/>
              </w:rPr>
            </w:pPr>
            <w:r>
              <w:rPr>
                <w:rFonts w:ascii="Times New Roman"/>
                <w:sz w:val="18"/>
              </w:rPr>
              <w:t>57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杨阳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1" w:right="0"/>
              <w:jc w:val="left"/>
              <w:rPr>
                <w:rFonts w:ascii="Times New Roman" w:hAnsi="Times New Roman" w:cs="Times New Roman" w:eastAsia="Times New Roman" w:hint="default"/>
                <w:sz w:val="18"/>
                <w:szCs w:val="18"/>
              </w:rPr>
            </w:pPr>
            <w:r>
              <w:rPr>
                <w:rFonts w:ascii="Times New Roman"/>
                <w:sz w:val="18"/>
              </w:rPr>
              <w:t>54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0.50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陈建飞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1" w:right="0"/>
              <w:jc w:val="left"/>
              <w:rPr>
                <w:rFonts w:ascii="Times New Roman" w:hAnsi="Times New Roman" w:cs="Times New Roman" w:eastAsia="Times New Roman" w:hint="default"/>
                <w:sz w:val="18"/>
                <w:szCs w:val="18"/>
              </w:rPr>
            </w:pPr>
            <w:r>
              <w:rPr>
                <w:rFonts w:ascii="Times New Roman"/>
                <w:sz w:val="18"/>
              </w:rPr>
              <w:t>58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42.24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程丽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1" w:right="0"/>
              <w:jc w:val="left"/>
              <w:rPr>
                <w:rFonts w:ascii="Times New Roman" w:hAnsi="Times New Roman" w:cs="Times New Roman" w:eastAsia="Times New Roman" w:hint="default"/>
                <w:sz w:val="18"/>
                <w:szCs w:val="18"/>
              </w:rPr>
            </w:pPr>
            <w:r>
              <w:rPr>
                <w:rFonts w:ascii="Times New Roman"/>
                <w:sz w:val="18"/>
              </w:rPr>
              <w:t>47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38.76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吴中岱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副总经理、总工 程师</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1" w:right="0"/>
              <w:jc w:val="left"/>
              <w:rPr>
                <w:rFonts w:ascii="Times New Roman" w:hAnsi="Times New Roman" w:cs="Times New Roman" w:eastAsia="Times New Roman" w:hint="default"/>
                <w:sz w:val="18"/>
                <w:szCs w:val="18"/>
              </w:rPr>
            </w:pPr>
            <w:r>
              <w:rPr>
                <w:rFonts w:ascii="Times New Roman"/>
                <w:sz w:val="18"/>
              </w:rPr>
              <w:t>43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46.60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0.41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戴静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总会计师、董事 会秘书</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1" w:right="0"/>
              <w:jc w:val="left"/>
              <w:rPr>
                <w:rFonts w:ascii="Times New Roman" w:hAnsi="Times New Roman" w:cs="Times New Roman" w:eastAsia="Times New Roman" w:hint="default"/>
                <w:sz w:val="18"/>
                <w:szCs w:val="18"/>
              </w:rPr>
            </w:pPr>
            <w:r>
              <w:rPr>
                <w:rFonts w:ascii="Times New Roman"/>
                <w:sz w:val="18"/>
              </w:rPr>
              <w:t>47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46.60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71.39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王新波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1" w:right="0"/>
              <w:jc w:val="left"/>
              <w:rPr>
                <w:rFonts w:ascii="Times New Roman" w:hAnsi="Times New Roman" w:cs="Times New Roman" w:eastAsia="Times New Roman" w:hint="default"/>
                <w:sz w:val="18"/>
                <w:szCs w:val="18"/>
              </w:rPr>
            </w:pPr>
            <w:r>
              <w:rPr>
                <w:rFonts w:ascii="Times New Roman"/>
                <w:sz w:val="18"/>
              </w:rPr>
              <w:t>44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46.60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70.47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0.82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刘一凡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1" w:right="0"/>
              <w:jc w:val="left"/>
              <w:rPr>
                <w:rFonts w:ascii="Times New Roman" w:hAnsi="Times New Roman" w:cs="Times New Roman" w:eastAsia="Times New Roman" w:hint="default"/>
                <w:sz w:val="18"/>
                <w:szCs w:val="18"/>
              </w:rPr>
            </w:pPr>
            <w:r>
              <w:rPr>
                <w:rFonts w:ascii="Times New Roman"/>
                <w:sz w:val="18"/>
              </w:rPr>
              <w:t>57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79" w:top="1060" w:bottom="1160" w:left="740" w:right="0"/>
        </w:sectPr>
      </w:pPr>
    </w:p>
    <w:p>
      <w:pPr>
        <w:spacing w:line="240" w:lineRule="auto" w:before="6"/>
        <w:rPr>
          <w:rFonts w:ascii="宋体" w:hAnsi="宋体" w:cs="宋体" w:eastAsia="宋体" w:hint="default"/>
          <w:sz w:val="28"/>
          <w:szCs w:val="28"/>
        </w:rPr>
      </w:pPr>
    </w:p>
    <w:tbl>
      <w:tblPr>
        <w:tblW w:w="0" w:type="auto"/>
        <w:jc w:val="left"/>
        <w:tblInd w:w="111" w:type="dxa"/>
        <w:tblLayout w:type="fixed"/>
        <w:tblCellMar>
          <w:top w:w="0" w:type="dxa"/>
          <w:left w:w="0" w:type="dxa"/>
          <w:bottom w:w="0" w:type="dxa"/>
          <w:right w:w="0" w:type="dxa"/>
        </w:tblCellMar>
        <w:tblLook w:val="01E0"/>
      </w:tblPr>
      <w:tblGrid>
        <w:gridCol w:w="1368"/>
        <w:gridCol w:w="1368"/>
        <w:gridCol w:w="802"/>
        <w:gridCol w:w="850"/>
        <w:gridCol w:w="991"/>
        <w:gridCol w:w="994"/>
        <w:gridCol w:w="1274"/>
        <w:gridCol w:w="1277"/>
        <w:gridCol w:w="1267"/>
      </w:tblGrid>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周晓梅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副总经理、总工 程师、董事会秘 书</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31" w:right="0"/>
              <w:jc w:val="left"/>
              <w:rPr>
                <w:rFonts w:ascii="Times New Roman" w:hAnsi="Times New Roman" w:cs="Times New Roman" w:eastAsia="Times New Roman" w:hint="default"/>
                <w:sz w:val="18"/>
                <w:szCs w:val="18"/>
              </w:rPr>
            </w:pPr>
            <w:r>
              <w:rPr>
                <w:rFonts w:ascii="Times New Roman"/>
                <w:sz w:val="18"/>
              </w:rPr>
              <w:t>47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34.95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7" w:right="0"/>
              <w:jc w:val="left"/>
              <w:rPr>
                <w:rFonts w:ascii="Times New Roman" w:hAnsi="Times New Roman" w:cs="Times New Roman" w:eastAsia="Times New Roman" w:hint="default"/>
                <w:sz w:val="18"/>
                <w:szCs w:val="18"/>
              </w:rPr>
            </w:pPr>
            <w:r>
              <w:rPr>
                <w:rFonts w:ascii="Times New Roman"/>
                <w:sz w:val="18"/>
              </w:rPr>
              <w:t>70.48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王成钢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1" w:right="0"/>
              <w:jc w:val="left"/>
              <w:rPr>
                <w:rFonts w:ascii="Times New Roman" w:hAnsi="Times New Roman" w:cs="Times New Roman" w:eastAsia="Times New Roman" w:hint="default"/>
                <w:sz w:val="18"/>
                <w:szCs w:val="18"/>
              </w:rPr>
            </w:pPr>
            <w:r>
              <w:rPr>
                <w:rFonts w:ascii="Times New Roman"/>
                <w:sz w:val="18"/>
              </w:rPr>
              <w:t>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11.58</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宋培新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1" w:right="0"/>
              <w:jc w:val="left"/>
              <w:rPr>
                <w:rFonts w:ascii="Times New Roman" w:hAnsi="Times New Roman" w:cs="Times New Roman" w:eastAsia="Times New Roman" w:hint="default"/>
                <w:sz w:val="18"/>
                <w:szCs w:val="18"/>
              </w:rPr>
            </w:pPr>
            <w:r>
              <w:rPr>
                <w:rFonts w:ascii="Times New Roman"/>
                <w:sz w:val="18"/>
              </w:rPr>
              <w:t>56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8.94</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392" w:right="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5"/>
        <w:ind w:left="39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left="392" w:right="0"/>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spacing w:before="0"/>
        <w:ind w:left="39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、员工数量、专业构成及教育程度</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400" w:type="dxa"/>
        <w:tblLayout w:type="fixed"/>
        <w:tblCellMar>
          <w:top w:w="0" w:type="dxa"/>
          <w:left w:w="0" w:type="dxa"/>
          <w:bottom w:w="0" w:type="dxa"/>
          <w:right w:w="0" w:type="dxa"/>
        </w:tblCellMar>
        <w:tblLook w:val="01E0"/>
      </w:tblPr>
      <w:tblGrid>
        <w:gridCol w:w="4765"/>
        <w:gridCol w:w="4794"/>
      </w:tblGrid>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558</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338</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896</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896</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506</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896</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9"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博士研究生</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硕士研究生</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595</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大专及以下</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896</w:t>
            </w:r>
          </w:p>
        </w:tc>
      </w:tr>
    </w:tbl>
    <w:p>
      <w:pPr>
        <w:spacing w:line="240" w:lineRule="auto" w:before="3"/>
        <w:rPr>
          <w:rFonts w:ascii="宋体" w:hAnsi="宋体" w:cs="宋体" w:eastAsia="宋体" w:hint="default"/>
          <w:b/>
          <w:bCs/>
          <w:sz w:val="19"/>
          <w:szCs w:val="19"/>
        </w:rPr>
      </w:pPr>
    </w:p>
    <w:p>
      <w:pPr>
        <w:spacing w:before="36"/>
        <w:ind w:left="39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、薪酬政策</w:t>
      </w:r>
      <w:r>
        <w:rPr>
          <w:rFonts w:ascii="宋体" w:hAnsi="宋体" w:cs="宋体" w:eastAsia="宋体" w:hint="default"/>
          <w:sz w:val="21"/>
          <w:szCs w:val="21"/>
        </w:rPr>
      </w:r>
    </w:p>
    <w:p>
      <w:pPr>
        <w:spacing w:line="240" w:lineRule="auto" w:before="1"/>
        <w:rPr>
          <w:rFonts w:ascii="宋体" w:hAnsi="宋体" w:cs="宋体" w:eastAsia="宋体" w:hint="default"/>
          <w:b/>
          <w:bCs/>
          <w:sz w:val="24"/>
          <w:szCs w:val="24"/>
        </w:rPr>
      </w:pPr>
    </w:p>
    <w:p>
      <w:pPr>
        <w:pStyle w:val="BodyText"/>
        <w:spacing w:line="252" w:lineRule="auto"/>
        <w:ind w:left="392" w:right="1092" w:firstLine="439"/>
        <w:jc w:val="both"/>
      </w:pPr>
      <w:r>
        <w:rPr>
          <w:spacing w:val="-1"/>
        </w:rPr>
        <w:t>报告期内，公司制定修改了《岗位管理规定》、《员工薪酬管理规定》、《员工绩效管理规定》</w:t>
      </w:r>
      <w:r>
        <w:rPr>
          <w:w w:val="100"/>
        </w:rPr>
        <w:t> </w:t>
      </w:r>
      <w:r>
        <w:rPr>
          <w:spacing w:val="-2"/>
        </w:rPr>
        <w:t>等规章制度，公司及各部门岗位薪酬遵循</w:t>
      </w:r>
      <w:r>
        <w:rPr>
          <w:rFonts w:ascii="Times New Roman" w:hAnsi="Times New Roman" w:cs="Times New Roman" w:eastAsia="Times New Roman" w:hint="default"/>
          <w:spacing w:val="-2"/>
        </w:rPr>
        <w:t>“</w:t>
      </w:r>
      <w:r>
        <w:rPr>
          <w:spacing w:val="-2"/>
        </w:rPr>
        <w:t>以岗定薪、按绩取酬</w:t>
      </w:r>
      <w:r>
        <w:rPr>
          <w:rFonts w:ascii="Times New Roman" w:hAnsi="Times New Roman" w:cs="Times New Roman" w:eastAsia="Times New Roman" w:hint="default"/>
          <w:spacing w:val="-2"/>
        </w:rPr>
        <w:t>”</w:t>
      </w:r>
      <w:r>
        <w:rPr>
          <w:spacing w:val="-2"/>
        </w:rPr>
        <w:t>原则，依据岗位职责与要求确定岗位</w:t>
      </w:r>
      <w:r>
        <w:rPr>
          <w:spacing w:val="-46"/>
        </w:rPr>
        <w:t> </w:t>
      </w:r>
      <w:r>
        <w:rPr>
          <w:spacing w:val="-46"/>
        </w:rPr>
      </w:r>
      <w:r>
        <w:rPr>
          <w:spacing w:val="-2"/>
        </w:rPr>
        <w:t>工资和薪酬宽带幅度，依据工作业绩确定薪酬。薪酬激励以奋斗者为本，鼓励员工立足岗位，提升能</w:t>
      </w:r>
    </w:p>
    <w:p>
      <w:pPr>
        <w:spacing w:after="0" w:line="252" w:lineRule="auto"/>
        <w:jc w:val="both"/>
        <w:sectPr>
          <w:pgSz w:w="11910" w:h="16840"/>
          <w:pgMar w:header="745" w:footer="979" w:top="1060" w:bottom="1160" w:left="740" w:right="0"/>
        </w:sectPr>
      </w:pPr>
    </w:p>
    <w:p>
      <w:pPr>
        <w:spacing w:line="240" w:lineRule="auto" w:before="5"/>
        <w:rPr>
          <w:rFonts w:ascii="宋体" w:hAnsi="宋体" w:cs="宋体" w:eastAsia="宋体" w:hint="default"/>
          <w:sz w:val="24"/>
          <w:szCs w:val="24"/>
        </w:rPr>
      </w:pPr>
    </w:p>
    <w:p>
      <w:pPr>
        <w:pStyle w:val="BodyText"/>
        <w:spacing w:line="259" w:lineRule="auto" w:before="32"/>
        <w:ind w:left="592" w:right="0" w:hanging="440"/>
        <w:jc w:val="left"/>
      </w:pPr>
      <w:r>
        <w:rPr/>
        <w:t>力，激发员工积极向上，承担更大的责任，创造更大的价值。</w:t>
      </w:r>
      <w:r>
        <w:rPr>
          <w:w w:val="100"/>
        </w:rPr>
        <w:t> </w:t>
      </w:r>
      <w:r>
        <w:rPr>
          <w:spacing w:val="-5"/>
        </w:rPr>
        <w:t>报告期内，公司职工薪酬总额（计入成本部分）</w:t>
      </w:r>
      <w:r>
        <w:rPr>
          <w:rFonts w:ascii="Times New Roman" w:hAnsi="Times New Roman" w:cs="Times New Roman" w:eastAsia="Times New Roman" w:hint="default"/>
          <w:spacing w:val="-5"/>
        </w:rPr>
        <w:t>118,972,005.90</w:t>
      </w:r>
      <w:r>
        <w:rPr>
          <w:spacing w:val="-5"/>
        </w:rPr>
        <w:t>元，占公司营业成本比重为</w:t>
      </w:r>
      <w:r>
        <w:rPr>
          <w:rFonts w:ascii="Times New Roman" w:hAnsi="Times New Roman" w:cs="Times New Roman" w:eastAsia="Times New Roman" w:hint="default"/>
          <w:spacing w:val="-5"/>
        </w:rPr>
        <w:t>12.75%</w:t>
      </w:r>
      <w:r>
        <w:rPr>
          <w:spacing w:val="-5"/>
        </w:rPr>
        <w:t>。</w:t>
      </w:r>
    </w:p>
    <w:p>
      <w:pPr>
        <w:pStyle w:val="BodyText"/>
        <w:spacing w:line="276" w:lineRule="exact"/>
        <w:ind w:right="1133"/>
        <w:jc w:val="left"/>
      </w:pPr>
      <w:r>
        <w:rPr/>
        <w:t>公司利润对职工薪酬变化较为敏感。公司核心技术人员无变化。</w:t>
      </w:r>
    </w:p>
    <w:p>
      <w:pPr>
        <w:spacing w:line="240" w:lineRule="auto" w:before="6"/>
        <w:rPr>
          <w:rFonts w:ascii="宋体" w:hAnsi="宋体" w:cs="宋体" w:eastAsia="宋体" w:hint="default"/>
          <w:sz w:val="25"/>
          <w:szCs w:val="25"/>
        </w:rPr>
      </w:pPr>
    </w:p>
    <w:p>
      <w:pPr>
        <w:spacing w:before="0"/>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、培训计划</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p>
    <w:p>
      <w:pPr>
        <w:pStyle w:val="BodyText"/>
        <w:spacing w:line="259" w:lineRule="auto"/>
        <w:ind w:right="1130" w:firstLine="439"/>
        <w:jc w:val="both"/>
      </w:pPr>
      <w:r>
        <w:rPr>
          <w:spacing w:val="-2"/>
        </w:rPr>
        <w:t>公司积极开展各类员工教育培训活动，创造平等的发展机会。公司年初制定详细的培训计划，保</w:t>
      </w:r>
      <w:r>
        <w:rPr>
          <w:w w:val="100"/>
        </w:rPr>
        <w:t> </w:t>
      </w:r>
      <w:r>
        <w:rPr>
          <w:spacing w:val="-2"/>
        </w:rPr>
        <w:t>证员工在业务知识、岗位资质、学历学位、特殊工种等方面的学习与发展，通过有计划、有目标的员</w:t>
      </w:r>
      <w:r>
        <w:rPr>
          <w:spacing w:val="-71"/>
        </w:rPr>
        <w:t> </w:t>
      </w:r>
      <w:r>
        <w:rPr>
          <w:spacing w:val="-71"/>
        </w:rPr>
      </w:r>
      <w:r>
        <w:rPr/>
        <w:t>工培养机制，促进员工能力的提高，提高员工队伍素质。</w:t>
      </w:r>
    </w:p>
    <w:p>
      <w:pPr>
        <w:spacing w:line="240" w:lineRule="auto" w:before="2"/>
        <w:rPr>
          <w:rFonts w:ascii="宋体" w:hAnsi="宋体" w:cs="宋体" w:eastAsia="宋体" w:hint="default"/>
          <w:sz w:val="24"/>
          <w:szCs w:val="24"/>
        </w:rPr>
      </w:pPr>
    </w:p>
    <w:p>
      <w:pPr>
        <w:spacing w:before="0"/>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、劳务外包情况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劳务外包的工时总数（小时）</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174,522</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劳务外包支付的报酬总额（元）</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8,265,037.21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762"/>
        <w:jc w:val="center"/>
        <w:rPr>
          <w:b w:val="0"/>
          <w:bCs w:val="0"/>
        </w:rPr>
      </w:pPr>
      <w:bookmarkStart w:name="_bookmark9" w:id="10"/>
      <w:bookmarkEnd w:id="10"/>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0"/>
        <w:jc w:val="both"/>
        <w:rPr>
          <w:b w:val="0"/>
          <w:bCs w:val="0"/>
        </w:rPr>
      </w:pPr>
      <w:r>
        <w:rPr/>
        <w:t>一、公司治理的基本状况</w:t>
      </w:r>
      <w:r>
        <w:rPr>
          <w:b w:val="0"/>
          <w:bCs w:val="0"/>
        </w:rPr>
      </w:r>
    </w:p>
    <w:p>
      <w:pPr>
        <w:spacing w:line="240" w:lineRule="auto" w:before="0"/>
        <w:rPr>
          <w:rFonts w:ascii="宋体" w:hAnsi="宋体" w:cs="宋体" w:eastAsia="宋体" w:hint="default"/>
          <w:b/>
          <w:bCs/>
          <w:sz w:val="24"/>
          <w:szCs w:val="24"/>
        </w:rPr>
      </w:pPr>
    </w:p>
    <w:p>
      <w:pPr>
        <w:pStyle w:val="BodyText"/>
        <w:spacing w:line="259" w:lineRule="auto"/>
        <w:ind w:right="1130" w:firstLine="439"/>
        <w:jc w:val="both"/>
      </w:pPr>
      <w:r>
        <w:rPr>
          <w:spacing w:val="-2"/>
        </w:rPr>
        <w:t>报告期内，公司严格按照《公司法》、《证券法》和《上市公司治理准则》等法律、法规和规章</w:t>
      </w:r>
      <w:r>
        <w:rPr>
          <w:w w:val="100"/>
        </w:rPr>
        <w:t> </w:t>
      </w:r>
      <w:r>
        <w:rPr>
          <w:spacing w:val="-2"/>
        </w:rPr>
        <w:t>的要求，不断完善治理结构，健全内部控制体系，规范公司运作。截至报告期末，公司治理的实际情</w:t>
      </w:r>
      <w:r>
        <w:rPr>
          <w:spacing w:val="-71"/>
        </w:rPr>
        <w:t> </w:t>
      </w:r>
      <w:r>
        <w:rPr>
          <w:spacing w:val="-71"/>
        </w:rPr>
      </w:r>
      <w:r>
        <w:rPr/>
        <w:t>况符合《公司法》、《上市公司治理准则》等有关上市公司治理的规范性文件要求。</w:t>
      </w:r>
    </w:p>
    <w:p>
      <w:pPr>
        <w:spacing w:before="77"/>
        <w:ind w:left="152" w:right="0" w:firstLine="0"/>
        <w:jc w:val="both"/>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40" w:lineRule="auto" w:before="115"/>
        <w:ind w:left="152" w:right="35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3"/>
        <w:spacing w:line="240" w:lineRule="auto"/>
        <w:ind w:right="0"/>
        <w:jc w:val="both"/>
        <w:rPr>
          <w:b w:val="0"/>
          <w:bCs w:val="0"/>
        </w:rPr>
      </w:pPr>
      <w:r>
        <w:rPr/>
        <w:t>二、公司相对于控股股东在业务、人员、资产、机构、财务等方面的独立情况</w:t>
      </w:r>
      <w:r>
        <w:rPr>
          <w:b w:val="0"/>
          <w:bCs w:val="0"/>
        </w:rPr>
      </w:r>
    </w:p>
    <w:p>
      <w:pPr>
        <w:spacing w:line="240" w:lineRule="auto" w:before="2"/>
        <w:rPr>
          <w:rFonts w:ascii="宋体" w:hAnsi="宋体" w:cs="宋体" w:eastAsia="宋体" w:hint="default"/>
          <w:b/>
          <w:bCs/>
          <w:sz w:val="24"/>
          <w:szCs w:val="24"/>
        </w:rPr>
      </w:pPr>
    </w:p>
    <w:p>
      <w:pPr>
        <w:pStyle w:val="BodyText"/>
        <w:spacing w:line="259" w:lineRule="auto"/>
        <w:ind w:right="0" w:firstLine="439"/>
        <w:jc w:val="left"/>
      </w:pPr>
      <w:r>
        <w:rPr/>
        <w:t>报告期内，公司严格按照《公司法》、《证券法》等有关法律、法规和《公司章程》的要求规范</w:t>
      </w:r>
      <w:r>
        <w:rPr>
          <w:w w:val="100"/>
        </w:rPr>
        <w:t> </w:t>
      </w:r>
      <w:r>
        <w:rPr>
          <w:spacing w:val="-5"/>
        </w:rPr>
        <w:t>运作，在业务、资产、人员、机构、财务等方面与现有股东完全分开，具有独立、完整的资产和业务，</w:t>
      </w:r>
      <w:r>
        <w:rPr>
          <w:spacing w:val="-51"/>
        </w:rPr>
        <w:t> </w:t>
      </w:r>
      <w:r>
        <w:rPr>
          <w:spacing w:val="-51"/>
        </w:rPr>
      </w:r>
      <w:r>
        <w:rPr/>
        <w:t>具备独立面向市场、自主经营的能力。</w:t>
      </w:r>
    </w:p>
    <w:p>
      <w:pPr>
        <w:pStyle w:val="BodyText"/>
        <w:spacing w:line="278" w:lineRule="auto" w:before="45"/>
        <w:ind w:left="592" w:right="0"/>
        <w:jc w:val="left"/>
      </w:pPr>
      <w:r>
        <w:rPr>
          <w:rFonts w:ascii="Times New Roman" w:hAnsi="Times New Roman" w:cs="Times New Roman" w:eastAsia="Times New Roman" w:hint="default"/>
        </w:rPr>
        <w:t>1</w:t>
      </w:r>
      <w:r>
        <w:rPr/>
        <w:t>、业务独立情况</w:t>
      </w:r>
      <w:r>
        <w:rPr>
          <w:spacing w:val="-107"/>
        </w:rPr>
        <w:t> </w:t>
      </w:r>
      <w:r>
        <w:rPr>
          <w:spacing w:val="-107"/>
        </w:rPr>
      </w:r>
      <w:r>
        <w:rPr>
          <w:spacing w:val="-5"/>
        </w:rPr>
        <w:t>公司主要开展智慧交通、智慧航运、智慧物流、智慧安防业务。公司所有的业务均独立于各股东。</w:t>
      </w:r>
    </w:p>
    <w:p>
      <w:pPr>
        <w:pStyle w:val="BodyText"/>
        <w:spacing w:line="259" w:lineRule="auto"/>
        <w:ind w:right="0"/>
        <w:jc w:val="left"/>
      </w:pPr>
      <w:r>
        <w:rPr>
          <w:spacing w:val="-1"/>
        </w:rPr>
        <w:t>公司拥有独立的销售、采购体系，不存在原材料供应或产品销售依赖股东单位及其下属企业的情况，</w:t>
      </w:r>
      <w:r>
        <w:rPr>
          <w:spacing w:val="-73"/>
        </w:rPr>
        <w:t> </w:t>
      </w:r>
      <w:r>
        <w:rPr>
          <w:spacing w:val="-73"/>
        </w:rPr>
      </w:r>
      <w:r>
        <w:rPr/>
        <w:t>独立面向市场开展业务。</w:t>
      </w:r>
    </w:p>
    <w:p>
      <w:pPr>
        <w:pStyle w:val="BodyText"/>
        <w:spacing w:line="276" w:lineRule="auto" w:before="47"/>
        <w:ind w:left="592" w:right="1133"/>
        <w:jc w:val="left"/>
      </w:pPr>
      <w:r>
        <w:rPr>
          <w:rFonts w:ascii="Times New Roman" w:hAnsi="Times New Roman" w:cs="Times New Roman" w:eastAsia="Times New Roman" w:hint="default"/>
        </w:rPr>
        <w:t>2</w:t>
      </w:r>
      <w:r>
        <w:rPr/>
        <w:t>、资产独立情况</w:t>
      </w:r>
      <w:r>
        <w:rPr>
          <w:spacing w:val="-107"/>
        </w:rPr>
        <w:t> </w:t>
      </w:r>
      <w:r>
        <w:rPr>
          <w:spacing w:val="-107"/>
        </w:rPr>
      </w:r>
      <w:r>
        <w:rPr>
          <w:spacing w:val="-2"/>
        </w:rPr>
        <w:t>公司目前拥有的资产产权清晰，均由公司独立拥有、使用，不存在股东违规占用本公司资金、资</w:t>
      </w:r>
    </w:p>
    <w:p>
      <w:pPr>
        <w:pStyle w:val="BodyText"/>
        <w:spacing w:line="279" w:lineRule="exact"/>
        <w:ind w:right="0"/>
        <w:jc w:val="both"/>
      </w:pPr>
      <w:r>
        <w:rPr/>
        <w:t>产的行为。</w:t>
      </w:r>
    </w:p>
    <w:p>
      <w:pPr>
        <w:pStyle w:val="BodyText"/>
        <w:spacing w:line="278" w:lineRule="auto" w:before="65"/>
        <w:ind w:left="592" w:right="1133"/>
        <w:jc w:val="left"/>
      </w:pPr>
      <w:r>
        <w:rPr>
          <w:rFonts w:ascii="Times New Roman" w:hAnsi="Times New Roman" w:cs="Times New Roman" w:eastAsia="Times New Roman" w:hint="default"/>
        </w:rPr>
        <w:t>3</w:t>
      </w:r>
      <w:r>
        <w:rPr/>
        <w:t>、人员独立情况</w:t>
      </w:r>
      <w:r>
        <w:rPr>
          <w:spacing w:val="-107"/>
        </w:rPr>
        <w:t> </w:t>
      </w:r>
      <w:r>
        <w:rPr>
          <w:spacing w:val="-107"/>
        </w:rPr>
      </w:r>
      <w:r>
        <w:rPr>
          <w:spacing w:val="-3"/>
        </w:rPr>
        <w:t>公司董事、监事及高级管理人员均严格按照《公司法》和《公司章程》的有关规定产生，公司高</w:t>
      </w:r>
    </w:p>
    <w:p>
      <w:pPr>
        <w:pStyle w:val="BodyText"/>
        <w:spacing w:line="259" w:lineRule="auto"/>
        <w:ind w:right="1127"/>
        <w:jc w:val="both"/>
      </w:pPr>
      <w:r>
        <w:rPr>
          <w:spacing w:val="-2"/>
        </w:rPr>
        <w:t>级管理人员均专职在公司工作并领取薪酬，公司拥有独立的劳动、人事及工资管理体系，公司员工均</w:t>
      </w:r>
      <w:r>
        <w:rPr>
          <w:spacing w:val="-65"/>
        </w:rPr>
        <w:t> </w:t>
      </w:r>
      <w:r>
        <w:rPr>
          <w:spacing w:val="-65"/>
        </w:rPr>
      </w:r>
      <w:r>
        <w:rPr>
          <w:spacing w:val="-2"/>
        </w:rPr>
        <w:t>与本公司（公司驻外分公司）、子公司签订了劳动聘用合同，工资发放、福利支出与股东及其关联人</w:t>
      </w:r>
      <w:r>
        <w:rPr>
          <w:spacing w:val="-75"/>
        </w:rPr>
        <w:t> </w:t>
      </w:r>
      <w:r>
        <w:rPr>
          <w:spacing w:val="-75"/>
        </w:rPr>
      </w:r>
      <w:r>
        <w:rPr/>
        <w:t>严格分离。</w:t>
      </w:r>
    </w:p>
    <w:p>
      <w:pPr>
        <w:pStyle w:val="BodyText"/>
        <w:spacing w:line="278" w:lineRule="auto" w:before="45"/>
        <w:ind w:left="592" w:right="1133"/>
        <w:jc w:val="left"/>
      </w:pPr>
      <w:r>
        <w:rPr>
          <w:rFonts w:ascii="Times New Roman" w:hAnsi="Times New Roman" w:cs="Times New Roman" w:eastAsia="Times New Roman" w:hint="default"/>
        </w:rPr>
        <w:t>4</w:t>
      </w:r>
      <w:r>
        <w:rPr/>
        <w:t>、机构独立情况</w:t>
      </w:r>
      <w:r>
        <w:rPr>
          <w:spacing w:val="-107"/>
        </w:rPr>
        <w:t> </w:t>
      </w:r>
      <w:r>
        <w:rPr>
          <w:spacing w:val="-107"/>
        </w:rPr>
      </w:r>
      <w:r>
        <w:rPr>
          <w:spacing w:val="-2"/>
        </w:rPr>
        <w:t>公司拥有独立完整的组织结构，建立了股东大会、董事会、监事会和经理层等相互约束的法人治</w:t>
      </w:r>
    </w:p>
    <w:p>
      <w:pPr>
        <w:pStyle w:val="BodyText"/>
        <w:spacing w:line="259" w:lineRule="auto"/>
        <w:ind w:right="1133"/>
        <w:jc w:val="left"/>
      </w:pPr>
      <w:r>
        <w:rPr>
          <w:spacing w:val="-2"/>
        </w:rPr>
        <w:t>理结构。公司的生产经营和办公机构与股东单位完全分开，不存在股东单位及其它关联单位干预公司</w:t>
      </w:r>
      <w:r>
        <w:rPr>
          <w:spacing w:val="-70"/>
        </w:rPr>
        <w:t> </w:t>
      </w:r>
      <w:r>
        <w:rPr>
          <w:spacing w:val="-70"/>
        </w:rPr>
      </w:r>
      <w:r>
        <w:rPr/>
        <w:t>机构设置的情况。</w:t>
      </w:r>
    </w:p>
    <w:p>
      <w:pPr>
        <w:pStyle w:val="BodyText"/>
        <w:spacing w:line="276" w:lineRule="auto" w:before="47"/>
        <w:ind w:left="508" w:right="0" w:firstLine="84"/>
        <w:jc w:val="left"/>
      </w:pPr>
      <w:r>
        <w:rPr>
          <w:rFonts w:ascii="Times New Roman" w:hAnsi="Times New Roman" w:cs="Times New Roman" w:eastAsia="Times New Roman" w:hint="default"/>
        </w:rPr>
        <w:t>5</w:t>
      </w:r>
      <w:r>
        <w:rPr/>
        <w:t>、财务独立情况</w:t>
      </w:r>
      <w:r>
        <w:rPr>
          <w:w w:val="100"/>
        </w:rPr>
        <w:t> </w:t>
      </w:r>
      <w:r>
        <w:rPr>
          <w:spacing w:val="-3"/>
        </w:rPr>
        <w:t>公司设有独立的财务会计部门，建立了独立的会计核算体系和财务管理制度，并根据《会计法》、</w:t>
      </w:r>
    </w:p>
    <w:p>
      <w:pPr>
        <w:pStyle w:val="BodyText"/>
        <w:spacing w:line="259" w:lineRule="auto"/>
        <w:ind w:right="0"/>
        <w:jc w:val="left"/>
      </w:pPr>
      <w:r>
        <w:rPr>
          <w:spacing w:val="-5"/>
        </w:rPr>
        <w:t>《企业会计准则》等有关会计法规的规定及上市公司的相关要求，独立进行财务决策；依法独立纳税。</w:t>
      </w:r>
      <w:r>
        <w:rPr>
          <w:spacing w:val="-48"/>
        </w:rPr>
        <w:t> </w:t>
      </w:r>
      <w:r>
        <w:rPr>
          <w:spacing w:val="-48"/>
        </w:rPr>
      </w:r>
      <w:r>
        <w:rPr/>
        <w:t>公司不存在公司股东或关联企业干预本公司资金使用的情况。</w:t>
      </w:r>
    </w:p>
    <w:p>
      <w:pPr>
        <w:spacing w:after="0" w:line="259" w:lineRule="auto"/>
        <w:jc w:val="left"/>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1133"/>
        <w:jc w:val="left"/>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1133"/>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、本报告期股东大会情况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54.92%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
              <w:jc w:val="left"/>
              <w:rPr>
                <w:rFonts w:ascii="宋体" w:hAnsi="宋体" w:cs="宋体" w:eastAsia="宋体" w:hint="default"/>
                <w:sz w:val="18"/>
                <w:szCs w:val="18"/>
              </w:rPr>
            </w:pPr>
            <w:r>
              <w:rPr>
                <w:rFonts w:ascii="宋体" w:hAnsi="宋体" w:cs="宋体" w:eastAsia="宋体" w:hint="default"/>
                <w:spacing w:val="-10"/>
                <w:sz w:val="18"/>
                <w:szCs w:val="18"/>
              </w:rPr>
              <w:t>详见公司在《证券时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报》和巨潮资讯网披</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露的《</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 次临时股东大会决 </w:t>
            </w:r>
            <w:r>
              <w:rPr>
                <w:rFonts w:ascii="宋体" w:hAnsi="宋体" w:cs="宋体" w:eastAsia="宋体" w:hint="default"/>
                <w:spacing w:val="-11"/>
                <w:sz w:val="18"/>
                <w:szCs w:val="18"/>
              </w:rPr>
              <w:t>议公告》（公告编号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2019-006</w:t>
            </w:r>
            <w:r>
              <w:rPr>
                <w:rFonts w:ascii="宋体" w:hAnsi="宋体" w:cs="宋体" w:eastAsia="宋体" w:hint="default"/>
                <w:sz w:val="18"/>
                <w:szCs w:val="18"/>
              </w:rPr>
              <w:t>）</w:t>
            </w:r>
          </w:p>
        </w:tc>
      </w:tr>
      <w:tr>
        <w:trPr>
          <w:trHeight w:val="196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54.92%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9"/>
              <w:jc w:val="both"/>
              <w:rPr>
                <w:rFonts w:ascii="宋体" w:hAnsi="宋体" w:cs="宋体" w:eastAsia="宋体" w:hint="default"/>
                <w:sz w:val="18"/>
                <w:szCs w:val="18"/>
              </w:rPr>
            </w:pPr>
            <w:r>
              <w:rPr>
                <w:rFonts w:ascii="宋体" w:hAnsi="宋体" w:cs="宋体" w:eastAsia="宋体" w:hint="default"/>
                <w:spacing w:val="-10"/>
                <w:sz w:val="18"/>
                <w:szCs w:val="18"/>
              </w:rPr>
              <w:t>详见公司在《证券时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报》和巨潮资讯网披</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露的《</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 东大会决议公告》</w:t>
            </w:r>
          </w:p>
          <w:p>
            <w:pPr>
              <w:pStyle w:val="TableParagraph"/>
              <w:spacing w:line="240" w:lineRule="auto" w:before="22"/>
              <w:ind w:left="24" w:right="0"/>
              <w:jc w:val="both"/>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7"/>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2019-018</w:t>
            </w:r>
            <w:r>
              <w:rPr>
                <w:rFonts w:ascii="宋体" w:hAnsi="宋体" w:cs="宋体" w:eastAsia="宋体" w:hint="default"/>
                <w:sz w:val="18"/>
                <w:szCs w:val="18"/>
              </w:rPr>
              <w:t>）</w:t>
            </w:r>
          </w:p>
        </w:tc>
      </w:tr>
      <w:tr>
        <w:trPr>
          <w:trHeight w:val="196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50.22%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
              <w:jc w:val="left"/>
              <w:rPr>
                <w:rFonts w:ascii="宋体" w:hAnsi="宋体" w:cs="宋体" w:eastAsia="宋体" w:hint="default"/>
                <w:sz w:val="18"/>
                <w:szCs w:val="18"/>
              </w:rPr>
            </w:pPr>
            <w:r>
              <w:rPr>
                <w:rFonts w:ascii="宋体" w:hAnsi="宋体" w:cs="宋体" w:eastAsia="宋体" w:hint="default"/>
                <w:spacing w:val="-10"/>
                <w:sz w:val="18"/>
                <w:szCs w:val="18"/>
              </w:rPr>
              <w:t>详见公司在《证券时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报》和巨潮资讯网披</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露的《</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 次临时股东大会决 </w:t>
            </w:r>
            <w:r>
              <w:rPr>
                <w:rFonts w:ascii="宋体" w:hAnsi="宋体" w:cs="宋体" w:eastAsia="宋体" w:hint="default"/>
                <w:spacing w:val="-11"/>
                <w:sz w:val="18"/>
                <w:szCs w:val="18"/>
              </w:rPr>
              <w:t>议公告》（公告编号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2019-036</w:t>
            </w: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spacing w:before="36"/>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、表决权恢复的优先股股东请求召开临时股东大会</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1133"/>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2"/>
        <w:gridCol w:w="1164"/>
        <w:gridCol w:w="1162"/>
        <w:gridCol w:w="1165"/>
        <w:gridCol w:w="1164"/>
      </w:tblGrid>
      <w:tr>
        <w:trPr>
          <w:trHeight w:val="402" w:hRule="exact"/>
        </w:trPr>
        <w:tc>
          <w:tcPr>
            <w:tcW w:w="9572"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5"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4"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钱志昂</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王清华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4"/>
        <w:gridCol w:w="1162"/>
        <w:gridCol w:w="1164"/>
        <w:gridCol w:w="1162"/>
        <w:gridCol w:w="1165"/>
        <w:gridCol w:w="1164"/>
      </w:tblGrid>
      <w:tr>
        <w:trPr>
          <w:trHeight w:val="404"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bl>
    <w:p>
      <w:pPr>
        <w:spacing w:line="357" w:lineRule="auto" w:before="49"/>
        <w:ind w:left="152" w:right="8054"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不适用</w:t>
      </w:r>
    </w:p>
    <w:p>
      <w:pPr>
        <w:spacing w:line="240" w:lineRule="auto" w:before="6"/>
        <w:rPr>
          <w:rFonts w:ascii="宋体" w:hAnsi="宋体" w:cs="宋体" w:eastAsia="宋体" w:hint="default"/>
          <w:sz w:val="20"/>
          <w:szCs w:val="20"/>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5"/>
        <w:ind w:left="152" w:right="6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报告期内独立董事对公司有关事项未提出异议。</w:t>
      </w:r>
    </w:p>
    <w:p>
      <w:pPr>
        <w:spacing w:line="240" w:lineRule="auto" w:before="6"/>
        <w:rPr>
          <w:rFonts w:ascii="宋体" w:hAnsi="宋体" w:cs="宋体" w:eastAsia="宋体" w:hint="default"/>
          <w:sz w:val="21"/>
          <w:szCs w:val="21"/>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0" w:lineRule="auto" w:before="117"/>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独立董事对公司有关建议被采纳或未被采纳的说明</w:t>
      </w:r>
    </w:p>
    <w:p>
      <w:pPr>
        <w:pStyle w:val="BodyText"/>
        <w:spacing w:line="259" w:lineRule="auto" w:before="9"/>
        <w:ind w:right="1130" w:firstLine="466"/>
        <w:jc w:val="both"/>
        <w:rPr>
          <w:rFonts w:ascii="MS Gothic" w:hAnsi="MS Gothic" w:cs="MS Gothic" w:eastAsia="MS Gothic" w:hint="default"/>
        </w:rPr>
      </w:pPr>
      <w:r>
        <w:rPr>
          <w:spacing w:val="-3"/>
        </w:rPr>
        <w:t>独立董事利用自己的专业优势，密切关注公司的经营情况，并利用召开董事会、股东大会的机会</w:t>
      </w:r>
      <w:r>
        <w:rPr>
          <w:w w:val="100"/>
        </w:rPr>
        <w:t> </w:t>
      </w:r>
      <w:r>
        <w:rPr>
          <w:spacing w:val="-2"/>
        </w:rPr>
        <w:t>及其他时间，通过现场工作或通讯方式深入了解公司的经营情况，积极与其他董事、监事、管理层沟</w:t>
      </w:r>
      <w:r>
        <w:rPr>
          <w:spacing w:val="-71"/>
        </w:rPr>
        <w:t> </w:t>
      </w:r>
      <w:r>
        <w:rPr>
          <w:spacing w:val="-71"/>
        </w:rPr>
      </w:r>
      <w:r>
        <w:rPr/>
        <w:t>通交流，及时掌握公司的经营动态，对公司总体发展战略以及面临的市场形势提出建设性意见</w:t>
      </w:r>
      <w:r>
        <w:rPr>
          <w:rFonts w:ascii="MS Gothic" w:hAnsi="MS Gothic" w:cs="MS Gothic" w:eastAsia="MS Gothic" w:hint="default"/>
        </w:rPr>
        <w:t>｡</w:t>
      </w:r>
    </w:p>
    <w:p>
      <w:pPr>
        <w:spacing w:line="240" w:lineRule="auto" w:before="2"/>
        <w:rPr>
          <w:rFonts w:ascii="MS Gothic" w:hAnsi="MS Gothic" w:cs="MS Gothic" w:eastAsia="MS Gothic" w:hint="default"/>
          <w:sz w:val="22"/>
          <w:szCs w:val="22"/>
        </w:rPr>
      </w:pPr>
    </w:p>
    <w:p>
      <w:pPr>
        <w:pStyle w:val="Heading3"/>
        <w:spacing w:line="240" w:lineRule="auto"/>
        <w:ind w:right="0"/>
        <w:jc w:val="both"/>
        <w:rPr>
          <w:b w:val="0"/>
          <w:bCs w:val="0"/>
        </w:rPr>
      </w:pPr>
      <w:r>
        <w:rPr/>
        <w:t>六、董事会下设专门委员会在报告期内履行职责情况</w:t>
      </w:r>
      <w:r>
        <w:rPr>
          <w:b w:val="0"/>
          <w:bCs w:val="0"/>
        </w:rPr>
      </w:r>
    </w:p>
    <w:p>
      <w:pPr>
        <w:spacing w:line="240" w:lineRule="auto" w:before="3"/>
        <w:rPr>
          <w:rFonts w:ascii="宋体" w:hAnsi="宋体" w:cs="宋体" w:eastAsia="宋体" w:hint="default"/>
          <w:b/>
          <w:bCs/>
          <w:sz w:val="24"/>
          <w:szCs w:val="24"/>
        </w:rPr>
      </w:pPr>
    </w:p>
    <w:p>
      <w:pPr>
        <w:pStyle w:val="BodyText"/>
        <w:spacing w:line="259" w:lineRule="auto"/>
        <w:ind w:right="1129" w:firstLine="439"/>
        <w:jc w:val="both"/>
      </w:pPr>
      <w:r>
        <w:rPr>
          <w:spacing w:val="-2"/>
        </w:rPr>
        <w:t>公司董事会下设四个专门委员会，分别为审计委员会、战略委员会、薪酬与考核委员会、提名委</w:t>
      </w:r>
      <w:r>
        <w:rPr>
          <w:w w:val="100"/>
        </w:rPr>
        <w:t> </w:t>
      </w:r>
      <w:r>
        <w:rPr>
          <w:spacing w:val="-2"/>
        </w:rPr>
        <w:t>员会。报告期内，董事会各专门委员会根据《上市公司治理准则》、《公司章程》和公司各专门委员</w:t>
      </w:r>
      <w:r>
        <w:rPr>
          <w:spacing w:val="-72"/>
        </w:rPr>
        <w:t> </w:t>
      </w:r>
      <w:r>
        <w:rPr>
          <w:spacing w:val="-72"/>
        </w:rPr>
      </w:r>
      <w:r>
        <w:rPr>
          <w:spacing w:val="-2"/>
        </w:rPr>
        <w:t>会工作细则等相关规定，认真履行职责，进一步规范公司治理结构，就专业性事项进行研究，提出相</w:t>
      </w:r>
      <w:r>
        <w:rPr>
          <w:spacing w:val="-71"/>
        </w:rPr>
        <w:t> </w:t>
      </w:r>
      <w:r>
        <w:rPr>
          <w:spacing w:val="-71"/>
        </w:rPr>
      </w:r>
      <w:r>
        <w:rPr/>
        <w:t>关意见及建议，供董事会决策参考。</w:t>
      </w:r>
    </w:p>
    <w:p>
      <w:pPr>
        <w:pStyle w:val="BodyText"/>
        <w:spacing w:line="259" w:lineRule="auto" w:before="6"/>
        <w:ind w:left="592" w:right="1133"/>
        <w:jc w:val="left"/>
      </w:pPr>
      <w:r>
        <w:rPr/>
        <w:t>（一）审计委员会</w:t>
      </w:r>
      <w:r>
        <w:rPr>
          <w:w w:val="100"/>
        </w:rPr>
        <w:t> </w:t>
      </w:r>
      <w:r>
        <w:rPr>
          <w:spacing w:val="-2"/>
        </w:rPr>
        <w:t>审计委员会对公司内部控制制度执行情况进行有效监督，定期了解公司财务状况和经营情况，督</w:t>
      </w:r>
    </w:p>
    <w:p>
      <w:pPr>
        <w:pStyle w:val="BodyText"/>
        <w:spacing w:line="259" w:lineRule="auto" w:before="6"/>
        <w:ind w:right="1088"/>
        <w:jc w:val="both"/>
      </w:pPr>
      <w:r>
        <w:rPr>
          <w:spacing w:val="-2"/>
        </w:rPr>
        <w:t>促和指导公司内审部门对公司财务管理运行情况进行定期和不定期的检查和评估，对会计师事务所的</w:t>
      </w:r>
      <w:r>
        <w:rPr>
          <w:spacing w:val="-73"/>
        </w:rPr>
        <w:t> </w:t>
      </w:r>
      <w:r>
        <w:rPr>
          <w:spacing w:val="-73"/>
        </w:rPr>
      </w:r>
      <w:r>
        <w:rPr>
          <w:spacing w:val="-1"/>
        </w:rPr>
        <w:t>年度审计工作进行督促并就审计过程中的相关问题进行充分沟通，保证公司财务数据的真实和准确。</w:t>
      </w:r>
      <w:r>
        <w:rPr>
          <w:spacing w:val="-72"/>
        </w:rPr>
        <w:t> </w:t>
      </w:r>
      <w:r>
        <w:rPr>
          <w:spacing w:val="-72"/>
        </w:rPr>
      </w:r>
      <w:r>
        <w:rPr/>
        <w:t>报告期内，公司召开</w:t>
      </w:r>
      <w:r>
        <w:rPr>
          <w:rFonts w:ascii="Times New Roman" w:hAnsi="Times New Roman" w:cs="Times New Roman" w:eastAsia="Times New Roman" w:hint="default"/>
        </w:rPr>
        <w:t>5</w:t>
      </w:r>
      <w:r>
        <w:rPr/>
        <w:t>次董事会审计委员会，审议通过定期报告、内审报告等相关议案。</w:t>
      </w:r>
    </w:p>
    <w:p>
      <w:pPr>
        <w:pStyle w:val="BodyText"/>
        <w:spacing w:line="259" w:lineRule="auto"/>
        <w:ind w:left="592" w:right="1133"/>
        <w:jc w:val="left"/>
      </w:pPr>
      <w:r>
        <w:rPr/>
        <w:t>（二）战略委员会</w:t>
      </w:r>
      <w:r>
        <w:rPr>
          <w:w w:val="100"/>
        </w:rPr>
        <w:t> </w:t>
      </w:r>
      <w:r>
        <w:rPr>
          <w:spacing w:val="-2"/>
        </w:rPr>
        <w:t>战略委员会负责结合国内外经济形势和公司细分行业特点，对公司经营状况和发展前景进行深入</w:t>
      </w:r>
    </w:p>
    <w:p>
      <w:pPr>
        <w:pStyle w:val="BodyText"/>
        <w:spacing w:line="259" w:lineRule="auto" w:before="6"/>
        <w:ind w:right="1133"/>
        <w:jc w:val="left"/>
      </w:pPr>
      <w:r>
        <w:rPr>
          <w:spacing w:val="-2"/>
        </w:rPr>
        <w:t>地分析，为公司战略发展的实施提出建议及意见，保证公司发展规划和战略决策的科学性，为公司持</w:t>
      </w:r>
      <w:r>
        <w:rPr>
          <w:spacing w:val="-67"/>
        </w:rPr>
        <w:t> </w:t>
      </w:r>
      <w:r>
        <w:rPr>
          <w:spacing w:val="-67"/>
        </w:rPr>
      </w:r>
      <w:r>
        <w:rPr/>
        <w:t>续、稳健发展提供了战略层面的支持。</w:t>
      </w:r>
    </w:p>
    <w:p>
      <w:pPr>
        <w:pStyle w:val="BodyText"/>
        <w:spacing w:line="259" w:lineRule="auto" w:before="6"/>
        <w:ind w:left="592" w:right="1133"/>
        <w:jc w:val="left"/>
      </w:pPr>
      <w:r>
        <w:rPr/>
        <w:t>（三）薪酬与考核委员会</w:t>
      </w:r>
      <w:r>
        <w:rPr>
          <w:w w:val="100"/>
        </w:rPr>
        <w:t> </w:t>
      </w:r>
      <w:r>
        <w:rPr>
          <w:spacing w:val="-2"/>
        </w:rPr>
        <w:t>薪酬与考核委员会负责对公司董事和高级管理人员的薪酬情况进行了审核，认为其薪酬标准和年</w:t>
      </w:r>
    </w:p>
    <w:p>
      <w:pPr>
        <w:pStyle w:val="BodyText"/>
        <w:spacing w:line="259" w:lineRule="auto" w:before="6"/>
        <w:ind w:right="0"/>
        <w:jc w:val="left"/>
      </w:pPr>
      <w:r>
        <w:rPr>
          <w:spacing w:val="-5"/>
        </w:rPr>
        <w:t>度薪酬总额的确定符合公司相关薪酬管理制度的规定。报告期内，公司召开董事会薪酬与考核委员会，</w:t>
      </w:r>
      <w:r>
        <w:rPr>
          <w:spacing w:val="-46"/>
        </w:rPr>
        <w:t> </w:t>
      </w:r>
      <w:r>
        <w:rPr>
          <w:spacing w:val="-46"/>
        </w:rPr>
      </w:r>
      <w:r>
        <w:rPr/>
        <w:t>审议通过公司</w:t>
      </w:r>
      <w:r>
        <w:rPr>
          <w:rFonts w:ascii="Times New Roman" w:hAnsi="Times New Roman" w:cs="Times New Roman" w:eastAsia="Times New Roman" w:hint="default"/>
        </w:rPr>
        <w:t>2019</w:t>
      </w:r>
      <w:r>
        <w:rPr/>
        <w:t>年限制性股票激励计划等相关议案。</w:t>
      </w:r>
    </w:p>
    <w:p>
      <w:pPr>
        <w:pStyle w:val="BodyText"/>
        <w:spacing w:line="295" w:lineRule="auto"/>
        <w:ind w:left="683" w:right="1133" w:hanging="92"/>
        <w:jc w:val="left"/>
      </w:pPr>
      <w:r>
        <w:rPr/>
        <w:t>（四）提名委员会</w:t>
      </w:r>
      <w:r>
        <w:rPr>
          <w:w w:val="100"/>
        </w:rPr>
        <w:t> </w:t>
      </w:r>
      <w:r>
        <w:rPr/>
        <w:t>提名委员会负责对被提名人的任职资格等相关事宜进行认真的评审，确定公司选举的董事、聘</w:t>
      </w:r>
    </w:p>
    <w:p>
      <w:pPr>
        <w:pStyle w:val="BodyText"/>
        <w:spacing w:line="278" w:lineRule="exact"/>
        <w:ind w:right="0"/>
        <w:jc w:val="both"/>
      </w:pPr>
      <w:r>
        <w:rPr/>
        <w:t>任的高级管理人员具有丰富的行业经验和管理经验，完全胜任各自的工作。报告期内，公司召开</w:t>
      </w:r>
      <w:r>
        <w:rPr>
          <w:rFonts w:ascii="Times New Roman" w:hAnsi="Times New Roman" w:cs="Times New Roman" w:eastAsia="Times New Roman" w:hint="default"/>
        </w:rPr>
        <w:t>4</w:t>
      </w:r>
      <w:r>
        <w:rPr/>
        <w:t>次</w:t>
      </w:r>
    </w:p>
    <w:p>
      <w:pPr>
        <w:pStyle w:val="BodyText"/>
        <w:spacing w:line="240" w:lineRule="auto" w:before="8"/>
        <w:ind w:right="0"/>
        <w:jc w:val="both"/>
      </w:pPr>
      <w:r>
        <w:rPr/>
        <w:t>董事会提名委员会，审议通过提名公司非独立董事、聘任公司总工程师和董事会秘书等相关议案。</w:t>
      </w:r>
    </w:p>
    <w:p>
      <w:pPr>
        <w:pStyle w:val="BodyText"/>
        <w:spacing w:line="240" w:lineRule="auto" w:before="62"/>
        <w:ind w:left="597" w:right="1133"/>
        <w:jc w:val="left"/>
      </w:pPr>
      <w:r>
        <w:rPr>
          <w:rFonts w:ascii="Times New Roman" w:hAnsi="Times New Roman" w:cs="Times New Roman" w:eastAsia="Times New Roman" w:hint="default"/>
          <w:spacing w:val="-3"/>
        </w:rPr>
        <w:t>2019</w:t>
      </w:r>
      <w:r>
        <w:rPr>
          <w:spacing w:val="-3"/>
        </w:rPr>
        <w:t>年度，董事会专门委员会对公司的持续、健康、规范发展，提高董事会科学决策和规范运作</w:t>
      </w:r>
    </w:p>
    <w:p>
      <w:pPr>
        <w:spacing w:after="0" w:line="240" w:lineRule="auto"/>
        <w:jc w:val="left"/>
        <w:sectPr>
          <w:pgSz w:w="11910" w:h="16840"/>
          <w:pgMar w:header="745" w:footer="979" w:top="1060" w:bottom="1160" w:left="980" w:right="0"/>
        </w:sectPr>
      </w:pPr>
    </w:p>
    <w:p>
      <w:pPr>
        <w:spacing w:line="240" w:lineRule="auto" w:before="5"/>
        <w:rPr>
          <w:rFonts w:ascii="宋体" w:hAnsi="宋体" w:cs="宋体" w:eastAsia="宋体" w:hint="default"/>
          <w:sz w:val="24"/>
          <w:szCs w:val="24"/>
        </w:rPr>
      </w:pPr>
    </w:p>
    <w:p>
      <w:pPr>
        <w:pStyle w:val="BodyText"/>
        <w:spacing w:line="240" w:lineRule="auto" w:before="32"/>
        <w:ind w:right="1133"/>
        <w:jc w:val="left"/>
      </w:pPr>
      <w:r>
        <w:rPr/>
        <w:t>水平发挥了重要作用。</w:t>
      </w:r>
    </w:p>
    <w:p>
      <w:pPr>
        <w:spacing w:line="240" w:lineRule="auto" w:before="7"/>
        <w:rPr>
          <w:rFonts w:ascii="宋体" w:hAnsi="宋体" w:cs="宋体" w:eastAsia="宋体" w:hint="default"/>
          <w:sz w:val="23"/>
          <w:szCs w:val="23"/>
        </w:rPr>
      </w:pPr>
    </w:p>
    <w:p>
      <w:pPr>
        <w:pStyle w:val="Heading3"/>
        <w:spacing w:line="240" w:lineRule="auto"/>
        <w:ind w:right="1133"/>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5"/>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监事会对报告期内的监督事项无异议。</w:t>
      </w:r>
    </w:p>
    <w:p>
      <w:pPr>
        <w:spacing w:line="240" w:lineRule="auto" w:before="6"/>
        <w:rPr>
          <w:rFonts w:ascii="宋体" w:hAnsi="宋体" w:cs="宋体" w:eastAsia="宋体" w:hint="default"/>
          <w:sz w:val="19"/>
          <w:szCs w:val="19"/>
        </w:rPr>
      </w:pPr>
    </w:p>
    <w:p>
      <w:pPr>
        <w:pStyle w:val="Heading3"/>
        <w:spacing w:line="240" w:lineRule="auto"/>
        <w:ind w:right="1133"/>
        <w:jc w:val="left"/>
        <w:rPr>
          <w:b w:val="0"/>
          <w:bCs w:val="0"/>
        </w:rPr>
      </w:pPr>
      <w:r>
        <w:rPr/>
        <w:t>八、高级管理人员的考评及激励情况</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left="592" w:right="0"/>
        <w:jc w:val="left"/>
      </w:pPr>
      <w:r>
        <w:rPr>
          <w:spacing w:val="-5"/>
        </w:rPr>
        <w:t>公司高级管理人员按其行政岗位及职务，结合公司经营业绩完成情况，对其进行考核并发放报酬。</w:t>
      </w:r>
    </w:p>
    <w:p>
      <w:pPr>
        <w:spacing w:line="240" w:lineRule="auto" w:before="7"/>
        <w:rPr>
          <w:rFonts w:ascii="宋体" w:hAnsi="宋体" w:cs="宋体" w:eastAsia="宋体" w:hint="default"/>
          <w:sz w:val="23"/>
          <w:szCs w:val="23"/>
        </w:rPr>
      </w:pPr>
    </w:p>
    <w:p>
      <w:pPr>
        <w:pStyle w:val="Heading3"/>
        <w:spacing w:line="240" w:lineRule="auto"/>
        <w:ind w:right="1133"/>
        <w:jc w:val="left"/>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、报告期内发现的内部控制重大缺陷的具体情况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spacing w:before="0"/>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、内控自我评价报告</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329"/>
        <w:gridCol w:w="3051"/>
      </w:tblGrid>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日《内部控制自我评价报告》</w:t>
            </w:r>
          </w:p>
        </w:tc>
      </w:tr>
      <w:tr>
        <w:trPr>
          <w:trHeight w:val="715"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6"/>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w:t>
            </w:r>
          </w:p>
        </w:tc>
      </w:tr>
      <w:tr>
        <w:trPr>
          <w:trHeight w:val="71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6"/>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w:t>
            </w:r>
          </w:p>
        </w:tc>
      </w:tr>
      <w:tr>
        <w:trPr>
          <w:trHeight w:val="398" w:hRule="exact"/>
        </w:trPr>
        <w:tc>
          <w:tcPr>
            <w:tcW w:w="95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6"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7"/>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r>
        <w:rPr/>
        <w:pict>
          <v:group style="position:absolute;margin-left:384.070007pt;margin-top:95.899986pt;width:149.7pt;height:33.25pt;mso-position-horizontal-relative:page;mso-position-vertical-relative:page;z-index:-969376" coordorigin="7681,1918" coordsize="2994,665">
            <v:group style="position:absolute;left:7681;top:1918;width:2994;height:353" coordorigin="7681,1918" coordsize="2994,353">
              <v:shape style="position:absolute;left:7681;top:1918;width:2994;height:353" coordorigin="7681,1918" coordsize="2994,353" path="m7681,2271l10675,2271,10675,1918,7681,1918,7681,2271xe" filled="true" fillcolor="#ffffff" stroked="false">
                <v:path arrowok="t"/>
                <v:fill type="solid"/>
              </v:shape>
            </v:group>
            <v:group style="position:absolute;left:7681;top:2271;width:2994;height:312" coordorigin="7681,2271" coordsize="2994,312">
              <v:shape style="position:absolute;left:7681;top:2271;width:2994;height:312" coordorigin="7681,2271" coordsize="2994,312" path="m7681,2583l10675,2583,10675,2271,7681,2271,7681,2583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94"/>
        <w:gridCol w:w="3322"/>
        <w:gridCol w:w="3053"/>
      </w:tblGrid>
      <w:tr>
        <w:trPr>
          <w:trHeight w:val="539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2" w:type="dxa"/>
            <w:tcBorders>
              <w:top w:val="single" w:sz="4" w:space="0" w:color="000000"/>
              <w:left w:val="single" w:sz="4" w:space="0" w:color="000000"/>
              <w:bottom w:val="single" w:sz="4" w:space="0" w:color="000000"/>
              <w:right w:val="single" w:sz="14" w:space="0" w:color="FFFFFF"/>
            </w:tcBorders>
          </w:tcPr>
          <w:p>
            <w:pPr>
              <w:pStyle w:val="TableParagraph"/>
              <w:spacing w:line="309" w:lineRule="auto" w:before="49"/>
              <w:ind w:left="24" w:right="30"/>
              <w:jc w:val="left"/>
              <w:rPr>
                <w:rFonts w:ascii="宋体" w:hAnsi="宋体" w:cs="宋体" w:eastAsia="宋体" w:hint="default"/>
                <w:sz w:val="18"/>
                <w:szCs w:val="18"/>
              </w:rPr>
            </w:pPr>
            <w:r>
              <w:rPr>
                <w:rFonts w:ascii="宋体" w:hAnsi="宋体" w:cs="宋体" w:eastAsia="宋体" w:hint="default"/>
                <w:spacing w:val="-5"/>
                <w:sz w:val="18"/>
                <w:szCs w:val="18"/>
              </w:rPr>
              <w:t>一、财务报告重大缺陷的迹象包括：（</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w:t>
            </w:r>
            <w:r>
              <w:rPr>
                <w:rFonts w:ascii="宋体" w:hAnsi="宋体" w:cs="宋体" w:eastAsia="宋体" w:hint="default"/>
                <w:spacing w:val="-86"/>
                <w:sz w:val="18"/>
                <w:szCs w:val="18"/>
              </w:rPr>
              <w:t> </w:t>
            </w:r>
            <w:r>
              <w:rPr>
                <w:rFonts w:ascii="宋体" w:hAnsi="宋体" w:cs="宋体" w:eastAsia="宋体" w:hint="default"/>
                <w:sz w:val="18"/>
                <w:szCs w:val="18"/>
              </w:rPr>
              <w:t>公司董事、监事和高级管理人员的舞弊行 </w:t>
            </w:r>
            <w:r>
              <w:rPr>
                <w:rFonts w:ascii="宋体" w:hAnsi="宋体" w:cs="宋体" w:eastAsia="宋体" w:hint="default"/>
                <w:spacing w:val="-13"/>
                <w:sz w:val="18"/>
                <w:szCs w:val="18"/>
              </w:rPr>
              <w:t>为；（</w:t>
            </w: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）公司更正已公布的财务报告；（</w:t>
            </w:r>
            <w:r>
              <w:rPr>
                <w:rFonts w:ascii="Times New Roman" w:hAnsi="Times New Roman" w:cs="Times New Roman" w:eastAsia="Times New Roman" w:hint="default"/>
                <w:spacing w:val="-13"/>
                <w:sz w:val="18"/>
                <w:szCs w:val="18"/>
              </w:rPr>
              <w:t>3</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注册会计师发现的却未被公司内部控制识 </w:t>
            </w:r>
            <w:r>
              <w:rPr>
                <w:rFonts w:ascii="宋体" w:hAnsi="宋体" w:cs="宋体" w:eastAsia="宋体" w:hint="default"/>
                <w:spacing w:val="-5"/>
                <w:sz w:val="18"/>
                <w:szCs w:val="18"/>
              </w:rPr>
              <w:t>别的当期财务报告中的重大错报；（</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）审</w:t>
            </w:r>
            <w:r>
              <w:rPr>
                <w:rFonts w:ascii="宋体" w:hAnsi="宋体" w:cs="宋体" w:eastAsia="宋体" w:hint="default"/>
                <w:spacing w:val="-86"/>
                <w:sz w:val="18"/>
                <w:szCs w:val="18"/>
              </w:rPr>
              <w:t> </w:t>
            </w:r>
            <w:r>
              <w:rPr>
                <w:rFonts w:ascii="宋体" w:hAnsi="宋体" w:cs="宋体" w:eastAsia="宋体" w:hint="default"/>
                <w:sz w:val="18"/>
                <w:szCs w:val="18"/>
              </w:rPr>
              <w:t>计委员会和审计部门对公司的对外财务报 告和财务报告内部控制监督无效。二、财 </w:t>
            </w:r>
            <w:r>
              <w:rPr>
                <w:rFonts w:ascii="宋体" w:hAnsi="宋体" w:cs="宋体" w:eastAsia="宋体" w:hint="default"/>
                <w:spacing w:val="-5"/>
                <w:sz w:val="18"/>
                <w:szCs w:val="18"/>
              </w:rPr>
              <w:t>务报告重要缺陷的迹象包括：（</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）未依照</w:t>
            </w:r>
            <w:r>
              <w:rPr>
                <w:rFonts w:ascii="宋体" w:hAnsi="宋体" w:cs="宋体" w:eastAsia="宋体" w:hint="default"/>
                <w:spacing w:val="-84"/>
                <w:sz w:val="18"/>
                <w:szCs w:val="18"/>
              </w:rPr>
              <w:t> </w:t>
            </w:r>
            <w:r>
              <w:rPr>
                <w:rFonts w:ascii="宋体" w:hAnsi="宋体" w:cs="宋体" w:eastAsia="宋体" w:hint="default"/>
                <w:spacing w:val="-5"/>
                <w:sz w:val="18"/>
                <w:szCs w:val="18"/>
              </w:rPr>
              <w:t>公认会计准则选择和应用会计政策；（</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w:t>
            </w:r>
            <w:r>
              <w:rPr>
                <w:rFonts w:ascii="宋体" w:hAnsi="宋体" w:cs="宋体" w:eastAsia="宋体" w:hint="default"/>
                <w:spacing w:val="-86"/>
                <w:sz w:val="18"/>
                <w:szCs w:val="18"/>
              </w:rPr>
              <w:t> </w:t>
            </w:r>
            <w:r>
              <w:rPr>
                <w:rFonts w:ascii="宋体" w:hAnsi="宋体" w:cs="宋体" w:eastAsia="宋体" w:hint="default"/>
                <w:spacing w:val="-5"/>
                <w:sz w:val="18"/>
                <w:szCs w:val="18"/>
              </w:rPr>
              <w:t>未建立反舞弊程序和控制措施；（</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）对于</w:t>
            </w:r>
            <w:r>
              <w:rPr>
                <w:rFonts w:ascii="宋体" w:hAnsi="宋体" w:cs="宋体" w:eastAsia="宋体" w:hint="default"/>
                <w:spacing w:val="-83"/>
                <w:sz w:val="18"/>
                <w:szCs w:val="18"/>
              </w:rPr>
              <w:t> </w:t>
            </w:r>
            <w:r>
              <w:rPr>
                <w:rFonts w:ascii="宋体" w:hAnsi="宋体" w:cs="宋体" w:eastAsia="宋体" w:hint="default"/>
                <w:sz w:val="18"/>
                <w:szCs w:val="18"/>
              </w:rPr>
              <w:t>非常规或特殊交易的账务处理没有建立相 应的控制机制或没有实施且没有相应的补 </w:t>
            </w:r>
            <w:r>
              <w:rPr>
                <w:rFonts w:ascii="宋体" w:hAnsi="宋体" w:cs="宋体" w:eastAsia="宋体" w:hint="default"/>
                <w:spacing w:val="-5"/>
                <w:sz w:val="18"/>
                <w:szCs w:val="18"/>
              </w:rPr>
              <w:t>偿性控制；（</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）对于期末财务报告过程的</w:t>
            </w:r>
            <w:r>
              <w:rPr>
                <w:rFonts w:ascii="宋体" w:hAnsi="宋体" w:cs="宋体" w:eastAsia="宋体" w:hint="default"/>
                <w:spacing w:val="-86"/>
                <w:sz w:val="18"/>
                <w:szCs w:val="18"/>
              </w:rPr>
              <w:t> </w:t>
            </w:r>
            <w:r>
              <w:rPr>
                <w:rFonts w:ascii="宋体" w:hAnsi="宋体" w:cs="宋体" w:eastAsia="宋体" w:hint="default"/>
                <w:sz w:val="18"/>
                <w:szCs w:val="18"/>
              </w:rPr>
              <w:t>控制存在一项或多项缺陷且不能合理保证 编制的财务报表达到真实、完整的目标。 三、财务报告一般缺陷是指除上述重大缺 陷、重要缺陷之外的其他控制缺陷。</w:t>
            </w:r>
          </w:p>
        </w:tc>
        <w:tc>
          <w:tcPr>
            <w:tcW w:w="3053" w:type="dxa"/>
            <w:tcBorders>
              <w:top w:val="single" w:sz="4" w:space="0" w:color="000000"/>
              <w:left w:val="single" w:sz="14"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196" w:lineRule="exact"/>
              <w:ind w:left="13" w:right="0"/>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w:t>
            </w:r>
          </w:p>
          <w:p>
            <w:pPr>
              <w:pStyle w:val="TableParagraph"/>
              <w:spacing w:line="156" w:lineRule="exact"/>
              <w:ind w:left="-13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3" w:right="0"/>
              <w:jc w:val="left"/>
              <w:rPr>
                <w:rFonts w:ascii="宋体" w:hAnsi="宋体" w:cs="宋体" w:eastAsia="宋体" w:hint="default"/>
                <w:sz w:val="18"/>
                <w:szCs w:val="18"/>
              </w:rPr>
            </w:pPr>
            <w:r>
              <w:rPr>
                <w:rFonts w:ascii="宋体" w:hAnsi="宋体" w:cs="宋体" w:eastAsia="宋体" w:hint="default"/>
                <w:spacing w:val="-4"/>
                <w:sz w:val="18"/>
                <w:szCs w:val="18"/>
              </w:rPr>
              <w:t>评价的定性标准如下：非财务报告缺陷</w:t>
            </w:r>
          </w:p>
          <w:p>
            <w:pPr>
              <w:pStyle w:val="TableParagraph"/>
              <w:spacing w:line="316" w:lineRule="auto" w:before="76"/>
              <w:ind w:left="13" w:right="19"/>
              <w:jc w:val="left"/>
              <w:rPr>
                <w:rFonts w:ascii="宋体" w:hAnsi="宋体" w:cs="宋体" w:eastAsia="宋体" w:hint="default"/>
                <w:sz w:val="18"/>
                <w:szCs w:val="18"/>
              </w:rPr>
            </w:pPr>
            <w:r>
              <w:rPr>
                <w:rFonts w:ascii="宋体" w:hAnsi="宋体" w:cs="宋体" w:eastAsia="宋体" w:hint="default"/>
                <w:sz w:val="18"/>
                <w:szCs w:val="18"/>
              </w:rPr>
              <w:t>认定主要以缺陷对业务流程有效性的 </w:t>
            </w:r>
            <w:r>
              <w:rPr>
                <w:rFonts w:ascii="宋体" w:hAnsi="宋体" w:cs="宋体" w:eastAsia="宋体" w:hint="default"/>
                <w:spacing w:val="-4"/>
                <w:sz w:val="18"/>
                <w:szCs w:val="18"/>
              </w:rPr>
              <w:t>影响程度、发生的可能性作判定。如果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缺陷发生的可能性较小，会降低工作效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率或效果、或加大效果的不确定性、或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使之偏离预期目标为一般缺陷。如果缺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陷发生的可能性较高，会显著降低工作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效率或效果、或显著加大效果的不确定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性、或使之显著偏离预期目标为重要缺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陷。如果缺陷发生的可能性高，会严重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降低工作效率或效果、或严重加大效果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的不确定性、或使之严重偏离预期目标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为重大缺陷。</w:t>
            </w:r>
          </w:p>
        </w:tc>
      </w:tr>
      <w:tr>
        <w:trPr>
          <w:trHeight w:val="539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4" w:lineRule="auto" w:before="122"/>
              <w:ind w:left="24" w:right="17"/>
              <w:jc w:val="left"/>
              <w:rPr>
                <w:rFonts w:ascii="宋体" w:hAnsi="宋体" w:cs="宋体" w:eastAsia="宋体" w:hint="default"/>
                <w:sz w:val="18"/>
                <w:szCs w:val="18"/>
              </w:rPr>
            </w:pPr>
            <w:r>
              <w:rPr>
                <w:rFonts w:ascii="宋体" w:hAnsi="宋体" w:cs="宋体" w:eastAsia="宋体" w:hint="default"/>
                <w:sz w:val="18"/>
                <w:szCs w:val="18"/>
              </w:rPr>
              <w:t>一、重大缺陷：财务报告失控金额大于等 于资产总额的</w:t>
            </w:r>
            <w:r>
              <w:rPr>
                <w:rFonts w:ascii="宋体" w:hAnsi="宋体" w:cs="宋体" w:eastAsia="宋体" w:hint="default"/>
                <w:spacing w:val="-38"/>
                <w:sz w:val="18"/>
                <w:szCs w:val="18"/>
              </w:rPr>
              <w:t> </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，或者财务报告失控金额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大于等于主营业务收入的</w:t>
            </w:r>
            <w:r>
              <w:rPr>
                <w:rFonts w:ascii="宋体" w:hAnsi="宋体" w:cs="宋体" w:eastAsia="宋体" w:hint="default"/>
                <w:spacing w:val="-44"/>
                <w:sz w:val="18"/>
                <w:szCs w:val="18"/>
              </w:rPr>
              <w:t> </w:t>
            </w: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；二、重要缺</w:t>
            </w:r>
            <w:r>
              <w:rPr>
                <w:rFonts w:ascii="宋体" w:hAnsi="宋体" w:cs="宋体" w:eastAsia="宋体" w:hint="default"/>
                <w:sz w:val="18"/>
                <w:szCs w:val="18"/>
              </w:rPr>
              <w:t> 陷：财务报告失控金额大于等于资产总额 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且小于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，或者财务报告失控金 额大于等于主营业务收入的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且小于 </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；三、一般缺陷：财务报告失控金额小</w:t>
            </w:r>
            <w:r>
              <w:rPr>
                <w:rFonts w:ascii="宋体" w:hAnsi="宋体" w:cs="宋体" w:eastAsia="宋体" w:hint="default"/>
                <w:sz w:val="18"/>
                <w:szCs w:val="18"/>
              </w:rPr>
              <w:t> 于资产总额的</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0.5%</w:t>
            </w:r>
            <w:r>
              <w:rPr>
                <w:rFonts w:ascii="宋体" w:hAnsi="宋体" w:cs="宋体" w:eastAsia="宋体" w:hint="default"/>
                <w:spacing w:val="-3"/>
                <w:sz w:val="18"/>
                <w:szCs w:val="18"/>
              </w:rPr>
              <w:t>，或者财务报告失控金</w:t>
            </w:r>
            <w:r>
              <w:rPr>
                <w:rFonts w:ascii="宋体" w:hAnsi="宋体" w:cs="宋体" w:eastAsia="宋体" w:hint="default"/>
                <w:sz w:val="18"/>
                <w:szCs w:val="18"/>
              </w:rPr>
              <w:t> 额小于主营业务收入的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6" w:right="-29"/>
              <w:jc w:val="left"/>
              <w:rPr>
                <w:rFonts w:ascii="宋体" w:hAnsi="宋体" w:cs="宋体" w:eastAsia="宋体" w:hint="default"/>
                <w:sz w:val="18"/>
                <w:szCs w:val="18"/>
              </w:rPr>
            </w:pPr>
            <w:r>
              <w:rPr>
                <w:rFonts w:ascii="宋体" w:hAnsi="宋体" w:cs="宋体" w:eastAsia="宋体" w:hint="default"/>
                <w:spacing w:val="-4"/>
                <w:sz w:val="18"/>
                <w:szCs w:val="18"/>
              </w:rPr>
              <w:t>一、重大缺陷：财务报告失控金额大于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等于资产总额的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，或者财务报告失 控金额大于等于主营业务收入的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r>
              <w:rPr>
                <w:rFonts w:ascii="宋体" w:hAnsi="宋体" w:cs="宋体" w:eastAsia="宋体" w:hint="default"/>
                <w:spacing w:val="-4"/>
                <w:sz w:val="18"/>
                <w:szCs w:val="18"/>
              </w:rPr>
              <w:t>或者受到国家政府部门处罚，且已正式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对外披露并对本公司定期报告披露造 </w:t>
            </w:r>
            <w:r>
              <w:rPr>
                <w:rFonts w:ascii="宋体" w:hAnsi="宋体" w:cs="宋体" w:eastAsia="宋体" w:hint="default"/>
                <w:spacing w:val="-4"/>
                <w:sz w:val="18"/>
                <w:szCs w:val="18"/>
              </w:rPr>
              <w:t>成负面影响；二、重要缺陷：财务报告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失控金额大于等于资产总额的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且 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，或者财务报告失控金额大于 等于主营业务收入的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且小于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r>
              <w:rPr>
                <w:rFonts w:ascii="宋体" w:hAnsi="宋体" w:cs="宋体" w:eastAsia="宋体" w:hint="default"/>
                <w:spacing w:val="-4"/>
                <w:sz w:val="18"/>
                <w:szCs w:val="18"/>
              </w:rPr>
              <w:t>或者受到省、直辖市及以上政府部门处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罚，但未对公司定期报告披露造成负面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影响；三、一般缺陷：财务报告失控金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额小于资产总额的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，或者财务报 告失控金额小于主营业务收入的 </w:t>
            </w:r>
            <w:r>
              <w:rPr>
                <w:rFonts w:ascii="Times New Roman" w:hAnsi="Times New Roman" w:cs="Times New Roman" w:eastAsia="Times New Roman" w:hint="default"/>
                <w:spacing w:val="-5"/>
                <w:sz w:val="18"/>
                <w:szCs w:val="18"/>
              </w:rPr>
              <w:t>0.5%</w:t>
            </w:r>
            <w:r>
              <w:rPr>
                <w:rFonts w:ascii="宋体" w:hAnsi="宋体" w:cs="宋体" w:eastAsia="宋体" w:hint="default"/>
                <w:spacing w:val="-5"/>
                <w:sz w:val="18"/>
                <w:szCs w:val="18"/>
              </w:rPr>
              <w:t>，或者受到省、直辖市以下政府部</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门处罚，但未对公司定期报告披露造成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负面影响。</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3"/>
        <w:spacing w:line="240" w:lineRule="auto" w:before="26"/>
        <w:ind w:right="1133"/>
        <w:jc w:val="left"/>
        <w:rPr>
          <w:b w:val="0"/>
          <w:bCs w:val="0"/>
        </w:rPr>
      </w:pP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045" w:right="1133"/>
        <w:jc w:val="left"/>
        <w:rPr>
          <w:b w:val="0"/>
          <w:bCs w:val="0"/>
        </w:rPr>
      </w:pPr>
      <w:bookmarkStart w:name="_bookmark10" w:id="11"/>
      <w:bookmarkEnd w:id="11"/>
      <w:r>
        <w:rPr>
          <w:b w:val="0"/>
          <w:bCs w:val="0"/>
        </w:rPr>
      </w:r>
      <w:r>
        <w:rPr/>
        <w:t>第十一节公司债券相关情况</w:t>
      </w:r>
      <w:r>
        <w:rPr>
          <w:b w:val="0"/>
          <w:bCs w:val="0"/>
        </w:rPr>
      </w:r>
    </w:p>
    <w:p>
      <w:pPr>
        <w:spacing w:line="240" w:lineRule="auto" w:before="9"/>
        <w:rPr>
          <w:rFonts w:ascii="宋体" w:hAnsi="宋体" w:cs="宋体" w:eastAsia="宋体" w:hint="default"/>
          <w:b/>
          <w:bCs/>
          <w:sz w:val="42"/>
          <w:szCs w:val="42"/>
        </w:rPr>
      </w:pPr>
    </w:p>
    <w:p>
      <w:pPr>
        <w:spacing w:line="357" w:lineRule="auto" w:before="0"/>
        <w:ind w:left="152" w:right="2114"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07" w:right="1133"/>
        <w:jc w:val="left"/>
        <w:rPr>
          <w:b w:val="0"/>
          <w:bCs w:val="0"/>
        </w:rPr>
      </w:pPr>
      <w:bookmarkStart w:name="_bookmark11" w:id="12"/>
      <w:bookmarkEnd w:id="12"/>
      <w:r>
        <w:rPr>
          <w:b w:val="0"/>
          <w:bCs w:val="0"/>
        </w:rPr>
      </w:r>
      <w:r>
        <w:rPr/>
        <w:t>第十二节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1133"/>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XYZH/2020BJA130289</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王辉、朱小伟</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3"/>
        <w:rPr>
          <w:rFonts w:ascii="宋体" w:hAnsi="宋体" w:cs="宋体" w:eastAsia="宋体" w:hint="default"/>
          <w:b/>
          <w:bCs/>
          <w:sz w:val="28"/>
          <w:szCs w:val="28"/>
        </w:rPr>
      </w:pPr>
    </w:p>
    <w:p>
      <w:pPr>
        <w:pStyle w:val="BodyText"/>
        <w:spacing w:line="240" w:lineRule="auto"/>
        <w:ind w:right="0"/>
        <w:jc w:val="left"/>
        <w:rPr>
          <w:rFonts w:ascii="宋体" w:hAnsi="宋体" w:cs="宋体" w:eastAsia="宋体" w:hint="default"/>
        </w:rPr>
      </w:pPr>
      <w:r>
        <w:rPr>
          <w:rFonts w:ascii="宋体" w:hAnsi="宋体" w:cs="宋体" w:eastAsia="宋体" w:hint="default"/>
        </w:rPr>
        <w:t>1</w:t>
      </w:r>
      <w:r>
        <w:rPr/>
        <w:t>、审计意见</w:t>
      </w:r>
      <w:r>
        <w:rPr>
          <w:rFonts w:ascii="宋体" w:hAnsi="宋体" w:cs="宋体" w:eastAsia="宋体" w:hint="default"/>
        </w:rPr>
        <w:t> </w:t>
      </w:r>
    </w:p>
    <w:p>
      <w:pPr>
        <w:spacing w:before="49"/>
        <w:ind w:left="15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审计报告正文</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474" w:space="2806"/>
            <w:col w:w="6650"/>
          </w:cols>
        </w:sectPr>
      </w:pPr>
    </w:p>
    <w:p>
      <w:pPr>
        <w:pStyle w:val="BodyText"/>
        <w:spacing w:line="259" w:lineRule="auto" w:before="24"/>
        <w:ind w:right="1127" w:firstLine="439"/>
        <w:jc w:val="both"/>
        <w:rPr>
          <w:rFonts w:ascii="宋体" w:hAnsi="宋体" w:cs="宋体" w:eastAsia="宋体" w:hint="default"/>
        </w:rPr>
      </w:pPr>
      <w:r>
        <w:rPr>
          <w:spacing w:val="-2"/>
        </w:rPr>
        <w:t>我们审计了中远海运科技股份有限公司（以下简称“中远海科”）财务报表，包括</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rFonts w:ascii="宋体" w:hAnsi="宋体" w:cs="宋体" w:eastAsia="宋体" w:hint="default"/>
          <w:w w:val="100"/>
        </w:rPr>
        <w:t> </w:t>
      </w:r>
      <w:r>
        <w:rPr>
          <w:spacing w:val="-2"/>
        </w:rPr>
        <w:t>日的合并及母公司资产负债表，</w:t>
      </w:r>
      <w:r>
        <w:rPr>
          <w:rFonts w:ascii="宋体" w:hAnsi="宋体" w:cs="宋体" w:eastAsia="宋体" w:hint="default"/>
          <w:spacing w:val="-2"/>
        </w:rPr>
        <w:t>2019</w:t>
      </w:r>
      <w:r>
        <w:rPr>
          <w:spacing w:val="-2"/>
        </w:rPr>
        <w:t>年度的合并及母公司利润表、合并及母公司现金流量表、合并及</w:t>
      </w:r>
      <w:r>
        <w:rPr>
          <w:spacing w:val="-62"/>
        </w:rPr>
        <w:t> </w:t>
      </w:r>
      <w:r>
        <w:rPr>
          <w:spacing w:val="-62"/>
        </w:rPr>
      </w:r>
      <w:r>
        <w:rPr/>
        <w:t>母公司股东权益变动表，以及相关财务报表附注。</w:t>
      </w:r>
      <w:r>
        <w:rPr>
          <w:rFonts w:ascii="宋体" w:hAnsi="宋体" w:cs="宋体" w:eastAsia="宋体" w:hint="default"/>
        </w:rPr>
        <w:t> </w:t>
      </w:r>
    </w:p>
    <w:p>
      <w:pPr>
        <w:pStyle w:val="BodyText"/>
        <w:spacing w:line="259" w:lineRule="auto" w:before="6"/>
        <w:ind w:right="1130" w:firstLine="439"/>
        <w:jc w:val="both"/>
        <w:rPr>
          <w:rFonts w:ascii="宋体" w:hAnsi="宋体" w:cs="宋体" w:eastAsia="宋体" w:hint="default"/>
        </w:rPr>
      </w:pPr>
      <w:r>
        <w:rPr>
          <w:spacing w:val="-2"/>
        </w:rPr>
        <w:t>我们认为，后附的财务报表在所有重大方面按照企业会计准则的规定编制，公允反映了中远海科</w:t>
      </w:r>
      <w:r>
        <w:rPr>
          <w:w w:val="100"/>
        </w:rPr>
        <w:t> </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日的合并及母公司财务状况以及</w:t>
      </w:r>
      <w:r>
        <w:rPr>
          <w:rFonts w:ascii="宋体" w:hAnsi="宋体" w:cs="宋体" w:eastAsia="宋体" w:hint="default"/>
        </w:rPr>
        <w:t>2019</w:t>
      </w:r>
      <w:r>
        <w:rPr/>
        <w:t>年度的合并及母公司经营成果和现金流量。</w:t>
      </w:r>
      <w:r>
        <w:rPr>
          <w:rFonts w:ascii="宋体" w:hAnsi="宋体" w:cs="宋体" w:eastAsia="宋体" w:hint="default"/>
        </w:rPr>
        <w:t> </w:t>
      </w:r>
    </w:p>
    <w:p>
      <w:pPr>
        <w:pStyle w:val="BodyText"/>
        <w:spacing w:line="261" w:lineRule="auto" w:before="6"/>
        <w:ind w:left="592" w:right="1133" w:hanging="440"/>
        <w:jc w:val="left"/>
      </w:pPr>
      <w:r>
        <w:rPr>
          <w:rFonts w:ascii="宋体" w:hAnsi="宋体" w:cs="宋体" w:eastAsia="宋体" w:hint="default"/>
        </w:rPr>
        <w:t>2</w:t>
      </w:r>
      <w:r>
        <w:rPr/>
        <w:t>、形成审计意见的基础</w:t>
      </w:r>
      <w:r>
        <w:rPr>
          <w:rFonts w:ascii="宋体" w:hAnsi="宋体" w:cs="宋体" w:eastAsia="宋体" w:hint="default"/>
          <w:w w:val="100"/>
        </w:rPr>
        <w:t> </w:t>
      </w:r>
      <w:r>
        <w:rPr>
          <w:spacing w:val="-2"/>
        </w:rPr>
        <w:t>我们按照中国注册会计师审计准则的规定执行了审计工作。审计报告的“注册会计师对财务报表</w:t>
      </w:r>
    </w:p>
    <w:p>
      <w:pPr>
        <w:pStyle w:val="BodyText"/>
        <w:spacing w:line="259" w:lineRule="auto" w:before="4"/>
        <w:ind w:right="1128"/>
        <w:jc w:val="both"/>
        <w:rPr>
          <w:rFonts w:ascii="宋体" w:hAnsi="宋体" w:cs="宋体" w:eastAsia="宋体" w:hint="default"/>
        </w:rPr>
      </w:pPr>
      <w:r>
        <w:rPr>
          <w:spacing w:val="-2"/>
        </w:rPr>
        <w:t>审计的责任”部分进一步阐述了我们在这些准则下的责任。按照中国注册会计师职业道德守则，我们</w:t>
      </w:r>
      <w:r>
        <w:rPr>
          <w:spacing w:val="-68"/>
        </w:rPr>
        <w:t> </w:t>
      </w:r>
      <w:r>
        <w:rPr>
          <w:spacing w:val="-68"/>
        </w:rPr>
      </w:r>
      <w:r>
        <w:rPr>
          <w:spacing w:val="-2"/>
        </w:rPr>
        <w:t>独立于中远海科，并履行了职业道德方面的其他责任。我们相信，我们获取的审计证据是充分、适当</w:t>
      </w:r>
      <w:r>
        <w:rPr>
          <w:spacing w:val="-70"/>
        </w:rPr>
        <w:t> </w:t>
      </w:r>
      <w:r>
        <w:rPr>
          <w:spacing w:val="-70"/>
        </w:rPr>
      </w:r>
      <w:r>
        <w:rPr/>
        <w:t>的，为发表审计意见提供了基础。</w:t>
      </w:r>
      <w:r>
        <w:rPr>
          <w:rFonts w:ascii="宋体" w:hAnsi="宋体" w:cs="宋体" w:eastAsia="宋体" w:hint="default"/>
        </w:rPr>
        <w:t> </w:t>
      </w:r>
    </w:p>
    <w:p>
      <w:pPr>
        <w:pStyle w:val="BodyText"/>
        <w:spacing w:line="259" w:lineRule="auto" w:before="6"/>
        <w:ind w:left="592" w:right="1133" w:hanging="440"/>
        <w:jc w:val="left"/>
      </w:pPr>
      <w:r>
        <w:rPr>
          <w:rFonts w:ascii="宋体" w:hAnsi="宋体" w:cs="宋体" w:eastAsia="宋体" w:hint="default"/>
        </w:rPr>
        <w:t>3</w:t>
      </w:r>
      <w:r>
        <w:rPr/>
        <w:t>、关键审计事项</w:t>
      </w:r>
      <w:r>
        <w:rPr>
          <w:rFonts w:ascii="宋体" w:hAnsi="宋体" w:cs="宋体" w:eastAsia="宋体" w:hint="default"/>
          <w:w w:val="100"/>
        </w:rPr>
        <w:t> </w:t>
      </w:r>
      <w:r>
        <w:rPr>
          <w:spacing w:val="-2"/>
        </w:rPr>
        <w:t>关键审计事项是我们根据职业判断，认为对本期财务报表审计最为重要的事项。这些事项的应对</w:t>
      </w:r>
    </w:p>
    <w:p>
      <w:pPr>
        <w:pStyle w:val="BodyText"/>
        <w:spacing w:line="240" w:lineRule="auto" w:before="6"/>
        <w:ind w:right="1133"/>
        <w:jc w:val="left"/>
        <w:rPr>
          <w:rFonts w:ascii="宋体" w:hAnsi="宋体" w:cs="宋体" w:eastAsia="宋体" w:hint="default"/>
        </w:rPr>
      </w:pPr>
      <w:r>
        <w:rPr/>
        <w:t>以对财务报表整体进行审计并形成审计意见为背景，我们不对这些事项单独发表意见。</w:t>
      </w:r>
      <w:r>
        <w:rPr>
          <w:rFonts w:ascii="宋体" w:hAnsi="宋体" w:cs="宋体" w:eastAsia="宋体" w:hint="default"/>
        </w:rPr>
        <w:t> </w:t>
      </w:r>
    </w:p>
    <w:p>
      <w:pPr>
        <w:spacing w:line="240" w:lineRule="auto" w:before="7"/>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4952"/>
        <w:gridCol w:w="4657"/>
      </w:tblGrid>
      <w:tr>
        <w:trPr>
          <w:trHeight w:val="370" w:hRule="exact"/>
        </w:trPr>
        <w:tc>
          <w:tcPr>
            <w:tcW w:w="96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2"/>
                <w:szCs w:val="22"/>
              </w:rPr>
            </w:pPr>
            <w:r>
              <w:rPr>
                <w:rFonts w:ascii="Arial" w:hAnsi="Arial" w:cs="Arial" w:eastAsia="Arial" w:hint="default"/>
                <w:sz w:val="22"/>
                <w:szCs w:val="22"/>
              </w:rPr>
              <w:t>1.</w:t>
            </w:r>
            <w:r>
              <w:rPr>
                <w:rFonts w:ascii="Arial" w:hAnsi="Arial" w:cs="Arial" w:eastAsia="Arial" w:hint="default"/>
                <w:spacing w:val="39"/>
                <w:sz w:val="22"/>
                <w:szCs w:val="22"/>
              </w:rPr>
              <w:t> </w:t>
            </w:r>
            <w:r>
              <w:rPr>
                <w:rFonts w:ascii="宋体" w:hAnsi="宋体" w:cs="宋体" w:eastAsia="宋体" w:hint="default"/>
                <w:sz w:val="22"/>
                <w:szCs w:val="22"/>
              </w:rPr>
              <w:t>收入确认事项</w:t>
            </w:r>
          </w:p>
        </w:tc>
      </w:tr>
      <w:tr>
        <w:trPr>
          <w:trHeight w:val="451"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sz w:val="22"/>
                <w:szCs w:val="22"/>
              </w:rPr>
              <w:t>关键审计事项</w:t>
            </w:r>
          </w:p>
        </w:tc>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6" w:right="0"/>
              <w:jc w:val="center"/>
              <w:rPr>
                <w:rFonts w:ascii="宋体" w:hAnsi="宋体" w:cs="宋体" w:eastAsia="宋体" w:hint="default"/>
                <w:sz w:val="22"/>
                <w:szCs w:val="22"/>
              </w:rPr>
            </w:pPr>
            <w:r>
              <w:rPr>
                <w:rFonts w:ascii="宋体" w:hAnsi="宋体" w:cs="宋体" w:eastAsia="宋体" w:hint="default"/>
                <w:sz w:val="22"/>
                <w:szCs w:val="22"/>
              </w:rPr>
              <w:t>审计中的应对</w:t>
            </w:r>
          </w:p>
        </w:tc>
      </w:tr>
      <w:tr>
        <w:trPr>
          <w:trHeight w:val="4131"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70"/>
              <w:ind w:left="103" w:right="95"/>
              <w:jc w:val="both"/>
              <w:rPr>
                <w:rFonts w:ascii="宋体" w:hAnsi="宋体" w:cs="宋体" w:eastAsia="宋体" w:hint="default"/>
                <w:sz w:val="22"/>
                <w:szCs w:val="22"/>
              </w:rPr>
            </w:pPr>
            <w:r>
              <w:rPr>
                <w:rFonts w:ascii="宋体" w:hAnsi="宋体" w:cs="宋体" w:eastAsia="宋体" w:hint="default"/>
                <w:spacing w:val="3"/>
                <w:sz w:val="22"/>
                <w:szCs w:val="22"/>
              </w:rPr>
              <w:t>中远海科收入类型及账面金额相关信息披露详见</w:t>
            </w:r>
            <w:r>
              <w:rPr>
                <w:rFonts w:ascii="宋体" w:hAnsi="宋体" w:cs="宋体" w:eastAsia="宋体" w:hint="default"/>
                <w:spacing w:val="-71"/>
                <w:sz w:val="22"/>
                <w:szCs w:val="22"/>
              </w:rPr>
              <w:t> </w:t>
            </w:r>
            <w:r>
              <w:rPr>
                <w:rFonts w:ascii="宋体" w:hAnsi="宋体" w:cs="宋体" w:eastAsia="宋体" w:hint="default"/>
                <w:spacing w:val="-71"/>
                <w:sz w:val="22"/>
                <w:szCs w:val="22"/>
              </w:rPr>
            </w:r>
            <w:r>
              <w:rPr>
                <w:rFonts w:ascii="宋体" w:hAnsi="宋体" w:cs="宋体" w:eastAsia="宋体" w:hint="default"/>
                <w:sz w:val="22"/>
                <w:szCs w:val="22"/>
              </w:rPr>
              <w:t>财务报表附注六、</w:t>
            </w:r>
            <w:r>
              <w:rPr>
                <w:rFonts w:ascii="Arial" w:hAnsi="Arial" w:cs="Arial" w:eastAsia="Arial" w:hint="default"/>
                <w:sz w:val="22"/>
                <w:szCs w:val="22"/>
              </w:rPr>
              <w:t>24</w:t>
            </w:r>
            <w:r>
              <w:rPr>
                <w:rFonts w:ascii="宋体" w:hAnsi="宋体" w:cs="宋体" w:eastAsia="宋体" w:hint="default"/>
                <w:sz w:val="22"/>
                <w:szCs w:val="22"/>
              </w:rPr>
              <w:t>（会计政策）和八、</w:t>
            </w:r>
            <w:r>
              <w:rPr>
                <w:rFonts w:ascii="Arial" w:hAnsi="Arial" w:cs="Arial" w:eastAsia="Arial" w:hint="default"/>
                <w:sz w:val="22"/>
                <w:szCs w:val="22"/>
              </w:rPr>
              <w:t>29</w:t>
            </w:r>
            <w:r>
              <w:rPr>
                <w:rFonts w:ascii="宋体" w:hAnsi="宋体" w:cs="宋体" w:eastAsia="宋体" w:hint="default"/>
                <w:sz w:val="22"/>
                <w:szCs w:val="22"/>
              </w:rPr>
              <w:t>（营</w:t>
            </w:r>
            <w:r>
              <w:rPr>
                <w:rFonts w:ascii="宋体" w:hAnsi="宋体" w:cs="宋体" w:eastAsia="宋体" w:hint="default"/>
                <w:spacing w:val="-46"/>
                <w:sz w:val="22"/>
                <w:szCs w:val="22"/>
              </w:rPr>
              <w:t> </w:t>
            </w:r>
            <w:r>
              <w:rPr>
                <w:rFonts w:ascii="宋体" w:hAnsi="宋体" w:cs="宋体" w:eastAsia="宋体" w:hint="default"/>
                <w:spacing w:val="-12"/>
                <w:w w:val="100"/>
                <w:sz w:val="22"/>
                <w:szCs w:val="22"/>
              </w:rPr>
              <w:t>业收入、营业成本）。</w:t>
            </w:r>
          </w:p>
          <w:p>
            <w:pPr>
              <w:pStyle w:val="TableParagraph"/>
              <w:spacing w:line="290" w:lineRule="auto" w:before="64"/>
              <w:ind w:left="103" w:right="96"/>
              <w:jc w:val="both"/>
              <w:rPr>
                <w:rFonts w:ascii="宋体" w:hAnsi="宋体" w:cs="宋体" w:eastAsia="宋体" w:hint="default"/>
                <w:sz w:val="22"/>
                <w:szCs w:val="22"/>
              </w:rPr>
            </w:pPr>
            <w:r>
              <w:rPr>
                <w:rFonts w:ascii="Arial" w:hAnsi="Arial" w:cs="Arial" w:eastAsia="Arial" w:hint="default"/>
                <w:sz w:val="22"/>
                <w:szCs w:val="22"/>
              </w:rPr>
              <w:t>2019 </w:t>
            </w:r>
            <w:r>
              <w:rPr>
                <w:rFonts w:ascii="宋体" w:hAnsi="宋体" w:cs="宋体" w:eastAsia="宋体" w:hint="default"/>
                <w:sz w:val="22"/>
                <w:szCs w:val="22"/>
              </w:rPr>
              <w:t>年度，中远海科营业收入</w:t>
            </w:r>
            <w:r>
              <w:rPr>
                <w:rFonts w:ascii="宋体" w:hAnsi="宋体" w:cs="宋体" w:eastAsia="宋体" w:hint="default"/>
                <w:spacing w:val="-62"/>
                <w:sz w:val="22"/>
                <w:szCs w:val="22"/>
              </w:rPr>
              <w:t> </w:t>
            </w:r>
            <w:r>
              <w:rPr>
                <w:rFonts w:ascii="Arial" w:hAnsi="Arial" w:cs="Arial" w:eastAsia="Arial" w:hint="default"/>
                <w:sz w:val="22"/>
                <w:szCs w:val="22"/>
              </w:rPr>
              <w:t>1,203,712,101.71</w:t>
            </w:r>
            <w:r>
              <w:rPr>
                <w:rFonts w:ascii="Arial" w:hAnsi="Arial" w:cs="Arial" w:eastAsia="Arial" w:hint="default"/>
                <w:w w:val="100"/>
                <w:sz w:val="22"/>
                <w:szCs w:val="22"/>
              </w:rPr>
              <w:t> </w:t>
            </w:r>
            <w:r>
              <w:rPr>
                <w:rFonts w:ascii="宋体" w:hAnsi="宋体" w:cs="宋体" w:eastAsia="宋体" w:hint="default"/>
                <w:spacing w:val="-6"/>
                <w:w w:val="100"/>
                <w:sz w:val="22"/>
                <w:szCs w:val="22"/>
              </w:rPr>
              <w:t>元，其中智慧交通系统工程项目营业收入约占营业</w:t>
            </w:r>
            <w:r>
              <w:rPr>
                <w:rFonts w:ascii="宋体" w:hAnsi="宋体" w:cs="宋体" w:eastAsia="宋体" w:hint="default"/>
                <w:spacing w:val="-105"/>
                <w:w w:val="100"/>
                <w:sz w:val="22"/>
                <w:szCs w:val="22"/>
              </w:rPr>
              <w:t> </w:t>
            </w:r>
            <w:r>
              <w:rPr>
                <w:rFonts w:ascii="宋体" w:hAnsi="宋体" w:cs="宋体" w:eastAsia="宋体" w:hint="default"/>
                <w:spacing w:val="-105"/>
                <w:w w:val="100"/>
                <w:sz w:val="22"/>
                <w:szCs w:val="22"/>
              </w:rPr>
            </w:r>
            <w:r>
              <w:rPr>
                <w:rFonts w:ascii="宋体" w:hAnsi="宋体" w:cs="宋体" w:eastAsia="宋体" w:hint="default"/>
                <w:sz w:val="22"/>
                <w:szCs w:val="22"/>
              </w:rPr>
              <w:t>收入的</w:t>
            </w:r>
            <w:r>
              <w:rPr>
                <w:rFonts w:ascii="宋体" w:hAnsi="宋体" w:cs="宋体" w:eastAsia="宋体" w:hint="default"/>
                <w:spacing w:val="-33"/>
                <w:sz w:val="22"/>
                <w:szCs w:val="22"/>
              </w:rPr>
              <w:t> </w:t>
            </w:r>
            <w:r>
              <w:rPr>
                <w:rFonts w:ascii="Arial" w:hAnsi="Arial" w:cs="Arial" w:eastAsia="Arial" w:hint="default"/>
                <w:spacing w:val="-3"/>
                <w:sz w:val="22"/>
                <w:szCs w:val="22"/>
              </w:rPr>
              <w:t>60.03%</w:t>
            </w:r>
            <w:r>
              <w:rPr>
                <w:rFonts w:ascii="宋体" w:hAnsi="宋体" w:cs="宋体" w:eastAsia="宋体" w:hint="default"/>
                <w:spacing w:val="-3"/>
                <w:sz w:val="22"/>
                <w:szCs w:val="22"/>
              </w:rPr>
              <w:t>。根据企业会计准则及公司会计政</w:t>
            </w:r>
            <w:r>
              <w:rPr>
                <w:rFonts w:ascii="宋体" w:hAnsi="宋体" w:cs="宋体" w:eastAsia="宋体" w:hint="default"/>
                <w:spacing w:val="-101"/>
                <w:sz w:val="22"/>
                <w:szCs w:val="22"/>
              </w:rPr>
              <w:t> </w:t>
            </w:r>
            <w:r>
              <w:rPr>
                <w:rFonts w:ascii="宋体" w:hAnsi="宋体" w:cs="宋体" w:eastAsia="宋体" w:hint="default"/>
                <w:spacing w:val="-101"/>
                <w:sz w:val="22"/>
                <w:szCs w:val="22"/>
              </w:rPr>
            </w:r>
            <w:r>
              <w:rPr>
                <w:rFonts w:ascii="宋体" w:hAnsi="宋体" w:cs="宋体" w:eastAsia="宋体" w:hint="default"/>
                <w:sz w:val="22"/>
                <w:szCs w:val="22"/>
              </w:rPr>
              <w:t>策的规定，相关工程项目适用《会计准则第</w:t>
            </w:r>
            <w:r>
              <w:rPr>
                <w:rFonts w:ascii="宋体" w:hAnsi="宋体" w:cs="宋体" w:eastAsia="宋体" w:hint="default"/>
                <w:spacing w:val="-65"/>
                <w:sz w:val="22"/>
                <w:szCs w:val="22"/>
              </w:rPr>
              <w:t> </w:t>
            </w:r>
            <w:r>
              <w:rPr>
                <w:rFonts w:ascii="Arial" w:hAnsi="Arial" w:cs="Arial" w:eastAsia="Arial" w:hint="default"/>
                <w:sz w:val="22"/>
                <w:szCs w:val="22"/>
              </w:rPr>
              <w:t>15</w:t>
            </w:r>
            <w:r>
              <w:rPr>
                <w:rFonts w:ascii="Arial" w:hAnsi="Arial" w:cs="Arial" w:eastAsia="Arial" w:hint="default"/>
                <w:spacing w:val="-17"/>
                <w:sz w:val="22"/>
                <w:szCs w:val="22"/>
              </w:rPr>
              <w:t> </w:t>
            </w:r>
            <w:r>
              <w:rPr>
                <w:rFonts w:ascii="宋体" w:hAnsi="宋体" w:cs="宋体" w:eastAsia="宋体" w:hint="default"/>
                <w:sz w:val="22"/>
                <w:szCs w:val="22"/>
              </w:rPr>
              <w:t>号</w:t>
            </w:r>
          </w:p>
          <w:p>
            <w:pPr>
              <w:pStyle w:val="TableParagraph"/>
              <w:spacing w:line="295" w:lineRule="auto" w:before="5"/>
              <w:ind w:left="103" w:right="99"/>
              <w:jc w:val="both"/>
              <w:rPr>
                <w:rFonts w:ascii="宋体" w:hAnsi="宋体" w:cs="宋体" w:eastAsia="宋体" w:hint="default"/>
                <w:sz w:val="22"/>
                <w:szCs w:val="22"/>
              </w:rPr>
            </w:pPr>
            <w:r>
              <w:rPr>
                <w:rFonts w:ascii="Arial" w:hAnsi="Arial" w:cs="Arial" w:eastAsia="Arial" w:hint="default"/>
                <w:sz w:val="22"/>
                <w:szCs w:val="22"/>
              </w:rPr>
              <w:t>-</w:t>
            </w:r>
            <w:r>
              <w:rPr>
                <w:rFonts w:ascii="宋体" w:hAnsi="宋体" w:cs="宋体" w:eastAsia="宋体" w:hint="default"/>
                <w:sz w:val="22"/>
                <w:szCs w:val="22"/>
              </w:rPr>
              <w:t>建造合同》的规定。建造合同收入确认相关会计</w:t>
            </w:r>
            <w:r>
              <w:rPr>
                <w:rFonts w:ascii="宋体" w:hAnsi="宋体" w:cs="宋体" w:eastAsia="宋体" w:hint="default"/>
                <w:spacing w:val="-69"/>
                <w:sz w:val="22"/>
                <w:szCs w:val="22"/>
              </w:rPr>
              <w:t> </w:t>
            </w:r>
            <w:r>
              <w:rPr>
                <w:rFonts w:ascii="宋体" w:hAnsi="宋体" w:cs="宋体" w:eastAsia="宋体" w:hint="default"/>
                <w:spacing w:val="-69"/>
                <w:sz w:val="22"/>
                <w:szCs w:val="22"/>
              </w:rPr>
            </w:r>
            <w:r>
              <w:rPr>
                <w:rFonts w:ascii="宋体" w:hAnsi="宋体" w:cs="宋体" w:eastAsia="宋体" w:hint="default"/>
                <w:spacing w:val="-6"/>
                <w:w w:val="100"/>
                <w:sz w:val="22"/>
                <w:szCs w:val="22"/>
              </w:rPr>
              <w:t>核算涉及重大会计估计和判断，尤其是在资产负债</w:t>
            </w:r>
            <w:r>
              <w:rPr>
                <w:rFonts w:ascii="宋体" w:hAnsi="宋体" w:cs="宋体" w:eastAsia="宋体" w:hint="default"/>
                <w:spacing w:val="-103"/>
                <w:w w:val="100"/>
                <w:sz w:val="22"/>
                <w:szCs w:val="22"/>
              </w:rPr>
              <w:t> </w:t>
            </w:r>
            <w:r>
              <w:rPr>
                <w:rFonts w:ascii="宋体" w:hAnsi="宋体" w:cs="宋体" w:eastAsia="宋体" w:hint="default"/>
                <w:spacing w:val="-103"/>
                <w:w w:val="100"/>
                <w:sz w:val="22"/>
                <w:szCs w:val="22"/>
              </w:rPr>
            </w:r>
            <w:r>
              <w:rPr>
                <w:rFonts w:ascii="宋体" w:hAnsi="宋体" w:cs="宋体" w:eastAsia="宋体" w:hint="default"/>
                <w:spacing w:val="3"/>
                <w:sz w:val="22"/>
                <w:szCs w:val="22"/>
              </w:rPr>
              <w:t>表日按照完工百分比法确认工程项目的收入和成</w:t>
            </w:r>
            <w:r>
              <w:rPr>
                <w:rFonts w:ascii="宋体" w:hAnsi="宋体" w:cs="宋体" w:eastAsia="宋体" w:hint="default"/>
                <w:spacing w:val="-71"/>
                <w:sz w:val="22"/>
                <w:szCs w:val="22"/>
              </w:rPr>
              <w:t> </w:t>
            </w:r>
            <w:r>
              <w:rPr>
                <w:rFonts w:ascii="宋体" w:hAnsi="宋体" w:cs="宋体" w:eastAsia="宋体" w:hint="default"/>
                <w:spacing w:val="-71"/>
                <w:sz w:val="22"/>
                <w:szCs w:val="22"/>
              </w:rPr>
            </w:r>
            <w:r>
              <w:rPr>
                <w:rFonts w:ascii="宋体" w:hAnsi="宋体" w:cs="宋体" w:eastAsia="宋体" w:hint="default"/>
                <w:spacing w:val="-6"/>
                <w:w w:val="100"/>
                <w:sz w:val="22"/>
                <w:szCs w:val="22"/>
              </w:rPr>
              <w:t>本，其中完工进度采用已经完成的合同工作量占合</w:t>
            </w:r>
          </w:p>
        </w:tc>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0"/>
              <w:ind w:left="105" w:right="98"/>
              <w:jc w:val="both"/>
              <w:rPr>
                <w:rFonts w:ascii="宋体" w:hAnsi="宋体" w:cs="宋体" w:eastAsia="宋体" w:hint="default"/>
                <w:sz w:val="22"/>
                <w:szCs w:val="22"/>
              </w:rPr>
            </w:pPr>
            <w:r>
              <w:rPr>
                <w:rFonts w:ascii="宋体" w:hAnsi="宋体" w:cs="宋体" w:eastAsia="宋体" w:hint="default"/>
                <w:sz w:val="22"/>
                <w:szCs w:val="22"/>
              </w:rPr>
              <w:t>针对智能交通系统工程项目收入确认，我们执</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行的主要程序如下：</w:t>
            </w:r>
          </w:p>
          <w:p>
            <w:pPr>
              <w:pStyle w:val="TableParagraph"/>
              <w:spacing w:line="295" w:lineRule="auto" w:before="58"/>
              <w:ind w:left="105" w:right="97"/>
              <w:jc w:val="both"/>
              <w:rPr>
                <w:rFonts w:ascii="宋体" w:hAnsi="宋体" w:cs="宋体" w:eastAsia="宋体" w:hint="default"/>
                <w:sz w:val="22"/>
                <w:szCs w:val="22"/>
              </w:rPr>
            </w:pPr>
            <w:r>
              <w:rPr>
                <w:rFonts w:ascii="宋体" w:hAnsi="宋体" w:cs="宋体" w:eastAsia="宋体" w:hint="default"/>
                <w:spacing w:val="-5"/>
                <w:sz w:val="22"/>
                <w:szCs w:val="22"/>
              </w:rPr>
              <w:t>（</w:t>
            </w:r>
            <w:r>
              <w:rPr>
                <w:rFonts w:ascii="Arial" w:hAnsi="Arial" w:cs="Arial" w:eastAsia="Arial" w:hint="default"/>
                <w:spacing w:val="-5"/>
                <w:sz w:val="22"/>
                <w:szCs w:val="22"/>
              </w:rPr>
              <w:t>1</w:t>
            </w:r>
            <w:r>
              <w:rPr>
                <w:rFonts w:ascii="宋体" w:hAnsi="宋体" w:cs="宋体" w:eastAsia="宋体" w:hint="default"/>
                <w:spacing w:val="-5"/>
                <w:sz w:val="22"/>
                <w:szCs w:val="22"/>
              </w:rPr>
              <w:t>）了解、评价和测试管理层对工程项目合同</w:t>
            </w:r>
            <w:r>
              <w:rPr>
                <w:rFonts w:ascii="宋体" w:hAnsi="宋体" w:cs="宋体" w:eastAsia="宋体" w:hint="default"/>
                <w:spacing w:val="-90"/>
                <w:sz w:val="22"/>
                <w:szCs w:val="22"/>
              </w:rPr>
              <w:t> </w:t>
            </w:r>
            <w:r>
              <w:rPr>
                <w:rFonts w:ascii="宋体" w:hAnsi="宋体" w:cs="宋体" w:eastAsia="宋体" w:hint="default"/>
                <w:spacing w:val="-90"/>
                <w:sz w:val="22"/>
                <w:szCs w:val="22"/>
              </w:rPr>
            </w:r>
            <w:r>
              <w:rPr>
                <w:rFonts w:ascii="宋体" w:hAnsi="宋体" w:cs="宋体" w:eastAsia="宋体" w:hint="default"/>
                <w:sz w:val="22"/>
                <w:szCs w:val="22"/>
              </w:rPr>
              <w:t>收入及成本入账相关内部控制的设计、执行的</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有效性，包括与实际发生合同工作量及合同预</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估总工作量相关的内部控制；</w:t>
            </w:r>
          </w:p>
          <w:p>
            <w:pPr>
              <w:pStyle w:val="TableParagraph"/>
              <w:spacing w:line="290" w:lineRule="auto" w:before="64"/>
              <w:ind w:left="105" w:right="97"/>
              <w:jc w:val="both"/>
              <w:rPr>
                <w:rFonts w:ascii="宋体" w:hAnsi="宋体" w:cs="宋体" w:eastAsia="宋体" w:hint="default"/>
                <w:sz w:val="22"/>
                <w:szCs w:val="22"/>
              </w:rPr>
            </w:pPr>
            <w:r>
              <w:rPr>
                <w:rFonts w:ascii="宋体" w:hAnsi="宋体" w:cs="宋体" w:eastAsia="宋体" w:hint="default"/>
                <w:spacing w:val="-5"/>
                <w:sz w:val="22"/>
                <w:szCs w:val="22"/>
              </w:rPr>
              <w:t>（</w:t>
            </w:r>
            <w:r>
              <w:rPr>
                <w:rFonts w:ascii="Arial" w:hAnsi="Arial" w:cs="Arial" w:eastAsia="Arial" w:hint="default"/>
                <w:spacing w:val="-5"/>
                <w:sz w:val="22"/>
                <w:szCs w:val="22"/>
              </w:rPr>
              <w:t>2</w:t>
            </w:r>
            <w:r>
              <w:rPr>
                <w:rFonts w:ascii="宋体" w:hAnsi="宋体" w:cs="宋体" w:eastAsia="宋体" w:hint="default"/>
                <w:spacing w:val="-5"/>
                <w:sz w:val="22"/>
                <w:szCs w:val="22"/>
              </w:rPr>
              <w:t>）获取管理层提供的工程项目收入成本计算</w:t>
            </w:r>
            <w:r>
              <w:rPr>
                <w:rFonts w:ascii="宋体" w:hAnsi="宋体" w:cs="宋体" w:eastAsia="宋体" w:hint="default"/>
                <w:spacing w:val="-90"/>
                <w:sz w:val="22"/>
                <w:szCs w:val="22"/>
              </w:rPr>
              <w:t> </w:t>
            </w:r>
            <w:r>
              <w:rPr>
                <w:rFonts w:ascii="宋体" w:hAnsi="宋体" w:cs="宋体" w:eastAsia="宋体" w:hint="default"/>
                <w:spacing w:val="-90"/>
                <w:sz w:val="22"/>
                <w:szCs w:val="22"/>
              </w:rPr>
            </w:r>
            <w:r>
              <w:rPr>
                <w:rFonts w:ascii="宋体" w:hAnsi="宋体" w:cs="宋体" w:eastAsia="宋体" w:hint="default"/>
                <w:sz w:val="22"/>
                <w:szCs w:val="22"/>
              </w:rPr>
              <w:t>表，将本年应确认的收入成本金额与明细账核</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对，并检查计算表的准确性；</w:t>
            </w:r>
          </w:p>
          <w:p>
            <w:pPr>
              <w:pStyle w:val="TableParagraph"/>
              <w:spacing w:line="285" w:lineRule="auto" w:before="69"/>
              <w:ind w:left="105" w:right="94"/>
              <w:jc w:val="both"/>
              <w:rPr>
                <w:rFonts w:ascii="宋体" w:hAnsi="宋体" w:cs="宋体" w:eastAsia="宋体" w:hint="default"/>
                <w:sz w:val="22"/>
                <w:szCs w:val="22"/>
              </w:rPr>
            </w:pPr>
            <w:r>
              <w:rPr>
                <w:rFonts w:ascii="宋体" w:hAnsi="宋体" w:cs="宋体" w:eastAsia="宋体" w:hint="default"/>
                <w:spacing w:val="-5"/>
                <w:sz w:val="22"/>
                <w:szCs w:val="22"/>
              </w:rPr>
              <w:t>（</w:t>
            </w:r>
            <w:r>
              <w:rPr>
                <w:rFonts w:ascii="Arial" w:hAnsi="Arial" w:cs="Arial" w:eastAsia="Arial" w:hint="default"/>
                <w:spacing w:val="-5"/>
                <w:sz w:val="22"/>
                <w:szCs w:val="22"/>
              </w:rPr>
              <w:t>3</w:t>
            </w:r>
            <w:r>
              <w:rPr>
                <w:rFonts w:ascii="宋体" w:hAnsi="宋体" w:cs="宋体" w:eastAsia="宋体" w:hint="default"/>
                <w:spacing w:val="-5"/>
                <w:sz w:val="22"/>
                <w:szCs w:val="22"/>
              </w:rPr>
              <w:t>）通过与项目工程师讨论、检查合同等相关</w:t>
            </w:r>
            <w:r>
              <w:rPr>
                <w:rFonts w:ascii="宋体" w:hAnsi="宋体" w:cs="宋体" w:eastAsia="宋体" w:hint="default"/>
                <w:spacing w:val="-87"/>
                <w:sz w:val="22"/>
                <w:szCs w:val="22"/>
              </w:rPr>
              <w:t> </w:t>
            </w:r>
            <w:r>
              <w:rPr>
                <w:rFonts w:ascii="宋体" w:hAnsi="宋体" w:cs="宋体" w:eastAsia="宋体" w:hint="default"/>
                <w:spacing w:val="-87"/>
                <w:sz w:val="22"/>
                <w:szCs w:val="22"/>
              </w:rPr>
            </w:r>
            <w:r>
              <w:rPr>
                <w:rFonts w:ascii="宋体" w:hAnsi="宋体" w:cs="宋体" w:eastAsia="宋体" w:hint="default"/>
                <w:sz w:val="22"/>
                <w:szCs w:val="22"/>
              </w:rPr>
              <w:t>支持性文件，识别预估总工作量是否存在遗漏</w:t>
            </w:r>
          </w:p>
        </w:tc>
      </w:tr>
    </w:tbl>
    <w:p>
      <w:pPr>
        <w:spacing w:after="0" w:line="285" w:lineRule="auto"/>
        <w:jc w:val="both"/>
        <w:rPr>
          <w:rFonts w:ascii="宋体" w:hAnsi="宋体" w:cs="宋体" w:eastAsia="宋体" w:hint="default"/>
          <w:sz w:val="22"/>
          <w:szCs w:val="22"/>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952"/>
        <w:gridCol w:w="4657"/>
      </w:tblGrid>
      <w:tr>
        <w:trPr>
          <w:trHeight w:val="370" w:hRule="exact"/>
        </w:trPr>
        <w:tc>
          <w:tcPr>
            <w:tcW w:w="96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2"/>
                <w:szCs w:val="22"/>
              </w:rPr>
            </w:pPr>
            <w:r>
              <w:rPr>
                <w:rFonts w:ascii="Arial" w:hAnsi="Arial" w:cs="Arial" w:eastAsia="Arial" w:hint="default"/>
                <w:sz w:val="22"/>
                <w:szCs w:val="22"/>
              </w:rPr>
              <w:t>1.</w:t>
            </w:r>
            <w:r>
              <w:rPr>
                <w:rFonts w:ascii="Arial" w:hAnsi="Arial" w:cs="Arial" w:eastAsia="Arial" w:hint="default"/>
                <w:spacing w:val="39"/>
                <w:sz w:val="22"/>
                <w:szCs w:val="22"/>
              </w:rPr>
              <w:t> </w:t>
            </w:r>
            <w:r>
              <w:rPr>
                <w:rFonts w:ascii="宋体" w:hAnsi="宋体" w:cs="宋体" w:eastAsia="宋体" w:hint="default"/>
                <w:sz w:val="22"/>
                <w:szCs w:val="22"/>
              </w:rPr>
              <w:t>收入确认事项</w:t>
            </w:r>
          </w:p>
        </w:tc>
      </w:tr>
      <w:tr>
        <w:trPr>
          <w:trHeight w:val="451"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sz w:val="22"/>
                <w:szCs w:val="22"/>
              </w:rPr>
              <w:t>关键审计事项</w:t>
            </w:r>
          </w:p>
        </w:tc>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6" w:right="0"/>
              <w:jc w:val="center"/>
              <w:rPr>
                <w:rFonts w:ascii="宋体" w:hAnsi="宋体" w:cs="宋体" w:eastAsia="宋体" w:hint="default"/>
                <w:sz w:val="22"/>
                <w:szCs w:val="22"/>
              </w:rPr>
            </w:pPr>
            <w:r>
              <w:rPr>
                <w:rFonts w:ascii="宋体" w:hAnsi="宋体" w:cs="宋体" w:eastAsia="宋体" w:hint="default"/>
                <w:sz w:val="22"/>
                <w:szCs w:val="22"/>
              </w:rPr>
              <w:t>审计中的应对</w:t>
            </w:r>
          </w:p>
        </w:tc>
      </w:tr>
      <w:tr>
        <w:trPr>
          <w:trHeight w:val="3771"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31"/>
              <w:ind w:left="103" w:right="98"/>
              <w:jc w:val="both"/>
              <w:rPr>
                <w:rFonts w:ascii="宋体" w:hAnsi="宋体" w:cs="宋体" w:eastAsia="宋体" w:hint="default"/>
                <w:sz w:val="22"/>
                <w:szCs w:val="22"/>
              </w:rPr>
            </w:pPr>
            <w:r>
              <w:rPr>
                <w:rFonts w:ascii="宋体" w:hAnsi="宋体" w:cs="宋体" w:eastAsia="宋体" w:hint="default"/>
                <w:spacing w:val="-6"/>
                <w:sz w:val="22"/>
                <w:szCs w:val="22"/>
              </w:rPr>
              <w:t>同预计总工作量的比例确定。合同收入、预计总工</w:t>
            </w:r>
            <w:r>
              <w:rPr>
                <w:rFonts w:ascii="宋体" w:hAnsi="宋体" w:cs="宋体" w:eastAsia="宋体" w:hint="default"/>
                <w:spacing w:val="-85"/>
                <w:sz w:val="22"/>
                <w:szCs w:val="22"/>
              </w:rPr>
              <w:t> </w:t>
            </w:r>
            <w:r>
              <w:rPr>
                <w:rFonts w:ascii="宋体" w:hAnsi="宋体" w:cs="宋体" w:eastAsia="宋体" w:hint="default"/>
                <w:spacing w:val="-85"/>
                <w:sz w:val="22"/>
                <w:szCs w:val="22"/>
              </w:rPr>
            </w:r>
            <w:r>
              <w:rPr>
                <w:rFonts w:ascii="宋体" w:hAnsi="宋体" w:cs="宋体" w:eastAsia="宋体" w:hint="default"/>
                <w:spacing w:val="3"/>
                <w:sz w:val="22"/>
                <w:szCs w:val="22"/>
              </w:rPr>
              <w:t>作量以及合同执行结果的估计变更都可能对变更</w:t>
            </w:r>
            <w:r>
              <w:rPr>
                <w:rFonts w:ascii="宋体" w:hAnsi="宋体" w:cs="宋体" w:eastAsia="宋体" w:hint="default"/>
                <w:spacing w:val="-71"/>
                <w:sz w:val="22"/>
                <w:szCs w:val="22"/>
              </w:rPr>
              <w:t> </w:t>
            </w:r>
            <w:r>
              <w:rPr>
                <w:rFonts w:ascii="宋体" w:hAnsi="宋体" w:cs="宋体" w:eastAsia="宋体" w:hint="default"/>
                <w:spacing w:val="-71"/>
                <w:sz w:val="22"/>
                <w:szCs w:val="22"/>
              </w:rPr>
            </w:r>
            <w:r>
              <w:rPr>
                <w:rFonts w:ascii="宋体" w:hAnsi="宋体" w:cs="宋体" w:eastAsia="宋体" w:hint="default"/>
                <w:spacing w:val="-6"/>
                <w:sz w:val="22"/>
                <w:szCs w:val="22"/>
              </w:rPr>
              <w:t>当期或以后期间的营业收入、营业成本，以及期间</w:t>
            </w:r>
            <w:r>
              <w:rPr>
                <w:rFonts w:ascii="宋体" w:hAnsi="宋体" w:cs="宋体" w:eastAsia="宋体" w:hint="default"/>
                <w:spacing w:val="-85"/>
                <w:sz w:val="22"/>
                <w:szCs w:val="22"/>
              </w:rPr>
              <w:t> </w:t>
            </w:r>
            <w:r>
              <w:rPr>
                <w:rFonts w:ascii="宋体" w:hAnsi="宋体" w:cs="宋体" w:eastAsia="宋体" w:hint="default"/>
                <w:spacing w:val="-85"/>
                <w:sz w:val="22"/>
                <w:szCs w:val="22"/>
              </w:rPr>
            </w:r>
            <w:r>
              <w:rPr>
                <w:rFonts w:ascii="宋体" w:hAnsi="宋体" w:cs="宋体" w:eastAsia="宋体" w:hint="default"/>
                <w:spacing w:val="-6"/>
                <w:w w:val="100"/>
                <w:sz w:val="22"/>
                <w:szCs w:val="22"/>
              </w:rPr>
              <w:t>损益产生影响。为此我们将智慧交通系统工程项目</w:t>
            </w:r>
            <w:r>
              <w:rPr>
                <w:rFonts w:ascii="宋体" w:hAnsi="宋体" w:cs="宋体" w:eastAsia="宋体" w:hint="default"/>
                <w:spacing w:val="-104"/>
                <w:w w:val="100"/>
                <w:sz w:val="22"/>
                <w:szCs w:val="22"/>
              </w:rPr>
              <w:t> </w:t>
            </w:r>
            <w:r>
              <w:rPr>
                <w:rFonts w:ascii="宋体" w:hAnsi="宋体" w:cs="宋体" w:eastAsia="宋体" w:hint="default"/>
                <w:spacing w:val="-104"/>
                <w:w w:val="100"/>
                <w:sz w:val="22"/>
                <w:szCs w:val="22"/>
              </w:rPr>
            </w:r>
            <w:r>
              <w:rPr>
                <w:rFonts w:ascii="宋体" w:hAnsi="宋体" w:cs="宋体" w:eastAsia="宋体" w:hint="default"/>
                <w:sz w:val="22"/>
                <w:szCs w:val="22"/>
              </w:rPr>
              <w:t>营业收入确认识别为关键审计事项。</w:t>
            </w:r>
          </w:p>
        </w:tc>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2"/>
                <w:szCs w:val="22"/>
              </w:rPr>
            </w:pPr>
            <w:r>
              <w:rPr>
                <w:rFonts w:ascii="宋体" w:hAnsi="宋体" w:cs="宋体" w:eastAsia="宋体" w:hint="default"/>
                <w:sz w:val="22"/>
                <w:szCs w:val="22"/>
              </w:rPr>
              <w:t>的组成项目，评估预估总工作量的合理性；</w:t>
            </w:r>
          </w:p>
          <w:p>
            <w:pPr>
              <w:pStyle w:val="TableParagraph"/>
              <w:spacing w:line="290" w:lineRule="auto" w:before="115"/>
              <w:ind w:left="105" w:right="15"/>
              <w:jc w:val="left"/>
              <w:rPr>
                <w:rFonts w:ascii="宋体" w:hAnsi="宋体" w:cs="宋体" w:eastAsia="宋体" w:hint="default"/>
                <w:sz w:val="22"/>
                <w:szCs w:val="22"/>
              </w:rPr>
            </w:pPr>
            <w:r>
              <w:rPr>
                <w:rFonts w:ascii="宋体" w:hAnsi="宋体" w:cs="宋体" w:eastAsia="宋体" w:hint="default"/>
                <w:spacing w:val="-1"/>
                <w:sz w:val="22"/>
                <w:szCs w:val="22"/>
              </w:rPr>
              <w:t>（</w:t>
            </w:r>
            <w:r>
              <w:rPr>
                <w:rFonts w:ascii="Arial" w:hAnsi="Arial" w:cs="Arial" w:eastAsia="Arial" w:hint="default"/>
                <w:spacing w:val="-1"/>
                <w:sz w:val="22"/>
                <w:szCs w:val="22"/>
              </w:rPr>
              <w:t>4</w:t>
            </w:r>
            <w:r>
              <w:rPr>
                <w:rFonts w:ascii="宋体" w:hAnsi="宋体" w:cs="宋体" w:eastAsia="宋体" w:hint="default"/>
                <w:spacing w:val="-1"/>
                <w:sz w:val="22"/>
                <w:szCs w:val="22"/>
              </w:rPr>
              <w:t>）检查实际发生工程量对应的合同、发票、</w:t>
            </w:r>
            <w:r>
              <w:rPr>
                <w:rFonts w:ascii="宋体" w:hAnsi="宋体" w:cs="宋体" w:eastAsia="宋体" w:hint="default"/>
                <w:spacing w:val="-92"/>
                <w:sz w:val="22"/>
                <w:szCs w:val="22"/>
              </w:rPr>
              <w:t> </w:t>
            </w:r>
            <w:r>
              <w:rPr>
                <w:rFonts w:ascii="宋体" w:hAnsi="宋体" w:cs="宋体" w:eastAsia="宋体" w:hint="default"/>
                <w:spacing w:val="-92"/>
                <w:sz w:val="22"/>
                <w:szCs w:val="22"/>
              </w:rPr>
            </w:r>
            <w:r>
              <w:rPr>
                <w:rFonts w:ascii="宋体" w:hAnsi="宋体" w:cs="宋体" w:eastAsia="宋体" w:hint="default"/>
                <w:sz w:val="22"/>
                <w:szCs w:val="22"/>
              </w:rPr>
              <w:t>设备签收单和进度确认单等实际已完工作量支</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持性文件，以确认已完工程量的真实性；</w:t>
            </w:r>
          </w:p>
          <w:p>
            <w:pPr>
              <w:pStyle w:val="TableParagraph"/>
              <w:spacing w:line="295" w:lineRule="auto" w:before="66"/>
              <w:ind w:left="105" w:right="99"/>
              <w:jc w:val="both"/>
              <w:rPr>
                <w:rFonts w:ascii="宋体" w:hAnsi="宋体" w:cs="宋体" w:eastAsia="宋体" w:hint="default"/>
                <w:sz w:val="22"/>
                <w:szCs w:val="22"/>
              </w:rPr>
            </w:pPr>
            <w:r>
              <w:rPr>
                <w:rFonts w:ascii="宋体" w:hAnsi="宋体" w:cs="宋体" w:eastAsia="宋体" w:hint="default"/>
                <w:spacing w:val="4"/>
                <w:sz w:val="22"/>
                <w:szCs w:val="22"/>
              </w:rPr>
              <w:t>（</w:t>
            </w:r>
            <w:r>
              <w:rPr>
                <w:rFonts w:ascii="Arial" w:hAnsi="Arial" w:cs="Arial" w:eastAsia="Arial" w:hint="default"/>
                <w:spacing w:val="4"/>
                <w:sz w:val="22"/>
                <w:szCs w:val="22"/>
              </w:rPr>
              <w:t>5</w:t>
            </w:r>
            <w:r>
              <w:rPr>
                <w:rFonts w:ascii="宋体" w:hAnsi="宋体" w:cs="宋体" w:eastAsia="宋体" w:hint="default"/>
                <w:spacing w:val="4"/>
                <w:sz w:val="22"/>
                <w:szCs w:val="22"/>
              </w:rPr>
              <w:t>）针对资产负债表日前后确认的实际工程</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z w:val="22"/>
                <w:szCs w:val="22"/>
              </w:rPr>
              <w:t>量，检查设备签收单、进度确认单等支持性文</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件，以评估实际发生工程量是否在恰当的会计</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期间确认，以确定项目完工比例是否正确；</w:t>
            </w:r>
          </w:p>
          <w:p>
            <w:pPr>
              <w:pStyle w:val="TableParagraph"/>
              <w:spacing w:line="283" w:lineRule="auto" w:before="64"/>
              <w:ind w:left="105" w:right="94"/>
              <w:jc w:val="left"/>
              <w:rPr>
                <w:rFonts w:ascii="宋体" w:hAnsi="宋体" w:cs="宋体" w:eastAsia="宋体" w:hint="default"/>
                <w:sz w:val="22"/>
                <w:szCs w:val="22"/>
              </w:rPr>
            </w:pPr>
            <w:r>
              <w:rPr>
                <w:rFonts w:ascii="宋体" w:hAnsi="宋体" w:cs="宋体" w:eastAsia="宋体" w:hint="default"/>
                <w:spacing w:val="-5"/>
                <w:sz w:val="22"/>
                <w:szCs w:val="22"/>
              </w:rPr>
              <w:t>（</w:t>
            </w:r>
            <w:r>
              <w:rPr>
                <w:rFonts w:ascii="Arial" w:hAnsi="Arial" w:cs="Arial" w:eastAsia="Arial" w:hint="default"/>
                <w:spacing w:val="-5"/>
                <w:sz w:val="22"/>
                <w:szCs w:val="22"/>
              </w:rPr>
              <w:t>6</w:t>
            </w:r>
            <w:r>
              <w:rPr>
                <w:rFonts w:ascii="宋体" w:hAnsi="宋体" w:cs="宋体" w:eastAsia="宋体" w:hint="default"/>
                <w:spacing w:val="-5"/>
                <w:sz w:val="22"/>
                <w:szCs w:val="22"/>
              </w:rPr>
              <w:t>）执行分析性程序及细节测试程序，复核收</w:t>
            </w:r>
            <w:r>
              <w:rPr>
                <w:rFonts w:ascii="宋体" w:hAnsi="宋体" w:cs="宋体" w:eastAsia="宋体" w:hint="default"/>
                <w:spacing w:val="-87"/>
                <w:sz w:val="22"/>
                <w:szCs w:val="22"/>
              </w:rPr>
              <w:t> </w:t>
            </w:r>
            <w:r>
              <w:rPr>
                <w:rFonts w:ascii="宋体" w:hAnsi="宋体" w:cs="宋体" w:eastAsia="宋体" w:hint="default"/>
                <w:spacing w:val="-87"/>
                <w:sz w:val="22"/>
                <w:szCs w:val="22"/>
              </w:rPr>
            </w:r>
            <w:r>
              <w:rPr>
                <w:rFonts w:ascii="宋体" w:hAnsi="宋体" w:cs="宋体" w:eastAsia="宋体" w:hint="default"/>
                <w:sz w:val="22"/>
                <w:szCs w:val="22"/>
              </w:rPr>
              <w:t>入核算的完整性、真实性及列报的准确性。</w:t>
            </w:r>
          </w:p>
        </w:tc>
      </w:tr>
    </w:tbl>
    <w:p>
      <w:pPr>
        <w:pStyle w:val="BodyText"/>
        <w:spacing w:line="266" w:lineRule="exact"/>
        <w:ind w:right="1133"/>
        <w:jc w:val="left"/>
        <w:rPr>
          <w:rFonts w:ascii="宋体" w:hAnsi="宋体" w:cs="宋体" w:eastAsia="宋体" w:hint="default"/>
        </w:rPr>
      </w:pPr>
      <w:r>
        <w:rPr>
          <w:rFonts w:ascii="宋体" w:hAnsi="宋体" w:cs="宋体" w:eastAsia="宋体" w:hint="default"/>
        </w:rPr>
        <w:t>4</w:t>
      </w:r>
      <w:r>
        <w:rPr/>
        <w:t>、其他信息</w:t>
      </w:r>
      <w:r>
        <w:rPr>
          <w:rFonts w:ascii="宋体" w:hAnsi="宋体" w:cs="宋体" w:eastAsia="宋体" w:hint="default"/>
        </w:rPr>
        <w:t> </w:t>
      </w:r>
    </w:p>
    <w:p>
      <w:pPr>
        <w:pStyle w:val="BodyText"/>
        <w:spacing w:line="259" w:lineRule="auto" w:before="24"/>
        <w:ind w:right="1133" w:firstLine="439"/>
        <w:jc w:val="left"/>
        <w:rPr>
          <w:rFonts w:ascii="宋体" w:hAnsi="宋体" w:cs="宋体" w:eastAsia="宋体" w:hint="default"/>
        </w:rPr>
      </w:pPr>
      <w:r>
        <w:rPr>
          <w:spacing w:val="-2"/>
        </w:rPr>
        <w:t>中远海科管理层</w:t>
      </w:r>
      <w:r>
        <w:rPr>
          <w:rFonts w:ascii="宋体" w:hAnsi="宋体" w:cs="宋体" w:eastAsia="宋体" w:hint="default"/>
          <w:spacing w:val="-2"/>
        </w:rPr>
        <w:t>(</w:t>
      </w:r>
      <w:r>
        <w:rPr>
          <w:spacing w:val="-2"/>
        </w:rPr>
        <w:t>以下简称管理层</w:t>
      </w:r>
      <w:r>
        <w:rPr>
          <w:rFonts w:ascii="宋体" w:hAnsi="宋体" w:cs="宋体" w:eastAsia="宋体" w:hint="default"/>
          <w:spacing w:val="-2"/>
        </w:rPr>
        <w:t>)</w:t>
      </w:r>
      <w:r>
        <w:rPr>
          <w:spacing w:val="-2"/>
        </w:rPr>
        <w:t>对其他信息负责。其他信息包括中远海科</w:t>
      </w:r>
      <w:r>
        <w:rPr>
          <w:rFonts w:ascii="宋体" w:hAnsi="宋体" w:cs="宋体" w:eastAsia="宋体" w:hint="default"/>
          <w:spacing w:val="-2"/>
        </w:rPr>
        <w:t>2019</w:t>
      </w:r>
      <w:r>
        <w:rPr>
          <w:spacing w:val="-2"/>
        </w:rPr>
        <w:t>年度年度报告中</w:t>
      </w:r>
      <w:r>
        <w:rPr>
          <w:w w:val="100"/>
        </w:rPr>
        <w:t> </w:t>
      </w:r>
      <w:r>
        <w:rPr/>
        <w:t>涵盖的信息，但不包括财务报表和我们的审计报告。</w:t>
      </w:r>
      <w:r>
        <w:rPr>
          <w:rFonts w:ascii="宋体" w:hAnsi="宋体" w:cs="宋体" w:eastAsia="宋体" w:hint="default"/>
        </w:rPr>
        <w:t> </w:t>
      </w:r>
    </w:p>
    <w:p>
      <w:pPr>
        <w:pStyle w:val="BodyText"/>
        <w:spacing w:line="259" w:lineRule="auto" w:before="6"/>
        <w:ind w:right="1133" w:firstLine="439"/>
        <w:jc w:val="left"/>
        <w:rPr>
          <w:rFonts w:ascii="宋体" w:hAnsi="宋体" w:cs="宋体" w:eastAsia="宋体" w:hint="default"/>
        </w:rPr>
      </w:pPr>
      <w:r>
        <w:rPr>
          <w:spacing w:val="-1"/>
        </w:rPr>
        <w:t>我们对财务报表发表的审计意见不涵盖其他信息，我们也不对其他信息发表任何形式的鉴证结</w:t>
      </w:r>
      <w:r>
        <w:rPr>
          <w:w w:val="100"/>
        </w:rPr>
        <w:t> </w:t>
      </w:r>
      <w:r>
        <w:rPr/>
        <w:t>论。</w:t>
      </w:r>
      <w:r>
        <w:rPr>
          <w:rFonts w:ascii="宋体" w:hAnsi="宋体" w:cs="宋体" w:eastAsia="宋体" w:hint="default"/>
        </w:rPr>
        <w:t> </w:t>
      </w:r>
    </w:p>
    <w:p>
      <w:pPr>
        <w:pStyle w:val="BodyText"/>
        <w:spacing w:line="261" w:lineRule="auto" w:before="6"/>
        <w:ind w:right="1133" w:firstLine="439"/>
        <w:jc w:val="left"/>
        <w:rPr>
          <w:rFonts w:ascii="宋体" w:hAnsi="宋体" w:cs="宋体" w:eastAsia="宋体" w:hint="default"/>
        </w:rPr>
      </w:pPr>
      <w:r>
        <w:rPr>
          <w:spacing w:val="-2"/>
        </w:rPr>
        <w:t>结合我们对财务报表的审计，我们的责任是阅读其他信息，在此过程中，考虑其他信息是否与财</w:t>
      </w:r>
      <w:r>
        <w:rPr>
          <w:w w:val="100"/>
        </w:rPr>
        <w:t> </w:t>
      </w:r>
      <w:r>
        <w:rPr/>
        <w:t>务报表或我们在审计过程中了解到的情况存在重大不一致或者似乎存在重大错报。</w:t>
      </w:r>
      <w:r>
        <w:rPr>
          <w:rFonts w:ascii="宋体" w:hAnsi="宋体" w:cs="宋体" w:eastAsia="宋体" w:hint="default"/>
        </w:rPr>
        <w:t> </w:t>
      </w:r>
    </w:p>
    <w:p>
      <w:pPr>
        <w:pStyle w:val="BodyText"/>
        <w:spacing w:line="259" w:lineRule="auto" w:before="4"/>
        <w:ind w:right="0" w:firstLine="439"/>
        <w:jc w:val="left"/>
        <w:rPr>
          <w:rFonts w:ascii="宋体" w:hAnsi="宋体" w:cs="宋体" w:eastAsia="宋体" w:hint="default"/>
        </w:rPr>
      </w:pPr>
      <w:r>
        <w:rPr>
          <w:spacing w:val="-5"/>
        </w:rPr>
        <w:t>基于我们已执行的工作，如果我们确定其他信息存在重大错报，我们应当报告该事实。在这方面，</w:t>
      </w:r>
      <w:r>
        <w:rPr>
          <w:w w:val="100"/>
        </w:rPr>
        <w:t> </w:t>
      </w:r>
      <w:r>
        <w:rPr/>
        <w:t>我们无任何事项需要报告。</w:t>
      </w:r>
      <w:r>
        <w:rPr>
          <w:rFonts w:ascii="宋体" w:hAnsi="宋体" w:cs="宋体" w:eastAsia="宋体" w:hint="default"/>
        </w:rPr>
        <w:t> </w:t>
      </w:r>
    </w:p>
    <w:p>
      <w:pPr>
        <w:pStyle w:val="BodyText"/>
        <w:spacing w:line="259" w:lineRule="auto" w:before="6"/>
        <w:ind w:left="592" w:right="1133" w:hanging="440"/>
        <w:jc w:val="left"/>
      </w:pPr>
      <w:r>
        <w:rPr>
          <w:rFonts w:ascii="宋体" w:hAnsi="宋体" w:cs="宋体" w:eastAsia="宋体" w:hint="default"/>
        </w:rPr>
        <w:t>5</w:t>
      </w:r>
      <w:r>
        <w:rPr/>
        <w:t>、管理层和治理层对财务报表的责任</w:t>
      </w:r>
      <w:r>
        <w:rPr>
          <w:rFonts w:ascii="宋体" w:hAnsi="宋体" w:cs="宋体" w:eastAsia="宋体" w:hint="default"/>
          <w:spacing w:val="-3"/>
          <w:w w:val="100"/>
        </w:rPr>
        <w:t> </w:t>
      </w:r>
      <w:r>
        <w:rPr>
          <w:rFonts w:ascii="宋体" w:hAnsi="宋体" w:cs="宋体" w:eastAsia="宋体" w:hint="default"/>
          <w:w w:val="100"/>
        </w:rPr>
        <w:t> </w:t>
      </w:r>
      <w:r>
        <w:rPr>
          <w:spacing w:val="-2"/>
        </w:rPr>
        <w:t>管理层负责按照企业会计准则的规定编制财务报表，使其实现公允反映，并设计、执行和维护必</w:t>
      </w:r>
    </w:p>
    <w:p>
      <w:pPr>
        <w:pStyle w:val="BodyText"/>
        <w:spacing w:line="259" w:lineRule="auto" w:before="6"/>
        <w:ind w:left="592" w:right="1133" w:hanging="440"/>
        <w:jc w:val="left"/>
      </w:pPr>
      <w:r>
        <w:rPr/>
        <w:t>要的内部控制，以使财务报表不存在由于舞弊或错误导致的重大错报。</w:t>
      </w:r>
      <w:r>
        <w:rPr>
          <w:rFonts w:ascii="宋体" w:hAnsi="宋体" w:cs="宋体" w:eastAsia="宋体" w:hint="default"/>
          <w:spacing w:val="-3"/>
          <w:w w:val="100"/>
        </w:rPr>
        <w:t> </w:t>
      </w:r>
      <w:r>
        <w:rPr>
          <w:rFonts w:ascii="宋体" w:hAnsi="宋体" w:cs="宋体" w:eastAsia="宋体" w:hint="default"/>
          <w:w w:val="100"/>
        </w:rPr>
        <w:t> </w:t>
      </w:r>
      <w:r>
        <w:rPr>
          <w:spacing w:val="-2"/>
        </w:rPr>
        <w:t>在编制财务报表时，管理层负责评估中远海科的持续经营能力，披露与持续经营相关的事项（如</w:t>
      </w:r>
    </w:p>
    <w:p>
      <w:pPr>
        <w:pStyle w:val="BodyText"/>
        <w:spacing w:line="259" w:lineRule="auto" w:before="6"/>
        <w:ind w:left="592" w:right="1133" w:hanging="440"/>
        <w:jc w:val="left"/>
        <w:rPr>
          <w:rFonts w:ascii="宋体" w:hAnsi="宋体" w:cs="宋体" w:eastAsia="宋体" w:hint="default"/>
        </w:rPr>
      </w:pPr>
      <w:r>
        <w:rPr/>
        <w:t>适用），并运用持续经营假设，除非管理层计划清算中远海科、终止运营或别无其他现实的选择。</w:t>
      </w:r>
      <w:r>
        <w:rPr>
          <w:rFonts w:ascii="宋体" w:hAnsi="宋体" w:cs="宋体" w:eastAsia="宋体" w:hint="default"/>
          <w:w w:val="100"/>
        </w:rPr>
        <w:t> </w:t>
      </w:r>
      <w:r>
        <w:rPr/>
        <w:t>治理层负责监督中远海科的财务报告过程。</w:t>
      </w:r>
      <w:r>
        <w:rPr>
          <w:rFonts w:ascii="宋体" w:hAnsi="宋体" w:cs="宋体" w:eastAsia="宋体" w:hint="default"/>
        </w:rPr>
        <w:t> </w:t>
      </w:r>
    </w:p>
    <w:p>
      <w:pPr>
        <w:pStyle w:val="BodyText"/>
        <w:spacing w:line="259" w:lineRule="auto" w:before="6"/>
        <w:ind w:left="592" w:right="1133" w:hanging="440"/>
        <w:jc w:val="left"/>
      </w:pPr>
      <w:r>
        <w:rPr>
          <w:rFonts w:ascii="宋体" w:hAnsi="宋体" w:cs="宋体" w:eastAsia="宋体" w:hint="default"/>
        </w:rPr>
        <w:t>6</w:t>
      </w:r>
      <w:r>
        <w:rPr/>
        <w:t>、注册会计师对财务报表审计的责任</w:t>
      </w:r>
      <w:r>
        <w:rPr>
          <w:rFonts w:ascii="宋体" w:hAnsi="宋体" w:cs="宋体" w:eastAsia="宋体" w:hint="default"/>
          <w:w w:val="100"/>
        </w:rPr>
        <w:t> </w:t>
      </w:r>
      <w:r>
        <w:rPr>
          <w:spacing w:val="-2"/>
        </w:rPr>
        <w:t>我们的目标是对财务报表整体是否不存在由于舞弊或错误导致的重大错报获取合理保证，并出具</w:t>
      </w:r>
    </w:p>
    <w:p>
      <w:pPr>
        <w:pStyle w:val="BodyText"/>
        <w:spacing w:line="259" w:lineRule="auto" w:before="7"/>
        <w:ind w:right="1131"/>
        <w:jc w:val="both"/>
        <w:rPr>
          <w:rFonts w:ascii="宋体" w:hAnsi="宋体" w:cs="宋体" w:eastAsia="宋体" w:hint="default"/>
        </w:rPr>
      </w:pPr>
      <w:r>
        <w:rPr>
          <w:spacing w:val="-2"/>
        </w:rPr>
        <w:t>包含审计意见的审计报告。合理保证是高水平的保证，但并不能保证按照审计准则执行的审计在某一</w:t>
      </w:r>
      <w:r>
        <w:rPr>
          <w:spacing w:val="-70"/>
        </w:rPr>
        <w:t> </w:t>
      </w:r>
      <w:r>
        <w:rPr>
          <w:spacing w:val="-70"/>
        </w:rPr>
      </w:r>
      <w:r>
        <w:rPr>
          <w:spacing w:val="-2"/>
        </w:rPr>
        <w:t>重大错报存在时总能发现。错报可能由于舞弊或错误导致，如果合理预期错报单独或汇总起来可能影</w:t>
      </w:r>
      <w:r>
        <w:rPr>
          <w:spacing w:val="-70"/>
        </w:rPr>
        <w:t> </w:t>
      </w:r>
      <w:r>
        <w:rPr>
          <w:spacing w:val="-70"/>
        </w:rPr>
      </w:r>
      <w:r>
        <w:rPr/>
        <w:t>响财务报表使用者依据财务报表作出的经济决策，则通常认为错报是重大的。</w:t>
      </w:r>
      <w:r>
        <w:rPr>
          <w:rFonts w:ascii="宋体" w:hAnsi="宋体" w:cs="宋体" w:eastAsia="宋体" w:hint="default"/>
        </w:rPr>
        <w:t> </w:t>
      </w:r>
    </w:p>
    <w:p>
      <w:pPr>
        <w:pStyle w:val="BodyText"/>
        <w:spacing w:line="259" w:lineRule="auto" w:before="6"/>
        <w:ind w:right="1133" w:firstLine="439"/>
        <w:jc w:val="left"/>
        <w:rPr>
          <w:rFonts w:ascii="宋体" w:hAnsi="宋体" w:cs="宋体" w:eastAsia="宋体" w:hint="default"/>
        </w:rPr>
      </w:pPr>
      <w:r>
        <w:rPr>
          <w:spacing w:val="-2"/>
        </w:rPr>
        <w:t>在按照审计准则执行审计工作的过程中，我们运用职业判断，并保持职业怀疑。同时，我们也执</w:t>
      </w:r>
      <w:r>
        <w:rPr>
          <w:w w:val="100"/>
        </w:rPr>
        <w:t> </w:t>
      </w:r>
      <w:r>
        <w:rPr/>
        <w:t>行以下工作：</w:t>
      </w:r>
      <w:r>
        <w:rPr>
          <w:rFonts w:ascii="宋体" w:hAnsi="宋体" w:cs="宋体" w:eastAsia="宋体" w:hint="default"/>
        </w:rPr>
        <w:t> </w:t>
      </w:r>
    </w:p>
    <w:p>
      <w:pPr>
        <w:pStyle w:val="BodyText"/>
        <w:spacing w:line="259" w:lineRule="auto" w:before="6"/>
        <w:ind w:right="0" w:firstLine="439"/>
        <w:jc w:val="left"/>
        <w:rPr>
          <w:rFonts w:ascii="宋体" w:hAnsi="宋体" w:cs="宋体" w:eastAsia="宋体" w:hint="default"/>
        </w:rPr>
      </w:pPr>
      <w:r>
        <w:rPr/>
        <w:t>（</w:t>
      </w:r>
      <w:r>
        <w:rPr>
          <w:rFonts w:ascii="宋体" w:hAnsi="宋体" w:cs="宋体" w:eastAsia="宋体" w:hint="default"/>
        </w:rPr>
        <w:t>1</w:t>
      </w:r>
      <w:r>
        <w:rPr/>
        <w:t>）识别和评估由于舞弊或错误导致的财务报表重大错报风险，设计和实施审计程序以应对这</w:t>
      </w:r>
      <w:r>
        <w:rPr>
          <w:w w:val="100"/>
        </w:rPr>
        <w:t> </w:t>
      </w:r>
      <w:r>
        <w:rPr>
          <w:spacing w:val="-1"/>
        </w:rPr>
        <w:t>些风险，并获取充分、适当的审计证据，作为发表审计意见的基础。由于舞弊可能涉及串通、伪造、</w:t>
      </w:r>
      <w:r>
        <w:rPr>
          <w:spacing w:val="-73"/>
        </w:rPr>
        <w:t> </w:t>
      </w:r>
      <w:r>
        <w:rPr>
          <w:spacing w:val="-73"/>
        </w:rPr>
      </w:r>
      <w:r>
        <w:rPr>
          <w:spacing w:val="-2"/>
        </w:rPr>
        <w:t>故意遗漏、虚假陈述或凌驾于内部控制之上，未能发现由于舞弊导致的重大错报的风险高于未能发现</w:t>
      </w:r>
      <w:r>
        <w:rPr>
          <w:spacing w:val="-70"/>
        </w:rPr>
        <w:t> </w:t>
      </w:r>
      <w:r>
        <w:rPr>
          <w:spacing w:val="-70"/>
        </w:rPr>
      </w:r>
      <w:r>
        <w:rPr/>
        <w:t>由于错误导致的重大错报的风险。</w:t>
      </w:r>
      <w:r>
        <w:rPr>
          <w:rFonts w:ascii="宋体" w:hAnsi="宋体" w:cs="宋体" w:eastAsia="宋体" w:hint="default"/>
        </w:rPr>
        <w:t> </w:t>
      </w:r>
    </w:p>
    <w:p>
      <w:pPr>
        <w:pStyle w:val="BodyText"/>
        <w:spacing w:line="261" w:lineRule="auto" w:before="6"/>
        <w:ind w:right="1133" w:firstLine="439"/>
        <w:jc w:val="left"/>
        <w:rPr>
          <w:rFonts w:ascii="宋体" w:hAnsi="宋体" w:cs="宋体" w:eastAsia="宋体" w:hint="default"/>
        </w:rPr>
      </w:pPr>
      <w:r>
        <w:rPr>
          <w:spacing w:val="-1"/>
        </w:rPr>
        <w:t>（</w:t>
      </w:r>
      <w:r>
        <w:rPr>
          <w:rFonts w:ascii="宋体" w:hAnsi="宋体" w:cs="宋体" w:eastAsia="宋体" w:hint="default"/>
          <w:spacing w:val="-1"/>
        </w:rPr>
        <w:t>2</w:t>
      </w:r>
      <w:r>
        <w:rPr>
          <w:spacing w:val="-1"/>
        </w:rPr>
        <w:t>）了解与审计相关的内部控制，以设计恰当的审计程序，但目的并非对内部控制的有效性发</w:t>
      </w:r>
      <w:r>
        <w:rPr>
          <w:w w:val="100"/>
        </w:rPr>
        <w:t> </w:t>
      </w:r>
      <w:r>
        <w:rPr/>
        <w:t>表意见。</w:t>
      </w:r>
      <w:r>
        <w:rPr>
          <w:rFonts w:ascii="宋体" w:hAnsi="宋体" w:cs="宋体" w:eastAsia="宋体" w:hint="default"/>
        </w:rPr>
        <w:t> </w:t>
      </w:r>
    </w:p>
    <w:p>
      <w:pPr>
        <w:pStyle w:val="BodyText"/>
        <w:spacing w:line="240" w:lineRule="auto" w:before="4"/>
        <w:ind w:left="592" w:right="1133"/>
        <w:jc w:val="left"/>
        <w:rPr>
          <w:rFonts w:ascii="宋体" w:hAnsi="宋体" w:cs="宋体" w:eastAsia="宋体" w:hint="default"/>
        </w:rPr>
      </w:pPr>
      <w:r>
        <w:rPr/>
        <w:t>（</w:t>
      </w:r>
      <w:r>
        <w:rPr>
          <w:rFonts w:ascii="宋体" w:hAnsi="宋体" w:cs="宋体" w:eastAsia="宋体" w:hint="default"/>
        </w:rPr>
        <w:t>3</w:t>
      </w:r>
      <w:r>
        <w:rPr/>
        <w:t>）评价管理层选用会计政策的恰当性和作出会计估计及相关披露的合理性。</w:t>
      </w:r>
      <w:r>
        <w:rPr>
          <w:rFonts w:ascii="宋体" w:hAnsi="宋体" w:cs="宋体" w:eastAsia="宋体" w:hint="default"/>
        </w:rPr>
        <w:t> </w:t>
      </w:r>
    </w:p>
    <w:p>
      <w:pPr>
        <w:pStyle w:val="BodyText"/>
        <w:spacing w:line="240" w:lineRule="auto" w:before="24"/>
        <w:ind w:left="592" w:right="1133"/>
        <w:jc w:val="left"/>
      </w:pPr>
      <w:r>
        <w:rPr/>
        <w:t>（</w:t>
      </w:r>
      <w:r>
        <w:rPr>
          <w:rFonts w:ascii="宋体" w:hAnsi="宋体" w:cs="宋体" w:eastAsia="宋体" w:hint="default"/>
        </w:rPr>
        <w:t>4</w:t>
      </w:r>
      <w:r>
        <w:rPr/>
        <w:t>）对管理层使用持续经营假设的恰当性得出结论。同时，根据获取的审计证据，就可能导致</w:t>
      </w:r>
    </w:p>
    <w:p>
      <w:pPr>
        <w:spacing w:after="0" w:line="240" w:lineRule="auto"/>
        <w:jc w:val="left"/>
        <w:sectPr>
          <w:pgSz w:w="11910" w:h="16840"/>
          <w:pgMar w:header="745" w:footer="979" w:top="1060" w:bottom="1160" w:left="980" w:right="0"/>
        </w:sectPr>
      </w:pPr>
    </w:p>
    <w:p>
      <w:pPr>
        <w:spacing w:line="240" w:lineRule="auto" w:before="5"/>
        <w:rPr>
          <w:rFonts w:ascii="宋体" w:hAnsi="宋体" w:cs="宋体" w:eastAsia="宋体" w:hint="default"/>
          <w:sz w:val="24"/>
          <w:szCs w:val="24"/>
        </w:rPr>
      </w:pPr>
    </w:p>
    <w:p>
      <w:pPr>
        <w:pStyle w:val="BodyText"/>
        <w:spacing w:line="259" w:lineRule="auto" w:before="32"/>
        <w:ind w:right="0"/>
        <w:jc w:val="left"/>
        <w:rPr>
          <w:rFonts w:ascii="宋体" w:hAnsi="宋体" w:cs="宋体" w:eastAsia="宋体" w:hint="default"/>
        </w:rPr>
      </w:pPr>
      <w:r>
        <w:rPr>
          <w:spacing w:val="-2"/>
        </w:rPr>
        <w:t>对中远海科持续经营能力产生重大疑虑的事项或情况是否存在重大不确定性得出结论。如果我们得出</w:t>
      </w:r>
      <w:r>
        <w:rPr>
          <w:spacing w:val="-73"/>
        </w:rPr>
        <w:t> </w:t>
      </w:r>
      <w:r>
        <w:rPr>
          <w:spacing w:val="-73"/>
        </w:rPr>
      </w:r>
      <w:r>
        <w:rPr>
          <w:spacing w:val="-2"/>
        </w:rPr>
        <w:t>结论认为存在重大不确定性，审计准则要求我们在审计报告中提请报表使用者注意财务报表中的相关</w:t>
      </w:r>
      <w:r>
        <w:rPr>
          <w:spacing w:val="-73"/>
        </w:rPr>
        <w:t> </w:t>
      </w:r>
      <w:r>
        <w:rPr>
          <w:spacing w:val="-73"/>
        </w:rPr>
      </w:r>
      <w:r>
        <w:rPr>
          <w:spacing w:val="-5"/>
        </w:rPr>
        <w:t>披露；如果披露不充分，我们应当发表非无保留意见。我们的结论基于截至审计报告日可获得的信息。</w:t>
      </w:r>
      <w:r>
        <w:rPr>
          <w:spacing w:val="-49"/>
        </w:rPr>
        <w:t> </w:t>
      </w:r>
      <w:r>
        <w:rPr>
          <w:spacing w:val="-49"/>
        </w:rPr>
      </w:r>
      <w:r>
        <w:rPr/>
        <w:t>然而，未来的事项或情况可能导致中远海科不能持续经营。</w:t>
      </w:r>
      <w:r>
        <w:rPr>
          <w:rFonts w:ascii="宋体" w:hAnsi="宋体" w:cs="宋体" w:eastAsia="宋体" w:hint="default"/>
        </w:rPr>
        <w:t> </w:t>
      </w:r>
    </w:p>
    <w:p>
      <w:pPr>
        <w:pStyle w:val="BodyText"/>
        <w:spacing w:line="240" w:lineRule="auto" w:before="6"/>
        <w:ind w:left="592" w:right="1133"/>
        <w:jc w:val="left"/>
        <w:rPr>
          <w:rFonts w:ascii="宋体" w:hAnsi="宋体" w:cs="宋体" w:eastAsia="宋体" w:hint="default"/>
        </w:rPr>
      </w:pPr>
      <w:r>
        <w:rPr/>
        <w:t>（</w:t>
      </w:r>
      <w:r>
        <w:rPr>
          <w:rFonts w:ascii="宋体" w:hAnsi="宋体" w:cs="宋体" w:eastAsia="宋体" w:hint="default"/>
        </w:rPr>
        <w:t>5</w:t>
      </w:r>
      <w:r>
        <w:rPr/>
        <w:t>）评价财务报表的总体列报、结构和内容，并评价财务报表是否公允反映相关交易和事项。</w:t>
      </w:r>
      <w:r>
        <w:rPr>
          <w:rFonts w:ascii="宋体" w:hAnsi="宋体" w:cs="宋体" w:eastAsia="宋体" w:hint="default"/>
        </w:rPr>
        <w:t> </w:t>
      </w:r>
    </w:p>
    <w:p>
      <w:pPr>
        <w:pStyle w:val="BodyText"/>
        <w:spacing w:line="259" w:lineRule="auto" w:before="24"/>
        <w:ind w:right="1133" w:firstLine="439"/>
        <w:jc w:val="left"/>
        <w:rPr>
          <w:rFonts w:ascii="宋体" w:hAnsi="宋体" w:cs="宋体" w:eastAsia="宋体" w:hint="default"/>
        </w:rPr>
      </w:pPr>
      <w:r>
        <w:rPr>
          <w:spacing w:val="-1"/>
        </w:rPr>
        <w:t>（</w:t>
      </w:r>
      <w:r>
        <w:rPr>
          <w:rFonts w:ascii="宋体" w:hAnsi="宋体" w:cs="宋体" w:eastAsia="宋体" w:hint="default"/>
          <w:spacing w:val="-1"/>
        </w:rPr>
        <w:t>6</w:t>
      </w:r>
      <w:r>
        <w:rPr>
          <w:spacing w:val="-1"/>
        </w:rPr>
        <w:t>）就中远海科中实体或业务活动的财务信息获取充分、适当的审计证据，以对财务报表发表</w:t>
      </w:r>
      <w:r>
        <w:rPr>
          <w:w w:val="100"/>
        </w:rPr>
        <w:t> </w:t>
      </w:r>
      <w:r>
        <w:rPr/>
        <w:t>审计意见。我们负责指导、监督和执行集团审计，并对审计意见承担全部责任。</w:t>
      </w:r>
      <w:r>
        <w:rPr>
          <w:rFonts w:ascii="宋体" w:hAnsi="宋体" w:cs="宋体" w:eastAsia="宋体" w:hint="default"/>
        </w:rPr>
        <w:t> </w:t>
      </w:r>
    </w:p>
    <w:p>
      <w:pPr>
        <w:pStyle w:val="BodyText"/>
        <w:spacing w:line="286" w:lineRule="exact" w:before="18"/>
        <w:ind w:right="1133" w:firstLine="439"/>
        <w:jc w:val="left"/>
        <w:rPr>
          <w:rFonts w:ascii="宋体" w:hAnsi="宋体" w:cs="宋体" w:eastAsia="宋体" w:hint="default"/>
        </w:rPr>
      </w:pPr>
      <w:r>
        <w:rPr>
          <w:spacing w:val="-2"/>
        </w:rPr>
        <w:t>我们与治理层就计划的审计范围、时间安排和重大审计发现等事项进行沟通，包括沟通我们在审</w:t>
      </w:r>
      <w:r>
        <w:rPr>
          <w:w w:val="100"/>
        </w:rPr>
        <w:t> </w:t>
      </w:r>
      <w:r>
        <w:rPr/>
        <w:t>计中识别出的值得关注的内部控制缺陷。</w:t>
      </w:r>
      <w:r>
        <w:rPr>
          <w:rFonts w:ascii="宋体" w:hAnsi="宋体" w:cs="宋体" w:eastAsia="宋体" w:hint="default"/>
        </w:rPr>
        <w:t> </w:t>
      </w:r>
    </w:p>
    <w:p>
      <w:pPr>
        <w:pStyle w:val="BodyText"/>
        <w:spacing w:line="286" w:lineRule="exact"/>
        <w:ind w:left="592" w:right="1133"/>
        <w:jc w:val="left"/>
        <w:rPr>
          <w:rFonts w:ascii="宋体" w:hAnsi="宋体" w:cs="宋体" w:eastAsia="宋体" w:hint="default"/>
        </w:rPr>
      </w:pPr>
      <w:r>
        <w:rPr/>
        <w:t>我们还就已遵守与独立性相关的职业道德要求向治理层提供声明，并与治理层沟通可</w:t>
      </w:r>
      <w:r>
        <w:rPr>
          <w:rFonts w:ascii="宋体" w:hAnsi="宋体" w:cs="宋体" w:eastAsia="宋体" w:hint="default"/>
          <w:w w:val="100"/>
        </w:rPr>
        <w:t> </w:t>
      </w:r>
      <w:r>
        <w:rPr/>
        <w:t>能被合理认为影响我们独立性的所有关系和其他事项，以及相关的防范措施（如适用）。</w:t>
      </w:r>
      <w:r>
        <w:rPr>
          <w:rFonts w:ascii="宋体" w:hAnsi="宋体" w:cs="宋体" w:eastAsia="宋体" w:hint="default"/>
        </w:rPr>
        <w:t> </w:t>
      </w:r>
    </w:p>
    <w:p>
      <w:pPr>
        <w:pStyle w:val="BodyText"/>
        <w:spacing w:line="284" w:lineRule="exact" w:before="1"/>
        <w:ind w:right="0" w:firstLine="439"/>
        <w:jc w:val="left"/>
      </w:pPr>
      <w:r>
        <w:rPr>
          <w:spacing w:val="-2"/>
        </w:rPr>
        <w:t>从与治理层沟通过的事项中，我们确定哪些事项对本期财务报表审计最为重要，因而构成关键审</w:t>
      </w:r>
      <w:r>
        <w:rPr>
          <w:w w:val="100"/>
        </w:rPr>
        <w:t> </w:t>
      </w:r>
      <w:r>
        <w:rPr>
          <w:spacing w:val="-5"/>
        </w:rPr>
        <w:t>计事项。我们在审计报告中描述这些事项，除非法律法规禁止公开披露这些事项，或在极少数情形下，</w:t>
      </w:r>
    </w:p>
    <w:p>
      <w:pPr>
        <w:pStyle w:val="BodyText"/>
        <w:spacing w:line="286" w:lineRule="exact"/>
        <w:ind w:right="1133"/>
        <w:jc w:val="left"/>
      </w:pPr>
      <w:r>
        <w:rPr>
          <w:spacing w:val="-2"/>
        </w:rPr>
        <w:t>如果合理预期在审计报告中沟通某事项造成的负面后果超过在公众利益方面产生的益处，我们确定不</w:t>
      </w:r>
      <w:r>
        <w:rPr>
          <w:spacing w:val="-73"/>
        </w:rPr>
        <w:t> </w:t>
      </w:r>
      <w:r>
        <w:rPr>
          <w:spacing w:val="-73"/>
        </w:rPr>
      </w:r>
      <w:r>
        <w:rPr/>
        <w:t>应在审计报告中沟通该事项。</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5"/>
          <w:szCs w:val="25"/>
        </w:rPr>
      </w:pPr>
    </w:p>
    <w:p>
      <w:pPr>
        <w:pStyle w:val="Heading3"/>
        <w:spacing w:line="240" w:lineRule="auto"/>
        <w:ind w:right="1133"/>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财务附注中报表的单位为：元</w:t>
      </w:r>
    </w:p>
    <w:p>
      <w:pPr>
        <w:spacing w:line="240" w:lineRule="auto" w:before="0"/>
        <w:rPr>
          <w:rFonts w:ascii="宋体" w:hAnsi="宋体" w:cs="宋体" w:eastAsia="宋体" w:hint="default"/>
          <w:sz w:val="18"/>
          <w:szCs w:val="18"/>
        </w:rPr>
      </w:pPr>
    </w:p>
    <w:p>
      <w:pPr>
        <w:spacing w:before="120"/>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tabs>
          <w:tab w:pos="4204" w:val="left" w:leader="none"/>
          <w:tab w:pos="8665" w:val="left" w:leader="none"/>
        </w:tabs>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编制单位：中远海运科技股份有限公司</w:t>
        <w:tab/>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tab/>
        <w:t>单位：元</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1,298,446,484.21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1,002,304,128.47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6,530,103.30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13,134,121.31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122,874,355.14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127,734,104.14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303,970,028.12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76,977,767.49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53,113,269.05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33,978,585.56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6,251,381.06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2"/>
                <w:sz w:val="18"/>
              </w:rPr>
              <w:t>5,114,011.82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1,220,496,365.98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717,922,339.20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104,517,859.31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222,232.13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9,937,221.29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3,110,170,697.24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1,981,988,267.46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发放贷款和垫款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20,258,900.16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8,623,245.54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81,908,836.38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84,211,490.58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84,131,713.94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76,294,598.22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11,746,018.74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355,108.39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6,073,113.59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6,837,242.13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174,242.35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1,482,590.57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2,746,858.42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2,355,364.68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207,039,683.58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180,159,640.11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3,317,210,380.82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2,162,147,907.57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261,674,086.00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9,665,542.00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280,620,369.97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236,024,458.78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1,660,289,790.26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969,322,207.59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35,432,900.55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35,807,474.79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23,987,101.61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7,354,051.43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11,063,528.77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8,150,007.82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63,348,527.91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2,336,416,305.07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1,266,323,742.41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1,178,591.11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7,975,000.00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8,221,729.35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33,412.08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33,412.08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9,187,003.19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8,255,141.43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2,345,603,308.26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1,274,578,883.84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303,240,000.00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303,240,000.00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44,236,258.65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43,917,101.16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68,051,431.44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60,094,837.83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539,697,593.18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466,175,233.09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955,225,283.27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873,427,172.08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16,381,789.29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14,141,851.65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971,607,072.56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887,569,023.73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3,317,210,380.82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2,162,147,907.57</w:t>
            </w:r>
          </w:p>
        </w:tc>
      </w:tr>
    </w:tbl>
    <w:p>
      <w:pPr>
        <w:spacing w:line="240" w:lineRule="auto" w:before="11"/>
        <w:rPr>
          <w:rFonts w:ascii="Times New Roman" w:hAnsi="Times New Roman" w:cs="Times New Roman" w:eastAsia="Times New Roman" w:hint="default"/>
          <w:sz w:val="22"/>
          <w:szCs w:val="22"/>
        </w:rPr>
      </w:pPr>
    </w:p>
    <w:p>
      <w:pPr>
        <w:tabs>
          <w:tab w:pos="3605" w:val="left" w:leader="none"/>
          <w:tab w:pos="7749" w:val="left" w:leader="none"/>
        </w:tabs>
        <w:spacing w:before="44"/>
        <w:ind w:left="0" w:right="1222" w:firstLine="0"/>
        <w:jc w:val="right"/>
        <w:rPr>
          <w:rFonts w:ascii="宋体" w:hAnsi="宋体" w:cs="宋体" w:eastAsia="宋体" w:hint="default"/>
          <w:sz w:val="18"/>
          <w:szCs w:val="18"/>
        </w:rPr>
      </w:pPr>
      <w:r>
        <w:rPr>
          <w:rFonts w:ascii="宋体" w:hAnsi="宋体" w:cs="宋体" w:eastAsia="宋体" w:hint="default"/>
          <w:sz w:val="18"/>
          <w:szCs w:val="18"/>
        </w:rPr>
        <w:t>法定代表人：蔡惠星</w:t>
        <w:tab/>
      </w:r>
      <w:r>
        <w:rPr>
          <w:rFonts w:ascii="宋体" w:hAnsi="宋体" w:cs="宋体" w:eastAsia="宋体" w:hint="default"/>
          <w:spacing w:val="-1"/>
          <w:sz w:val="18"/>
          <w:szCs w:val="18"/>
        </w:rPr>
        <w:t>主管会计工作负责人：戴静</w:t>
        <w:tab/>
      </w:r>
      <w:r>
        <w:rPr>
          <w:rFonts w:ascii="宋体" w:hAnsi="宋体" w:cs="宋体" w:eastAsia="宋体" w:hint="default"/>
          <w:sz w:val="18"/>
          <w:szCs w:val="18"/>
        </w:rPr>
        <w:t>会计机构负责人：吴琦</w:t>
      </w:r>
    </w:p>
    <w:p>
      <w:pPr>
        <w:spacing w:line="240" w:lineRule="auto" w:before="0"/>
        <w:rPr>
          <w:rFonts w:ascii="宋体" w:hAnsi="宋体" w:cs="宋体" w:eastAsia="宋体" w:hint="default"/>
          <w:sz w:val="18"/>
          <w:szCs w:val="18"/>
        </w:rPr>
      </w:pPr>
    </w:p>
    <w:p>
      <w:pPr>
        <w:spacing w:before="120"/>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、母公司资产负债表</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012" w:right="0"/>
              <w:jc w:val="left"/>
              <w:rPr>
                <w:rFonts w:ascii="Times New Roman" w:hAnsi="Times New Roman" w:cs="Times New Roman" w:eastAsia="Times New Roman" w:hint="default"/>
                <w:sz w:val="18"/>
                <w:szCs w:val="18"/>
              </w:rPr>
            </w:pPr>
            <w:r>
              <w:rPr>
                <w:rFonts w:ascii="Times New Roman"/>
                <w:sz w:val="18"/>
              </w:rPr>
              <w:t>1,087,127,157.45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43" w:right="0"/>
              <w:jc w:val="left"/>
              <w:rPr>
                <w:rFonts w:ascii="Times New Roman" w:hAnsi="Times New Roman" w:cs="Times New Roman" w:eastAsia="Times New Roman" w:hint="default"/>
                <w:sz w:val="18"/>
                <w:szCs w:val="18"/>
              </w:rPr>
            </w:pPr>
            <w:r>
              <w:rPr>
                <w:rFonts w:ascii="Times New Roman"/>
                <w:sz w:val="18"/>
              </w:rPr>
              <w:t>818,768,464.54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6,530,103.30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4,443,499.31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114,825,261.15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86,942,588.33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303,216,455.23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69,728,658.37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49,036,277.86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30,448,668.95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4,668,922.20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3,517,263.58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1,189,549,527.97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666,813,244.01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3,690,820.79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6,162,117.49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2,753,975,603.75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1,683,307,241.00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174,888,467.68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166,943,633.85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81,908,836.38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84,211,490.58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80,904,743.66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71,115,287.85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11,746,018.74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355,108.39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4,925,128.15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6,293,900.08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1,330,391.86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1,222,020.00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355,703,586.47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330,141,440.75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3,109,679,190.22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2,013,448,681.75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261,674,086.00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9,665,542.00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254,888,554.18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207,173,469.55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1,633,524,802.65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924,646,611.91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9,694,914.31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8,873,959.09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22,461,077.60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5,019,290.63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9,188,480.45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5,195,877.76</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2,191,431,915.19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1,160,574,750.94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822,050.61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8,146,800.00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8,797,050.61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8,146,800.00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2,200,228,965.80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1,168,721,550.94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303,240,000.00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303,240,000.00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82,734,998.19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82,415,840.70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68,051,431.44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60,094,837.83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455,423,794.79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398,976,452.28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909,450,224.42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844,727,130.81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3,109,679,190.22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2,013,448,681.75</w:t>
            </w:r>
          </w:p>
        </w:tc>
      </w:tr>
    </w:tbl>
    <w:p>
      <w:pPr>
        <w:spacing w:line="240" w:lineRule="auto" w:before="10"/>
        <w:rPr>
          <w:rFonts w:ascii="Times New Roman" w:hAnsi="Times New Roman" w:cs="Times New Roman" w:eastAsia="Times New Roman" w:hint="default"/>
          <w:sz w:val="21"/>
          <w:szCs w:val="21"/>
        </w:rPr>
      </w:pPr>
    </w:p>
    <w:p>
      <w:pPr>
        <w:spacing w:before="36"/>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、合并利润表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1,203,712,101.71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980,054,007.48</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1,203,712,101.71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980,054,007.48</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1,093,361,959.10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898,972,653.74</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933,377,549.12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768,196,413.33</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退保金</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赔付支出净额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提取保险责任合同准备金 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保单红利支出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分保费用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1.009995pt;margin-top:339.949982pt;width:158.9pt;height:20.65pt;mso-position-horizontal-relative:page;mso-position-vertical-relative:page;z-index:-969352" coordorigin="4220,6799" coordsize="3178,413">
            <v:group style="position:absolute;left:4231;top:6810;width:2;height:392" coordorigin="4231,6810" coordsize="2,392">
              <v:shape style="position:absolute;left:4231;top:6810;width:2;height:392" coordorigin="4231,6810" coordsize="0,392" path="m4231,6810l4231,7201e" filled="false" stroked="true" strokeweight="1.08pt" strokecolor="#ffffff">
                <v:path arrowok="t"/>
              </v:shape>
            </v:group>
            <v:group style="position:absolute;left:4242;top:6810;width:3157;height:392" coordorigin="4242,6810" coordsize="3157,392">
              <v:shape style="position:absolute;left:4242;top:6810;width:3157;height:392" coordorigin="4242,6810" coordsize="3157,392" path="m4242,7201l7398,7201,7398,6810,4242,6810,4242,7201xe" filled="true" fillcolor="#ffffff" stroked="false">
                <v:path arrowok="t"/>
                <v:fill type="solid"/>
              </v:shape>
            </v:group>
            <w10:wrap type="none"/>
          </v:group>
        </w:pict>
      </w:r>
      <w:r>
        <w:rPr/>
        <w:pict>
          <v:group style="position:absolute;margin-left:211.009995pt;margin-top:598.839966pt;width:158.9pt;height:20.65pt;mso-position-horizontal-relative:page;mso-position-vertical-relative:page;z-index:-969328" coordorigin="4220,11977" coordsize="3178,413">
            <v:group style="position:absolute;left:4231;top:11988;width:2;height:392" coordorigin="4231,11988" coordsize="2,392">
              <v:shape style="position:absolute;left:4231;top:11988;width:2;height:392" coordorigin="4231,11988" coordsize="0,392" path="m4231,11988l4231,12379e" filled="false" stroked="true" strokeweight="1.08pt" strokecolor="#ffffff">
                <v:path arrowok="t"/>
              </v:shape>
            </v:group>
            <v:group style="position:absolute;left:4242;top:11988;width:3157;height:392" coordorigin="4242,11988" coordsize="3157,392">
              <v:shape style="position:absolute;left:4242;top:11988;width:3157;height:392" coordorigin="4242,11988" coordsize="3157,392" path="m4242,12379l7398,12379,7398,11988,4242,11988,4242,12379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1075"/>
        <w:gridCol w:w="2147"/>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5,680,293.12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9,341,914.32</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28,138,530.74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28,697,909.83</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84,724,071.63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71,610,076.36</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研发费用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52,873,975.12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33,177,926.26</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94" w:right="0"/>
              <w:jc w:val="left"/>
              <w:rPr>
                <w:rFonts w:ascii="Times New Roman" w:hAnsi="Times New Roman" w:cs="Times New Roman" w:eastAsia="Times New Roman" w:hint="default"/>
                <w:sz w:val="18"/>
                <w:szCs w:val="18"/>
              </w:rPr>
            </w:pPr>
            <w:r>
              <w:rPr>
                <w:rFonts w:ascii="Times New Roman"/>
                <w:sz w:val="18"/>
              </w:rPr>
              <w:t>-11,432,460.63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-12,051,586.36</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其中：利息费用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13,616,868.79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12,608,452.73</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加：其他收益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12,215,549.98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17,160,459.92</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7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1,516,497.13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-2,218,221.66</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1,516,497.13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-2,218,221.66</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以摊余成本计量的金融 资产终止确认收益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2"/>
                <w:sz w:val="18"/>
                <w:szCs w:val="18"/>
              </w:rPr>
              <w:t>净敞口套期收益（损失以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公允价值变动收益（损失以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6"/>
                <w:w w:val="100"/>
                <w:sz w:val="18"/>
                <w:szCs w:val="18"/>
              </w:rPr>
              <w:t>信用减值损失（损失以</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号填</w:t>
            </w:r>
            <w:r>
              <w:rPr>
                <w:rFonts w:ascii="宋体" w:hAnsi="宋体" w:cs="宋体" w:eastAsia="宋体" w:hint="default"/>
                <w:sz w:val="18"/>
                <w:szCs w:val="18"/>
              </w:rPr>
              <w:t> 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-4,427,717.54</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6"/>
                <w:w w:val="100"/>
                <w:sz w:val="18"/>
                <w:szCs w:val="18"/>
              </w:rPr>
              <w:t>资产减值损失（损失以</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号填</w:t>
            </w:r>
            <w:r>
              <w:rPr>
                <w:rFonts w:ascii="宋体" w:hAnsi="宋体" w:cs="宋体" w:eastAsia="宋体" w:hint="default"/>
                <w:sz w:val="18"/>
                <w:szCs w:val="18"/>
              </w:rPr>
              <w:t> 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3,544,241.56</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6"/>
                <w:w w:val="100"/>
                <w:sz w:val="18"/>
                <w:szCs w:val="18"/>
              </w:rPr>
              <w:t>资产处置收益（损失以</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号填</w:t>
            </w:r>
            <w:r>
              <w:rPr>
                <w:rFonts w:ascii="宋体" w:hAnsi="宋体" w:cs="宋体" w:eastAsia="宋体" w:hint="default"/>
                <w:sz w:val="18"/>
                <w:szCs w:val="18"/>
              </w:rPr>
              <w:t> 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-3,644,122.57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-8,335.74</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063" w:right="0"/>
              <w:jc w:val="left"/>
              <w:rPr>
                <w:rFonts w:ascii="Times New Roman" w:hAnsi="Times New Roman" w:cs="Times New Roman" w:eastAsia="Times New Roman" w:hint="default"/>
                <w:sz w:val="18"/>
                <w:szCs w:val="18"/>
              </w:rPr>
            </w:pPr>
            <w:r>
              <w:rPr>
                <w:rFonts w:ascii="Times New Roman"/>
                <w:sz w:val="18"/>
              </w:rPr>
              <w:t>116,010,349.61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99,559,497.82</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3,079,545.09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2,645,793.50</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3,274,625.02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24,183.95</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75"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00" w:right="0"/>
              <w:jc w:val="left"/>
              <w:rPr>
                <w:rFonts w:ascii="Times New Roman" w:hAnsi="Times New Roman" w:cs="Times New Roman" w:eastAsia="Times New Roman" w:hint="default"/>
                <w:sz w:val="18"/>
                <w:szCs w:val="18"/>
              </w:rPr>
            </w:pPr>
            <w:r>
              <w:rPr>
                <w:rFonts w:ascii="Times New Roman"/>
                <w:sz w:val="18"/>
              </w:rPr>
              <w:t>115,815,269.68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102,181,107.37</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12,934,378.34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12,128,852.00</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102,880,891.34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90,052,255.37</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（一）按经营持续性分类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3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55" w:right="0"/>
              <w:jc w:val="left"/>
              <w:rPr>
                <w:rFonts w:ascii="Times New Roman" w:hAnsi="Times New Roman" w:cs="Times New Roman" w:eastAsia="Times New Roman" w:hint="default"/>
                <w:sz w:val="18"/>
                <w:szCs w:val="18"/>
              </w:rPr>
            </w:pPr>
            <w:r>
              <w:rPr>
                <w:rFonts w:ascii="Times New Roman"/>
                <w:sz w:val="18"/>
              </w:rPr>
              <w:t>102,880,891.34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90,052,255.37</w:t>
            </w: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3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（二）按所有权归属分类</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96,640,953.70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83,190,054.62</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6,239,937.64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6,862,200.75</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归属母公司所有者的其他综合收益 的税后净额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2"/>
                <w:sz w:val="18"/>
                <w:szCs w:val="18"/>
              </w:rPr>
              <w:t>（一）不能重分类进损益的其他综</w:t>
            </w:r>
            <w:r>
              <w:rPr>
                <w:rFonts w:ascii="宋体" w:hAnsi="宋体" w:cs="宋体" w:eastAsia="宋体" w:hint="default"/>
                <w:sz w:val="18"/>
                <w:szCs w:val="18"/>
              </w:rPr>
              <w:t> 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 动额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 他综合收益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 值变动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 值变动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2"/>
                <w:sz w:val="18"/>
                <w:szCs w:val="18"/>
              </w:rPr>
              <w:t>（二）将重分类进损益的其他综合</w:t>
            </w:r>
            <w:r>
              <w:rPr>
                <w:rFonts w:ascii="宋体" w:hAnsi="宋体" w:cs="宋体" w:eastAsia="宋体" w:hint="default"/>
                <w:sz w:val="18"/>
                <w:szCs w:val="18"/>
              </w:rPr>
              <w:t> 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 综合收益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 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 值变动损益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 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53"/>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102,880,891.34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90,052,255.37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96,640,953.70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83,190,054.62</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6,239,937.64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6,862,200.75</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0.3187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0.2743</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0.3187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0.2743</w:t>
            </w:r>
          </w:p>
        </w:tc>
      </w:tr>
    </w:tbl>
    <w:p>
      <w:pPr>
        <w:spacing w:line="240" w:lineRule="auto" w:before="11"/>
        <w:rPr>
          <w:rFonts w:ascii="Times New Roman" w:hAnsi="Times New Roman" w:cs="Times New Roman" w:eastAsia="Times New Roman" w:hint="default"/>
          <w:sz w:val="22"/>
          <w:szCs w:val="22"/>
        </w:rPr>
      </w:pPr>
    </w:p>
    <w:p>
      <w:pPr>
        <w:tabs>
          <w:tab w:pos="3605" w:val="left" w:leader="none"/>
          <w:tab w:pos="7749" w:val="left" w:leader="none"/>
        </w:tabs>
        <w:spacing w:before="44"/>
        <w:ind w:left="0" w:right="1222" w:firstLine="0"/>
        <w:jc w:val="right"/>
        <w:rPr>
          <w:rFonts w:ascii="宋体" w:hAnsi="宋体" w:cs="宋体" w:eastAsia="宋体" w:hint="default"/>
          <w:sz w:val="18"/>
          <w:szCs w:val="18"/>
        </w:rPr>
      </w:pPr>
      <w:r>
        <w:rPr>
          <w:rFonts w:ascii="宋体" w:hAnsi="宋体" w:cs="宋体" w:eastAsia="宋体" w:hint="default"/>
          <w:sz w:val="18"/>
          <w:szCs w:val="18"/>
        </w:rPr>
        <w:t>法定代表人：蔡惠星</w:t>
        <w:tab/>
      </w:r>
      <w:r>
        <w:rPr>
          <w:rFonts w:ascii="宋体" w:hAnsi="宋体" w:cs="宋体" w:eastAsia="宋体" w:hint="default"/>
          <w:spacing w:val="-1"/>
          <w:sz w:val="18"/>
          <w:szCs w:val="18"/>
        </w:rPr>
        <w:t>主管会计工作负责人：戴静</w:t>
        <w:tab/>
      </w:r>
      <w:r>
        <w:rPr>
          <w:rFonts w:ascii="宋体" w:hAnsi="宋体" w:cs="宋体" w:eastAsia="宋体" w:hint="default"/>
          <w:sz w:val="18"/>
          <w:szCs w:val="18"/>
        </w:rPr>
        <w:t>会计机构负责人：吴琦</w:t>
      </w:r>
    </w:p>
    <w:p>
      <w:pPr>
        <w:spacing w:line="240" w:lineRule="auto" w:before="0"/>
        <w:rPr>
          <w:rFonts w:ascii="宋体" w:hAnsi="宋体" w:cs="宋体" w:eastAsia="宋体" w:hint="default"/>
          <w:sz w:val="18"/>
          <w:szCs w:val="18"/>
        </w:rPr>
      </w:pPr>
    </w:p>
    <w:p>
      <w:pPr>
        <w:spacing w:before="118"/>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889,148,225.39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698,722,741.13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700,059,024.39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563,512,080.07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4,261,010.81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7,968,310.64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9,574,868.62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10,295,342.12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57,716,132.65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45,900,456.45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研发费用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48,352,740.00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33,359,126.98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-8,986,271.29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-9,577,523.12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其中：利息费用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11,105,152.69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10,140,312.45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加：其他收益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9,353,181.45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16,240,087.26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6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7,516,497.13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-2,218,221.66</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1,516,497.13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-2,218,221.66</w:t>
            </w:r>
          </w:p>
        </w:tc>
      </w:tr>
      <w:tr>
        <w:trPr>
          <w:trHeight w:val="102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净敞口套期收益（损失以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公允价值变动收益（损失以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信用减值损失（损失以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-4,057,575.12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资产减值损失（损失以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2,862,716.08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资产处置收益（损失以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-3,678,864.43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-12,310.61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87,303,959.24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64,137,219.06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2,974,360.00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2,468,666.23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2,894,279.09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87,384,040.15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66,605,885.29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7,818,104.03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6,512,207.28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79,565,936.12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60,093,678.01</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79,565,936.12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60,093,678.01</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 价值变动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 价值变动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（二）将重分类进损益的其他综 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 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 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79,565,936.12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60,093,678.01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0.2624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0.1982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0.2624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0.1982</w:t>
            </w:r>
          </w:p>
        </w:tc>
      </w:tr>
    </w:tbl>
    <w:p>
      <w:pPr>
        <w:spacing w:line="240" w:lineRule="auto" w:before="10"/>
        <w:rPr>
          <w:rFonts w:ascii="Times New Roman" w:hAnsi="Times New Roman" w:cs="Times New Roman" w:eastAsia="Times New Roman" w:hint="default"/>
          <w:sz w:val="21"/>
          <w:szCs w:val="21"/>
        </w:rPr>
      </w:pPr>
    </w:p>
    <w:p>
      <w:pPr>
        <w:spacing w:before="36"/>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、合并现金流量表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2,112,672,169.70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1,442,553,441.70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客户存款和同业存放款项净增加 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向其他金融机构拆入资金净增加 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收到再保业务现金净额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代理买卖证券收到的现金净额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475,214.63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470,475.76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113,854,624.10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145,403,746.65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2,227,002,008.43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1,588,427,664.11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1,294,149,351.35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1,000,530,497.34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存放中央银行和同业款项净增加 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303,911,813.41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243,724,655.56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28,796,310.92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54,049,972.93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204,998,515.55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122,853,232.59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1,831,855,991.23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1,421,158,358.42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395,146,017.20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167,269,305.69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70,470.69</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70,470.69</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19,843,709.51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18,216,991.44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9,042,539.76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29,643,709.51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27,259,531.20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-29,592,209.51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-27,189,060.51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19,465,598.69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40,162,000.00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161,076,854.38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19,465,598.69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201,238,854.38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-19,465,598.69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-201,238,854.38</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-161,487.86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-25,693.03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345,926,721.14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-61,184,302.23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969,152,090.33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1,030,336,392.56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1,315,078,811.47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969,152,090.33</w:t>
            </w:r>
          </w:p>
        </w:tc>
      </w:tr>
    </w:tbl>
    <w:p>
      <w:pPr>
        <w:spacing w:line="240" w:lineRule="auto" w:before="10"/>
        <w:rPr>
          <w:rFonts w:ascii="Times New Roman" w:hAnsi="Times New Roman" w:cs="Times New Roman" w:eastAsia="Times New Roman" w:hint="default"/>
          <w:sz w:val="21"/>
          <w:szCs w:val="21"/>
        </w:rPr>
      </w:pPr>
    </w:p>
    <w:p>
      <w:pPr>
        <w:spacing w:before="36"/>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、母公司现金流量表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1,703,386,146.00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1,109,373,245.58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105,971,564.01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139,366,390.78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1,809,357,710.01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1,248,739,636.36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1,116,507,853.23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808,618,366.53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202,673,259.08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148,092,018.58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11,637,831.00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33,682,679.56</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173,193,290.14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99,819,793.45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1,504,012,233.45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1,090,212,858.12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305,345,476.56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158,526,778.24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55,500.00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55,500.00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17,740,103.14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15,946,333.53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170,119,394.14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27,540,103.14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186,065,727.67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-21,540,103.14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-186,010,227.67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15,162,000.00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15,162,000.00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15,162,000.00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15,162,000.00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-15,162,000.00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-15,162,000.00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-157,721.21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-58,647.64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268,485,652.21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-42,704,097.07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786,500,796.40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829,204,893.47</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1,054,986,448.61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786,500,796.40</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、合并所有者权益变动表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403" w:hRule="exact"/>
        </w:trPr>
        <w:tc>
          <w:tcPr>
            <w:tcW w:w="12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13"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1252" w:type="dxa"/>
            <w:vMerge/>
            <w:tcBorders>
              <w:left w:val="single" w:sz="4" w:space="0" w:color="000000"/>
              <w:right w:val="single" w:sz="4" w:space="0" w:color="000000"/>
            </w:tcBorders>
            <w:shd w:val="clear" w:color="auto" w:fill="D2D2D2"/>
          </w:tcPr>
          <w:p>
            <w:pPr/>
          </w:p>
        </w:tc>
        <w:tc>
          <w:tcPr>
            <w:tcW w:w="7149" w:type="dxa"/>
            <w:gridSpan w:val="13"/>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319" w:lineRule="auto"/>
              <w:ind w:left="110" w:right="103"/>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37"/>
              <w:ind w:left="105" w:right="101"/>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3" w:hRule="exact"/>
        </w:trPr>
        <w:tc>
          <w:tcPr>
            <w:tcW w:w="1252" w:type="dxa"/>
            <w:vMerge/>
            <w:tcBorders>
              <w:left w:val="single" w:sz="4" w:space="0" w:color="000000"/>
              <w:right w:val="single" w:sz="4" w:space="0" w:color="000000"/>
            </w:tcBorders>
            <w:shd w:val="clear" w:color="auto" w:fill="D2D2D2"/>
          </w:tcPr>
          <w:p>
            <w:pPr/>
          </w:p>
        </w:tc>
        <w:tc>
          <w:tcPr>
            <w:tcW w:w="49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00" w:type="dxa"/>
            <w:gridSpan w:val="3"/>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108" w:right="103"/>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107" w:right="22" w:hanging="84"/>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583"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4"/>
              <w:ind w:left="108"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108" w:right="10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107"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3"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4"/>
              <w:ind w:left="107"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4"/>
              <w:ind w:left="110"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713" w:hRule="exact"/>
        </w:trPr>
        <w:tc>
          <w:tcPr>
            <w:tcW w:w="1252"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39" w:right="47"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39" w:right="4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303,2</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43,917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60,094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,837.8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466,17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5,233.</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09</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873,42</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7,172.</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14,141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,851.6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887,56</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9,023.</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73</w:t>
            </w: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3"/>
                <w:sz w:val="18"/>
                <w:szCs w:val="18"/>
              </w:rPr>
              <w:t>加：会计政</w:t>
            </w:r>
            <w:r>
              <w:rPr>
                <w:rFonts w:ascii="宋体" w:hAnsi="宋体" w:cs="宋体" w:eastAsia="宋体" w:hint="default"/>
                <w:sz w:val="18"/>
                <w:szCs w:val="18"/>
              </w:rPr>
              <w:t> 策变更</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 差错更正</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7"/>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 控制下企业合 并</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303,2</w:t>
            </w:r>
          </w:p>
          <w:p>
            <w:pPr>
              <w:pStyle w:val="TableParagraph"/>
              <w:spacing w:line="240" w:lineRule="auto" w:before="102"/>
              <w:ind w:left="55" w:right="0"/>
              <w:jc w:val="lef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43,917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,101.1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60,094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,837.8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466,17</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5,233.</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09</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873,42</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7,172.</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14,141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,851.6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887,56</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9,023.</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73</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z w:val="18"/>
                <w:szCs w:val="18"/>
              </w:rPr>
              <w:t> </w:t>
            </w:r>
            <w:r>
              <w:rPr>
                <w:rFonts w:ascii="宋体" w:hAnsi="宋体" w:cs="宋体" w:eastAsia="宋体" w:hint="default"/>
                <w:spacing w:val="-9"/>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319,15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7.49</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7,956,</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593.61</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73,522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,360.0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81,798</w:t>
            </w:r>
          </w:p>
          <w:p>
            <w:pPr>
              <w:pStyle w:val="TableParagraph"/>
              <w:spacing w:line="240" w:lineRule="auto" w:before="105"/>
              <w:ind w:left="26" w:right="0"/>
              <w:jc w:val="left"/>
              <w:rPr>
                <w:rFonts w:ascii="Times New Roman" w:hAnsi="Times New Roman" w:cs="Times New Roman" w:eastAsia="Times New Roman" w:hint="default"/>
                <w:sz w:val="18"/>
                <w:szCs w:val="18"/>
              </w:rPr>
            </w:pPr>
            <w:r>
              <w:rPr>
                <w:rFonts w:ascii="Times New Roman"/>
                <w:spacing w:val="-3"/>
                <w:sz w:val="18"/>
              </w:rPr>
              <w:t>,111.19</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2,239,</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937.64</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84,038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,048.8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z w:val="18"/>
                <w:szCs w:val="18"/>
              </w:rPr>
              <w:t> 总额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96,640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,953.7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96,640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,953.7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6,239,</w:t>
            </w:r>
          </w:p>
          <w:p>
            <w:pPr>
              <w:pStyle w:val="TableParagraph"/>
              <w:spacing w:line="240" w:lineRule="auto" w:before="103"/>
              <w:ind w:left="59" w:right="0"/>
              <w:jc w:val="left"/>
              <w:rPr>
                <w:rFonts w:ascii="Times New Roman" w:hAnsi="Times New Roman" w:cs="Times New Roman" w:eastAsia="Times New Roman" w:hint="default"/>
                <w:sz w:val="18"/>
                <w:szCs w:val="18"/>
              </w:rPr>
            </w:pPr>
            <w:r>
              <w:rPr>
                <w:rFonts w:ascii="Times New Roman"/>
                <w:sz w:val="18"/>
              </w:rPr>
              <w:t>937.64</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102,88</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0,891.</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34</w:t>
            </w: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z w:val="18"/>
                <w:szCs w:val="18"/>
              </w:rPr>
              <w:t> 入和减少资本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7,956,</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593.61</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6" w:right="0"/>
              <w:jc w:val="left"/>
              <w:rPr>
                <w:rFonts w:ascii="Times New Roman" w:hAnsi="Times New Roman" w:cs="Times New Roman" w:eastAsia="Times New Roman" w:hint="default"/>
                <w:sz w:val="18"/>
                <w:szCs w:val="18"/>
              </w:rPr>
            </w:pPr>
            <w:r>
              <w:rPr>
                <w:rFonts w:ascii="Times New Roman"/>
                <w:sz w:val="18"/>
              </w:rPr>
              <w:t>-23,11</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8,593.</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61</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-15,16</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000.00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-19,16</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00</w:t>
            </w: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7,956,</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593.61</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-7,956,</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593.61</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0" w:lineRule="auto"/>
              <w:ind w:left="22" w:right="19"/>
              <w:jc w:val="left"/>
              <w:rPr>
                <w:rFonts w:ascii="宋体" w:hAnsi="宋体" w:cs="宋体" w:eastAsia="宋体" w:hint="default"/>
                <w:sz w:val="18"/>
                <w:szCs w:val="18"/>
              </w:rPr>
            </w:pP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-15,16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-15,16</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000.00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-19,16</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00</w:t>
            </w: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z w:val="18"/>
                <w:szCs w:val="18"/>
              </w:rPr>
              <w:t> 益内部结转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319,15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7.49</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319,15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7.49</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319,15</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7.49</w:t>
            </w: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303,2</w:t>
            </w:r>
          </w:p>
          <w:p>
            <w:pPr>
              <w:pStyle w:val="TableParagraph"/>
              <w:spacing w:line="240" w:lineRule="auto" w:before="102"/>
              <w:ind w:left="55" w:right="0"/>
              <w:jc w:val="lef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44,236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,258.6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68,051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,431.4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539,69</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7,593.</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18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955,22</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5,283.</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27</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16,381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,789.2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971,60</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7,072.</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56</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2"/>
        <w:gridCol w:w="576"/>
        <w:gridCol w:w="576"/>
        <w:gridCol w:w="578"/>
        <w:gridCol w:w="576"/>
        <w:gridCol w:w="576"/>
        <w:gridCol w:w="578"/>
        <w:gridCol w:w="588"/>
        <w:gridCol w:w="567"/>
        <w:gridCol w:w="569"/>
        <w:gridCol w:w="641"/>
        <w:gridCol w:w="653"/>
      </w:tblGrid>
      <w:tr>
        <w:trPr>
          <w:trHeight w:val="403" w:hRule="exact"/>
        </w:trPr>
        <w:tc>
          <w:tcPr>
            <w:tcW w:w="12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5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401" w:hRule="exact"/>
        </w:trPr>
        <w:tc>
          <w:tcPr>
            <w:tcW w:w="1211" w:type="dxa"/>
            <w:vMerge/>
            <w:tcBorders>
              <w:left w:val="single" w:sz="4" w:space="0" w:color="000000"/>
              <w:right w:val="single" w:sz="4" w:space="0" w:color="000000"/>
            </w:tcBorders>
            <w:shd w:val="clear" w:color="auto" w:fill="D2D2D2"/>
          </w:tcPr>
          <w:p>
            <w:pPr/>
          </w:p>
        </w:tc>
        <w:tc>
          <w:tcPr>
            <w:tcW w:w="7065" w:type="dxa"/>
            <w:gridSpan w:val="13"/>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316" w:lineRule="auto"/>
              <w:ind w:left="48" w:right="4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316" w:lineRule="auto"/>
              <w:ind w:left="52" w:right="48"/>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3" w:hRule="exact"/>
        </w:trPr>
        <w:tc>
          <w:tcPr>
            <w:tcW w:w="1211" w:type="dxa"/>
            <w:vMerge/>
            <w:tcBorders>
              <w:left w:val="single" w:sz="4" w:space="0" w:color="000000"/>
              <w:right w:val="single" w:sz="4" w:space="0" w:color="000000"/>
            </w:tcBorders>
            <w:shd w:val="clear" w:color="auto" w:fill="D2D2D2"/>
          </w:tcPr>
          <w:p>
            <w:pPr/>
          </w:p>
        </w:tc>
        <w:tc>
          <w:tcPr>
            <w:tcW w:w="490"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390" w:type="dxa"/>
            <w:gridSpan w:val="3"/>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6"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3" w:right="19" w:hanging="80"/>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z w:val="18"/>
                <w:szCs w:val="18"/>
              </w:rPr>
              <w:t> 存股</w:t>
            </w:r>
          </w:p>
        </w:tc>
        <w:tc>
          <w:tcPr>
            <w:tcW w:w="57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6"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10" w:right="107"/>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7"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9"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713" w:hRule="exact"/>
        </w:trPr>
        <w:tc>
          <w:tcPr>
            <w:tcW w:w="1211"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9" w:right="3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9" w:right="38"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88"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2"/>
        <w:gridCol w:w="576"/>
        <w:gridCol w:w="576"/>
        <w:gridCol w:w="578"/>
        <w:gridCol w:w="576"/>
        <w:gridCol w:w="576"/>
        <w:gridCol w:w="578"/>
        <w:gridCol w:w="588"/>
        <w:gridCol w:w="567"/>
        <w:gridCol w:w="569"/>
        <w:gridCol w:w="641"/>
        <w:gridCol w:w="653"/>
      </w:tblGrid>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303,2</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43,917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54,085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,470.0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404,15</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6,546.</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27</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805,39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9,117.</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46</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7,279,6</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50.90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812,678</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,768.36</w:t>
            </w: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加：会计 政策变更</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 差错更正</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6"/>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 控制下企业合 并</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96"/>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303,2</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43,917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,101.1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54,085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,470.0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404,15</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6,546.</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27</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805,39</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9,117.</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46</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7,279,6</w:t>
            </w:r>
          </w:p>
          <w:p>
            <w:pPr>
              <w:pStyle w:val="TableParagraph"/>
              <w:spacing w:line="240" w:lineRule="auto" w:before="102"/>
              <w:ind w:left="188" w:right="0"/>
              <w:jc w:val="center"/>
              <w:rPr>
                <w:rFonts w:ascii="Times New Roman" w:hAnsi="Times New Roman" w:cs="Times New Roman" w:eastAsia="Times New Roman" w:hint="default"/>
                <w:sz w:val="18"/>
                <w:szCs w:val="18"/>
              </w:rPr>
            </w:pPr>
            <w:r>
              <w:rPr>
                <w:rFonts w:ascii="Times New Roman"/>
                <w:sz w:val="18"/>
              </w:rPr>
              <w:t>50.90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812,678</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,768.36</w:t>
            </w:r>
          </w:p>
        </w:tc>
      </w:tr>
      <w:tr>
        <w:trPr>
          <w:trHeight w:val="133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2" w:right="96"/>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6,009,</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367.80</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62,018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,686.8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68,028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,054.6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6,862,2</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00.75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74,890,</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255.37</w:t>
            </w: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22" w:right="96"/>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83,190</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,054.6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83,190</w:t>
            </w: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z w:val="18"/>
              </w:rPr>
              <w:t>,054.6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6,862,2</w:t>
            </w:r>
          </w:p>
          <w:p>
            <w:pPr>
              <w:pStyle w:val="TableParagraph"/>
              <w:spacing w:line="240" w:lineRule="auto" w:before="102"/>
              <w:ind w:left="188" w:right="0"/>
              <w:jc w:val="center"/>
              <w:rPr>
                <w:rFonts w:ascii="Times New Roman" w:hAnsi="Times New Roman" w:cs="Times New Roman" w:eastAsia="Times New Roman" w:hint="default"/>
                <w:sz w:val="18"/>
                <w:szCs w:val="18"/>
              </w:rPr>
            </w:pPr>
            <w:r>
              <w:rPr>
                <w:rFonts w:ascii="Times New Roman"/>
                <w:sz w:val="18"/>
              </w:rPr>
              <w:t>00.75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90,052,</w:t>
            </w:r>
          </w:p>
          <w:p>
            <w:pPr>
              <w:pStyle w:val="TableParagraph"/>
              <w:spacing w:line="240" w:lineRule="auto" w:before="102"/>
              <w:ind w:left="127" w:right="0"/>
              <w:jc w:val="left"/>
              <w:rPr>
                <w:rFonts w:ascii="Times New Roman" w:hAnsi="Times New Roman" w:cs="Times New Roman" w:eastAsia="Times New Roman" w:hint="default"/>
                <w:sz w:val="18"/>
                <w:szCs w:val="18"/>
              </w:rPr>
            </w:pPr>
            <w:r>
              <w:rPr>
                <w:rFonts w:ascii="Times New Roman"/>
                <w:sz w:val="18"/>
              </w:rPr>
              <w:t>255.37</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z w:val="18"/>
                <w:szCs w:val="18"/>
              </w:rPr>
              <w:t> 的普通股</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z w:val="18"/>
                <w:szCs w:val="18"/>
              </w:rPr>
              <w:t> 具持有者投入 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z w:val="18"/>
                <w:szCs w:val="18"/>
              </w:rPr>
              <w:t> 入所有者权益 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96"/>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6,009,</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367.80</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-21,17</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1,367.</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80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left"/>
              <w:rPr>
                <w:rFonts w:ascii="Times New Roman" w:hAnsi="Times New Roman" w:cs="Times New Roman" w:eastAsia="Times New Roman" w:hint="default"/>
                <w:sz w:val="18"/>
                <w:szCs w:val="18"/>
              </w:rPr>
            </w:pPr>
            <w:r>
              <w:rPr>
                <w:rFonts w:ascii="Times New Roman"/>
                <w:sz w:val="18"/>
              </w:rPr>
              <w:t>-15,16</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-15,162</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,000.00</w:t>
            </w: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z w:val="18"/>
                <w:szCs w:val="18"/>
              </w:rPr>
              <w:t> 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6,009,</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367.80</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-6,009,</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367.80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z w:val="18"/>
                <w:szCs w:val="18"/>
              </w:rPr>
              <w:t> 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2"/>
        <w:gridCol w:w="576"/>
        <w:gridCol w:w="576"/>
        <w:gridCol w:w="578"/>
        <w:gridCol w:w="576"/>
        <w:gridCol w:w="576"/>
        <w:gridCol w:w="578"/>
        <w:gridCol w:w="588"/>
        <w:gridCol w:w="567"/>
        <w:gridCol w:w="569"/>
        <w:gridCol w:w="641"/>
        <w:gridCol w:w="653"/>
      </w:tblGrid>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3"/>
              <w:ind w:left="22" w:right="96"/>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-15,16</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00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-15,16</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-15,162</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,000.00</w:t>
            </w: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z w:val="18"/>
                <w:szCs w:val="18"/>
              </w:rPr>
              <w:t> 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z w:val="18"/>
                <w:szCs w:val="18"/>
              </w:rPr>
              <w:t> 划变动额结转 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z w:val="18"/>
                <w:szCs w:val="18"/>
              </w:rPr>
              <w:t> 益结转留存收 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303,2</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43,917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,101.1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60,094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,837.8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466,17</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5,233.</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09</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873,42</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7,172.</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08</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14,141,</w:t>
            </w:r>
          </w:p>
          <w:p>
            <w:pPr>
              <w:pStyle w:val="TableParagraph"/>
              <w:spacing w:line="240" w:lineRule="auto" w:before="103"/>
              <w:ind w:left="117" w:right="0"/>
              <w:jc w:val="left"/>
              <w:rPr>
                <w:rFonts w:ascii="Times New Roman" w:hAnsi="Times New Roman" w:cs="Times New Roman" w:eastAsia="Times New Roman" w:hint="default"/>
                <w:sz w:val="18"/>
                <w:szCs w:val="18"/>
              </w:rPr>
            </w:pPr>
            <w:r>
              <w:rPr>
                <w:rFonts w:ascii="Times New Roman"/>
                <w:sz w:val="18"/>
              </w:rPr>
              <w:t>851.65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887,569</w:t>
            </w:r>
          </w:p>
          <w:p>
            <w:pPr>
              <w:pStyle w:val="TableParagraph"/>
              <w:spacing w:line="240" w:lineRule="auto" w:before="103"/>
              <w:ind w:left="81" w:right="0"/>
              <w:jc w:val="left"/>
              <w:rPr>
                <w:rFonts w:ascii="Times New Roman" w:hAnsi="Times New Roman" w:cs="Times New Roman" w:eastAsia="Times New Roman" w:hint="default"/>
                <w:sz w:val="18"/>
                <w:szCs w:val="18"/>
              </w:rPr>
            </w:pPr>
            <w:r>
              <w:rPr>
                <w:rFonts w:ascii="Times New Roman"/>
                <w:sz w:val="18"/>
              </w:rPr>
              <w:t>,023.73</w:t>
            </w:r>
          </w:p>
        </w:tc>
      </w:tr>
    </w:tbl>
    <w:p>
      <w:pPr>
        <w:spacing w:line="240" w:lineRule="auto" w:before="10"/>
        <w:rPr>
          <w:rFonts w:ascii="Times New Roman" w:hAnsi="Times New Roman" w:cs="Times New Roman" w:eastAsia="Times New Roman" w:hint="default"/>
          <w:sz w:val="21"/>
          <w:szCs w:val="21"/>
        </w:rPr>
      </w:pPr>
    </w:p>
    <w:p>
      <w:pPr>
        <w:spacing w:before="36"/>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、母公司所有者权益变动表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403" w:hRule="exact"/>
        </w:trPr>
        <w:tc>
          <w:tcPr>
            <w:tcW w:w="13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262" w:type="dxa"/>
            <w:gridSpan w:val="12"/>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1305" w:type="dxa"/>
            <w:vMerge/>
            <w:tcBorders>
              <w:left w:val="single" w:sz="4" w:space="0" w:color="000000"/>
              <w:right w:val="single" w:sz="4" w:space="0" w:color="000000"/>
            </w:tcBorders>
            <w:shd w:val="clear" w:color="auto" w:fill="D2D2D2"/>
          </w:tcPr>
          <w:p>
            <w:pPr/>
          </w:p>
        </w:tc>
        <w:tc>
          <w:tcPr>
            <w:tcW w:w="629"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7"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268" w:right="8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2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268" w:right="20" w:hanging="245"/>
              <w:jc w:val="left"/>
              <w:rPr>
                <w:rFonts w:ascii="宋体" w:hAnsi="宋体" w:cs="宋体" w:eastAsia="宋体" w:hint="default"/>
                <w:sz w:val="18"/>
                <w:szCs w:val="18"/>
              </w:rPr>
            </w:pPr>
            <w:r>
              <w:rPr>
                <w:rFonts w:ascii="宋体" w:hAnsi="宋体" w:cs="宋体" w:eastAsia="宋体" w:hint="default"/>
                <w:spacing w:val="-1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88" w:right="84"/>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27"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268" w:right="8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7"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268" w:right="8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122" w:right="29"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10"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2"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155" w:right="6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305" w:type="dxa"/>
            <w:vMerge/>
            <w:tcBorders>
              <w:left w:val="single" w:sz="4" w:space="0" w:color="000000"/>
              <w:bottom w:val="single" w:sz="4" w:space="0" w:color="000000"/>
              <w:right w:val="single" w:sz="4" w:space="0" w:color="000000"/>
            </w:tcBorders>
            <w:shd w:val="clear" w:color="auto" w:fill="D2D2D2"/>
          </w:tcPr>
          <w:p>
            <w:pPr/>
          </w:p>
        </w:tc>
        <w:tc>
          <w:tcPr>
            <w:tcW w:w="629" w:type="dxa"/>
            <w:vMerge/>
            <w:tcBorders>
              <w:left w:val="single" w:sz="4" w:space="0" w:color="000000"/>
              <w:bottom w:val="single" w:sz="4" w:space="0" w:color="000000"/>
              <w:right w:val="single" w:sz="4" w:space="0" w:color="000000"/>
            </w:tcBorders>
            <w:shd w:val="clear" w:color="auto" w:fill="D2D2D2"/>
          </w:tcPr>
          <w:p>
            <w:pP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7" w:type="dxa"/>
            <w:vMerge/>
            <w:tcBorders>
              <w:left w:val="single" w:sz="4" w:space="0" w:color="000000"/>
              <w:bottom w:val="single" w:sz="4" w:space="0" w:color="000000"/>
              <w:right w:val="single" w:sz="4" w:space="0" w:color="000000"/>
            </w:tcBorders>
            <w:shd w:val="clear" w:color="auto" w:fill="D2D2D2"/>
          </w:tcPr>
          <w:p>
            <w:pPr/>
          </w:p>
        </w:tc>
        <w:tc>
          <w:tcPr>
            <w:tcW w:w="728"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615"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一、上年期末余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303,24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82,415,8</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40.70</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60,094,8</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37.83</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398,97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6,452.2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844,727,1</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30.81</w:t>
            </w: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2"/>
                <w:sz w:val="18"/>
                <w:szCs w:val="18"/>
              </w:rPr>
              <w:t>加：会计政</w:t>
            </w:r>
            <w:r>
              <w:rPr>
                <w:rFonts w:ascii="宋体" w:hAnsi="宋体" w:cs="宋体" w:eastAsia="宋体" w:hint="default"/>
                <w:sz w:val="18"/>
                <w:szCs w:val="18"/>
              </w:rPr>
              <w:t> 策变更</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8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 差错更正</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二、本年期初余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303,24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82,415,8</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40.70</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60,094,8</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37.83</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398,97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6,452.2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844,727,1</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30.81</w:t>
            </w: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
              <w:jc w:val="both"/>
              <w:rPr>
                <w:rFonts w:ascii="宋体" w:hAnsi="宋体" w:cs="宋体" w:eastAsia="宋体" w:hint="default"/>
                <w:sz w:val="18"/>
                <w:szCs w:val="18"/>
              </w:rPr>
            </w:pPr>
            <w:r>
              <w:rPr>
                <w:rFonts w:ascii="宋体" w:hAnsi="宋体" w:cs="宋体" w:eastAsia="宋体" w:hint="default"/>
                <w:spacing w:val="-2"/>
                <w:sz w:val="18"/>
                <w:szCs w:val="18"/>
              </w:rPr>
              <w:t>三、本期增减变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动金额（减少以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319,157.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49</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7,956,59</w:t>
            </w:r>
          </w:p>
          <w:p>
            <w:pPr>
              <w:pStyle w:val="TableParagraph"/>
              <w:spacing w:line="240" w:lineRule="auto" w:before="102"/>
              <w:ind w:left="379" w:right="0"/>
              <w:jc w:val="left"/>
              <w:rPr>
                <w:rFonts w:ascii="Times New Roman" w:hAnsi="Times New Roman" w:cs="Times New Roman" w:eastAsia="Times New Roman" w:hint="default"/>
                <w:sz w:val="18"/>
                <w:szCs w:val="18"/>
              </w:rPr>
            </w:pPr>
            <w:r>
              <w:rPr>
                <w:rFonts w:ascii="Times New Roman"/>
                <w:sz w:val="18"/>
              </w:rPr>
              <w:t>3.61</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56,447,</w:t>
            </w:r>
          </w:p>
          <w:p>
            <w:pPr>
              <w:pStyle w:val="TableParagraph"/>
              <w:spacing w:line="240" w:lineRule="auto" w:before="102"/>
              <w:ind w:left="88" w:right="0"/>
              <w:jc w:val="left"/>
              <w:rPr>
                <w:rFonts w:ascii="Times New Roman" w:hAnsi="Times New Roman" w:cs="Times New Roman" w:eastAsia="Times New Roman" w:hint="default"/>
                <w:sz w:val="18"/>
                <w:szCs w:val="18"/>
              </w:rPr>
            </w:pPr>
            <w:r>
              <w:rPr>
                <w:rFonts w:ascii="Times New Roman"/>
                <w:sz w:val="18"/>
              </w:rPr>
              <w:t>342.51</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64,723,09</w:t>
            </w:r>
          </w:p>
          <w:p>
            <w:pPr>
              <w:pStyle w:val="TableParagraph"/>
              <w:spacing w:line="240" w:lineRule="auto" w:before="102"/>
              <w:ind w:left="515" w:right="0"/>
              <w:jc w:val="left"/>
              <w:rPr>
                <w:rFonts w:ascii="Times New Roman" w:hAnsi="Times New Roman" w:cs="Times New Roman" w:eastAsia="Times New Roman" w:hint="default"/>
                <w:sz w:val="18"/>
                <w:szCs w:val="18"/>
              </w:rPr>
            </w:pPr>
            <w:r>
              <w:rPr>
                <w:rFonts w:ascii="Times New Roman"/>
                <w:sz w:val="18"/>
              </w:rPr>
              <w:t>3.61</w:t>
            </w: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2"/>
                <w:sz w:val="18"/>
                <w:szCs w:val="18"/>
              </w:rPr>
              <w:t>（一）综合收益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79,565,</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936.12</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79,565,93</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6.12</w:t>
            </w: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2"/>
                <w:sz w:val="18"/>
                <w:szCs w:val="18"/>
              </w:rPr>
              <w:t>（二）所有者投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入和减少资本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7,956,59</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3.61</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-23,118</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,593.61</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-15,162,00</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7,956,59</w:t>
            </w:r>
          </w:p>
          <w:p>
            <w:pPr>
              <w:pStyle w:val="TableParagraph"/>
              <w:spacing w:line="240" w:lineRule="auto" w:before="102"/>
              <w:ind w:left="379" w:right="0"/>
              <w:jc w:val="left"/>
              <w:rPr>
                <w:rFonts w:ascii="Times New Roman" w:hAnsi="Times New Roman" w:cs="Times New Roman" w:eastAsia="Times New Roman" w:hint="default"/>
                <w:sz w:val="18"/>
                <w:szCs w:val="18"/>
              </w:rPr>
            </w:pPr>
            <w:r>
              <w:rPr>
                <w:rFonts w:ascii="Times New Roman"/>
                <w:sz w:val="18"/>
              </w:rPr>
              <w:t>3.61</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-7,956,</w:t>
            </w:r>
          </w:p>
          <w:p>
            <w:pPr>
              <w:pStyle w:val="TableParagraph"/>
              <w:spacing w:line="240" w:lineRule="auto" w:before="102"/>
              <w:ind w:left="88" w:right="0"/>
              <w:jc w:val="left"/>
              <w:rPr>
                <w:rFonts w:ascii="Times New Roman" w:hAnsi="Times New Roman" w:cs="Times New Roman" w:eastAsia="Times New Roman" w:hint="default"/>
                <w:sz w:val="18"/>
                <w:szCs w:val="18"/>
              </w:rPr>
            </w:pPr>
            <w:r>
              <w:rPr>
                <w:rFonts w:ascii="Times New Roman"/>
                <w:sz w:val="18"/>
              </w:rPr>
              <w:t>593.61</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-15,162</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-15,162,00</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2"/>
                <w:sz w:val="18"/>
                <w:szCs w:val="18"/>
              </w:rPr>
              <w:t>（四）所有者权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319,157.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49</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319,157.4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r>
        <w:trPr>
          <w:trHeight w:val="1028"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四、本期期末余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303,24</w:t>
            </w: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82,734,9</w:t>
            </w:r>
          </w:p>
          <w:p>
            <w:pPr>
              <w:pStyle w:val="TableParagraph"/>
              <w:spacing w:line="240" w:lineRule="auto" w:before="103"/>
              <w:ind w:left="287" w:right="0"/>
              <w:jc w:val="left"/>
              <w:rPr>
                <w:rFonts w:ascii="Times New Roman" w:hAnsi="Times New Roman" w:cs="Times New Roman" w:eastAsia="Times New Roman" w:hint="default"/>
                <w:sz w:val="18"/>
                <w:szCs w:val="18"/>
              </w:rPr>
            </w:pPr>
            <w:r>
              <w:rPr>
                <w:rFonts w:ascii="Times New Roman"/>
                <w:sz w:val="18"/>
              </w:rPr>
              <w:t>98.19</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68,051,4</w:t>
            </w:r>
          </w:p>
          <w:p>
            <w:pPr>
              <w:pStyle w:val="TableParagraph"/>
              <w:spacing w:line="240" w:lineRule="auto" w:before="103"/>
              <w:ind w:left="287" w:right="0"/>
              <w:jc w:val="left"/>
              <w:rPr>
                <w:rFonts w:ascii="Times New Roman" w:hAnsi="Times New Roman" w:cs="Times New Roman" w:eastAsia="Times New Roman" w:hint="default"/>
                <w:sz w:val="18"/>
                <w:szCs w:val="18"/>
              </w:rPr>
            </w:pPr>
            <w:r>
              <w:rPr>
                <w:rFonts w:ascii="Times New Roman"/>
                <w:sz w:val="18"/>
              </w:rPr>
              <w:t>31.44</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455,42</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3,794.7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909,450,2</w:t>
            </w:r>
          </w:p>
          <w:p>
            <w:pPr>
              <w:pStyle w:val="TableParagraph"/>
              <w:spacing w:line="240" w:lineRule="auto" w:before="103"/>
              <w:ind w:left="424" w:right="0"/>
              <w:jc w:val="left"/>
              <w:rPr>
                <w:rFonts w:ascii="Times New Roman" w:hAnsi="Times New Roman" w:cs="Times New Roman" w:eastAsia="Times New Roman" w:hint="default"/>
                <w:sz w:val="18"/>
                <w:szCs w:val="18"/>
              </w:rPr>
            </w:pPr>
            <w:r>
              <w:rPr>
                <w:rFonts w:ascii="Times New Roman"/>
                <w:sz w:val="18"/>
              </w:rPr>
              <w:t>24.42</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09"/>
        <w:gridCol w:w="604"/>
        <w:gridCol w:w="574"/>
        <w:gridCol w:w="572"/>
        <w:gridCol w:w="571"/>
        <w:gridCol w:w="686"/>
        <w:gridCol w:w="686"/>
        <w:gridCol w:w="684"/>
        <w:gridCol w:w="782"/>
        <w:gridCol w:w="665"/>
        <w:gridCol w:w="797"/>
        <w:gridCol w:w="797"/>
        <w:gridCol w:w="931"/>
      </w:tblGrid>
      <w:tr>
        <w:trPr>
          <w:trHeight w:val="398" w:hRule="exact"/>
        </w:trPr>
        <w:tc>
          <w:tcPr>
            <w:tcW w:w="1209" w:type="dxa"/>
            <w:vMerge w:val="restart"/>
            <w:tcBorders>
              <w:top w:val="single" w:sz="4" w:space="0" w:color="000000"/>
              <w:left w:val="single" w:sz="4" w:space="0" w:color="000000"/>
              <w:right w:val="single" w:sz="4" w:space="0" w:color="000000"/>
            </w:tcBorders>
            <w:shd w:val="clear" w:color="auto" w:fill="D2D2D2"/>
          </w:tcPr>
          <w:p>
            <w:pPr/>
          </w:p>
        </w:tc>
        <w:tc>
          <w:tcPr>
            <w:tcW w:w="835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188" w:hRule="exact"/>
        </w:trPr>
        <w:tc>
          <w:tcPr>
            <w:tcW w:w="1209" w:type="dxa"/>
            <w:vMerge/>
            <w:tcBorders>
              <w:left w:val="single" w:sz="4" w:space="0" w:color="000000"/>
              <w:bottom w:val="nil" w:sz="6" w:space="0" w:color="auto"/>
              <w:right w:val="single" w:sz="4" w:space="0" w:color="000000"/>
            </w:tcBorders>
            <w:shd w:val="clear" w:color="auto" w:fill="D2D2D2"/>
          </w:tcPr>
          <w:p>
            <w:pPr/>
          </w:p>
        </w:tc>
        <w:tc>
          <w:tcPr>
            <w:tcW w:w="604" w:type="dxa"/>
            <w:vMerge w:val="restart"/>
            <w:tcBorders>
              <w:top w:val="single" w:sz="4" w:space="0" w:color="000000"/>
              <w:left w:val="single" w:sz="4" w:space="0" w:color="000000"/>
              <w:right w:val="single" w:sz="4" w:space="0" w:color="000000"/>
            </w:tcBorders>
            <w:shd w:val="clear" w:color="auto" w:fill="D2D2D2"/>
          </w:tcPr>
          <w:p>
            <w:pPr/>
          </w:p>
        </w:tc>
        <w:tc>
          <w:tcPr>
            <w:tcW w:w="17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vMerge w:val="restart"/>
            <w:tcBorders>
              <w:top w:val="single" w:sz="4" w:space="0" w:color="000000"/>
              <w:left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12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04" w:type="dxa"/>
            <w:vMerge/>
            <w:tcBorders>
              <w:left w:val="single" w:sz="4" w:space="0" w:color="000000"/>
              <w:bottom w:val="nil" w:sz="6" w:space="0" w:color="auto"/>
              <w:right w:val="single" w:sz="4" w:space="0" w:color="000000"/>
            </w:tcBorders>
            <w:shd w:val="clear" w:color="auto" w:fill="D2D2D2"/>
          </w:tcPr>
          <w:p>
            <w:pPr/>
          </w:p>
        </w:tc>
        <w:tc>
          <w:tcPr>
            <w:tcW w:w="1717" w:type="dxa"/>
            <w:gridSpan w:val="3"/>
            <w:vMerge/>
            <w:tcBorders>
              <w:left w:val="single" w:sz="4" w:space="0" w:color="000000"/>
              <w:bottom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60"/>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60"/>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60"/>
              <w:ind w:left="67" w:right="6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2"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4"/>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4"/>
              <w:ind w:left="304" w:right="32"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4"/>
              <w:ind w:left="189" w:right="98"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86" w:hRule="exact"/>
        </w:trPr>
        <w:tc>
          <w:tcPr>
            <w:tcW w:w="1209" w:type="dxa"/>
            <w:vMerge/>
            <w:tcBorders>
              <w:left w:val="single" w:sz="4" w:space="0" w:color="000000"/>
              <w:bottom w:val="nil" w:sz="6" w:space="0" w:color="auto"/>
              <w:right w:val="single" w:sz="4" w:space="0" w:color="000000"/>
            </w:tcBorders>
            <w:shd w:val="clear" w:color="auto" w:fill="D2D2D2"/>
          </w:tcPr>
          <w:p>
            <w:pPr/>
          </w:p>
        </w:tc>
        <w:tc>
          <w:tcPr>
            <w:tcW w:w="6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12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7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194" w:right="9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192" w:right="99"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5"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tcBorders>
              <w:left w:val="single" w:sz="4" w:space="0" w:color="000000"/>
              <w:right w:val="single" w:sz="4" w:space="0" w:color="000000"/>
            </w:tcBorders>
            <w:shd w:val="clear" w:color="auto" w:fill="D2D2D2"/>
          </w:tcPr>
          <w:p>
            <w:pPr/>
          </w:p>
        </w:tc>
      </w:tr>
      <w:tr>
        <w:trPr>
          <w:trHeight w:val="197" w:hRule="exact"/>
        </w:trPr>
        <w:tc>
          <w:tcPr>
            <w:tcW w:w="1209" w:type="dxa"/>
            <w:vMerge w:val="restart"/>
            <w:tcBorders>
              <w:top w:val="nil" w:sz="6" w:space="0" w:color="auto"/>
              <w:left w:val="single" w:sz="4" w:space="0" w:color="000000"/>
              <w:right w:val="single" w:sz="4" w:space="0" w:color="000000"/>
            </w:tcBorders>
            <w:shd w:val="clear" w:color="auto" w:fill="D2D2D2"/>
          </w:tcPr>
          <w:p>
            <w:pPr/>
          </w:p>
        </w:tc>
        <w:tc>
          <w:tcPr>
            <w:tcW w:w="604"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tcBorders>
              <w:left w:val="single" w:sz="4" w:space="0" w:color="000000"/>
              <w:right w:val="single" w:sz="4" w:space="0" w:color="000000"/>
            </w:tcBorders>
            <w:shd w:val="clear" w:color="auto" w:fill="D2D2D2"/>
          </w:tcPr>
          <w:p>
            <w:pPr/>
          </w:p>
        </w:tc>
      </w:tr>
      <w:tr>
        <w:trPr>
          <w:trHeight w:val="156" w:hRule="exact"/>
        </w:trPr>
        <w:tc>
          <w:tcPr>
            <w:tcW w:w="1209" w:type="dxa"/>
            <w:vMerge/>
            <w:tcBorders>
              <w:left w:val="single" w:sz="4" w:space="0" w:color="000000"/>
              <w:right w:val="single" w:sz="4" w:space="0" w:color="000000"/>
            </w:tcBorders>
            <w:shd w:val="clear" w:color="auto" w:fill="D2D2D2"/>
          </w:tcPr>
          <w:p>
            <w:pPr/>
          </w:p>
        </w:tc>
        <w:tc>
          <w:tcPr>
            <w:tcW w:w="604" w:type="dxa"/>
            <w:vMerge w:val="restart"/>
            <w:tcBorders>
              <w:top w:val="nil" w:sz="6" w:space="0" w:color="auto"/>
              <w:left w:val="single" w:sz="4" w:space="0" w:color="000000"/>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209" w:type="dxa"/>
            <w:vMerge/>
            <w:tcBorders>
              <w:left w:val="single" w:sz="4" w:space="0" w:color="000000"/>
              <w:bottom w:val="single" w:sz="4" w:space="0" w:color="000000"/>
              <w:right w:val="single" w:sz="4" w:space="0" w:color="000000"/>
            </w:tcBorders>
            <w:shd w:val="clear" w:color="auto" w:fill="D2D2D2"/>
          </w:tcPr>
          <w:p>
            <w:pPr/>
          </w:p>
        </w:tc>
        <w:tc>
          <w:tcPr>
            <w:tcW w:w="604"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71"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09" w:type="dxa"/>
            <w:tcBorders>
              <w:top w:val="single" w:sz="4" w:space="0" w:color="000000"/>
              <w:left w:val="single" w:sz="4" w:space="0" w:color="000000"/>
              <w:bottom w:val="nil" w:sz="6" w:space="0" w:color="auto"/>
              <w:right w:val="single" w:sz="4" w:space="0" w:color="000000"/>
            </w:tcBorders>
            <w:shd w:val="clear" w:color="auto" w:fill="D2D2D2"/>
          </w:tcPr>
          <w:p>
            <w:pPr/>
          </w:p>
        </w:tc>
        <w:tc>
          <w:tcPr>
            <w:tcW w:w="604" w:type="dxa"/>
            <w:vMerge w:val="restart"/>
            <w:tcBorders>
              <w:top w:val="single" w:sz="4" w:space="0" w:color="000000"/>
              <w:left w:val="single" w:sz="9" w:space="0" w:color="D2D2D2"/>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303,24</w:t>
            </w:r>
          </w:p>
          <w:p>
            <w:pPr>
              <w:pStyle w:val="TableParagraph"/>
              <w:spacing w:line="240" w:lineRule="auto" w:before="103"/>
              <w:ind w:left="11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00</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82,415,</w:t>
            </w:r>
          </w:p>
          <w:p>
            <w:pPr>
              <w:pStyle w:val="TableParagraph"/>
              <w:spacing w:line="240" w:lineRule="auto" w:before="103"/>
              <w:ind w:left="160" w:right="0"/>
              <w:jc w:val="left"/>
              <w:rPr>
                <w:rFonts w:ascii="Times New Roman" w:hAnsi="Times New Roman" w:cs="Times New Roman" w:eastAsia="Times New Roman" w:hint="default"/>
                <w:sz w:val="18"/>
                <w:szCs w:val="18"/>
              </w:rPr>
            </w:pPr>
            <w:r>
              <w:rPr>
                <w:rFonts w:ascii="Times New Roman"/>
                <w:sz w:val="18"/>
              </w:rPr>
              <w:t>840.70</w:t>
            </w: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54,085,</w:t>
            </w:r>
          </w:p>
          <w:p>
            <w:pPr>
              <w:pStyle w:val="TableParagraph"/>
              <w:spacing w:line="240" w:lineRule="auto" w:before="103"/>
              <w:ind w:left="139" w:right="0"/>
              <w:jc w:val="left"/>
              <w:rPr>
                <w:rFonts w:ascii="Times New Roman" w:hAnsi="Times New Roman" w:cs="Times New Roman" w:eastAsia="Times New Roman" w:hint="default"/>
                <w:sz w:val="18"/>
                <w:szCs w:val="18"/>
              </w:rPr>
            </w:pPr>
            <w:r>
              <w:rPr>
                <w:rFonts w:ascii="Times New Roman"/>
                <w:sz w:val="18"/>
              </w:rPr>
              <w:t>470.03</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360,054,1</w:t>
            </w:r>
          </w:p>
          <w:p>
            <w:pPr>
              <w:pStyle w:val="TableParagraph"/>
              <w:spacing w:line="240" w:lineRule="auto" w:before="103"/>
              <w:ind w:left="359" w:right="0"/>
              <w:jc w:val="left"/>
              <w:rPr>
                <w:rFonts w:ascii="Times New Roman" w:hAnsi="Times New Roman" w:cs="Times New Roman" w:eastAsia="Times New Roman" w:hint="default"/>
                <w:sz w:val="18"/>
                <w:szCs w:val="18"/>
              </w:rPr>
            </w:pPr>
            <w:r>
              <w:rPr>
                <w:rFonts w:ascii="Times New Roman"/>
                <w:sz w:val="18"/>
              </w:rPr>
              <w:t>42.07</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799,795,45</w:t>
            </w:r>
          </w:p>
          <w:p>
            <w:pPr>
              <w:pStyle w:val="TableParagraph"/>
              <w:spacing w:line="240" w:lineRule="auto" w:before="103"/>
              <w:ind w:left="583" w:right="0"/>
              <w:jc w:val="left"/>
              <w:rPr>
                <w:rFonts w:ascii="Times New Roman" w:hAnsi="Times New Roman" w:cs="Times New Roman" w:eastAsia="Times New Roman" w:hint="default"/>
                <w:sz w:val="18"/>
                <w:szCs w:val="18"/>
              </w:rPr>
            </w:pPr>
            <w:r>
              <w:rPr>
                <w:rFonts w:ascii="Times New Roman"/>
                <w:sz w:val="18"/>
              </w:rPr>
              <w:t>2.80</w:t>
            </w:r>
          </w:p>
        </w:tc>
      </w:tr>
      <w:tr>
        <w:trPr>
          <w:trHeight w:val="704" w:hRule="exact"/>
        </w:trPr>
        <w:tc>
          <w:tcPr>
            <w:tcW w:w="12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04"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09" w:type="dxa"/>
            <w:tcBorders>
              <w:top w:val="nil" w:sz="6" w:space="0" w:color="auto"/>
              <w:left w:val="single" w:sz="4" w:space="0" w:color="000000"/>
              <w:bottom w:val="single" w:sz="4" w:space="0" w:color="000000"/>
              <w:right w:val="single" w:sz="4" w:space="0" w:color="000000"/>
            </w:tcBorders>
            <w:shd w:val="clear" w:color="auto" w:fill="D2D2D2"/>
          </w:tcPr>
          <w:p>
            <w:pPr/>
          </w:p>
        </w:tc>
        <w:tc>
          <w:tcPr>
            <w:tcW w:w="604"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715"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7"/>
                <w:sz w:val="18"/>
                <w:szCs w:val="18"/>
              </w:rPr>
              <w:t>加：会计政</w:t>
            </w:r>
            <w:r>
              <w:rPr>
                <w:rFonts w:ascii="宋体" w:hAnsi="宋体" w:cs="宋体" w:eastAsia="宋体" w:hint="default"/>
                <w:sz w:val="18"/>
                <w:szCs w:val="18"/>
              </w:rPr>
              <w:t> 策变更</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0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 差错更正</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09" w:type="dxa"/>
            <w:tcBorders>
              <w:top w:val="single" w:sz="4" w:space="0" w:color="000000"/>
              <w:left w:val="single" w:sz="4" w:space="0" w:color="000000"/>
              <w:bottom w:val="nil" w:sz="6" w:space="0" w:color="auto"/>
              <w:right w:val="single" w:sz="4" w:space="0" w:color="000000"/>
            </w:tcBorders>
            <w:shd w:val="clear" w:color="auto" w:fill="D2D2D2"/>
          </w:tcPr>
          <w:p>
            <w:pPr/>
          </w:p>
        </w:tc>
        <w:tc>
          <w:tcPr>
            <w:tcW w:w="604" w:type="dxa"/>
            <w:vMerge w:val="restart"/>
            <w:tcBorders>
              <w:top w:val="single" w:sz="4" w:space="0" w:color="000000"/>
              <w:left w:val="single" w:sz="9" w:space="0" w:color="D2D2D2"/>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303,24</w:t>
            </w:r>
          </w:p>
          <w:p>
            <w:pPr>
              <w:pStyle w:val="TableParagraph"/>
              <w:spacing w:line="240" w:lineRule="auto" w:before="102"/>
              <w:ind w:left="11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00</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82,415,</w:t>
            </w:r>
          </w:p>
          <w:p>
            <w:pPr>
              <w:pStyle w:val="TableParagraph"/>
              <w:spacing w:line="240" w:lineRule="auto" w:before="102"/>
              <w:ind w:left="160" w:right="0"/>
              <w:jc w:val="left"/>
              <w:rPr>
                <w:rFonts w:ascii="Times New Roman" w:hAnsi="Times New Roman" w:cs="Times New Roman" w:eastAsia="Times New Roman" w:hint="default"/>
                <w:sz w:val="18"/>
                <w:szCs w:val="18"/>
              </w:rPr>
            </w:pPr>
            <w:r>
              <w:rPr>
                <w:rFonts w:ascii="Times New Roman"/>
                <w:sz w:val="18"/>
              </w:rPr>
              <w:t>840.70</w:t>
            </w: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54,085,</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470.03</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360,054,1</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42.07</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799,795,45</w:t>
            </w:r>
          </w:p>
          <w:p>
            <w:pPr>
              <w:pStyle w:val="TableParagraph"/>
              <w:spacing w:line="240" w:lineRule="auto" w:before="102"/>
              <w:ind w:left="583" w:right="0"/>
              <w:jc w:val="left"/>
              <w:rPr>
                <w:rFonts w:ascii="Times New Roman" w:hAnsi="Times New Roman" w:cs="Times New Roman" w:eastAsia="Times New Roman" w:hint="default"/>
                <w:sz w:val="18"/>
                <w:szCs w:val="18"/>
              </w:rPr>
            </w:pPr>
            <w:r>
              <w:rPr>
                <w:rFonts w:ascii="Times New Roman"/>
                <w:sz w:val="18"/>
              </w:rPr>
              <w:t>2.80</w:t>
            </w:r>
          </w:p>
        </w:tc>
      </w:tr>
      <w:tr>
        <w:trPr>
          <w:trHeight w:val="703" w:hRule="exact"/>
        </w:trPr>
        <w:tc>
          <w:tcPr>
            <w:tcW w:w="12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04"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09" w:type="dxa"/>
            <w:tcBorders>
              <w:top w:val="nil" w:sz="6" w:space="0" w:color="auto"/>
              <w:left w:val="single" w:sz="4" w:space="0" w:color="000000"/>
              <w:bottom w:val="single" w:sz="4" w:space="0" w:color="000000"/>
              <w:right w:val="single" w:sz="4" w:space="0" w:color="000000"/>
            </w:tcBorders>
            <w:shd w:val="clear" w:color="auto" w:fill="D2D2D2"/>
          </w:tcPr>
          <w:p>
            <w:pPr/>
          </w:p>
        </w:tc>
        <w:tc>
          <w:tcPr>
            <w:tcW w:w="604"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6,009,3</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67.80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38,922,31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0.21</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44,931,678.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01</w:t>
            </w: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60,093,67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8.01</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60,093,678.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01</w:t>
            </w: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5"/>
                <w:sz w:val="18"/>
                <w:szCs w:val="18"/>
              </w:rPr>
              <w:t>）</w:t>
            </w:r>
            <w:r>
              <w:rPr>
                <w:rFonts w:ascii="宋体" w:hAnsi="宋体" w:cs="宋体" w:eastAsia="宋体" w:hint="default"/>
                <w:sz w:val="18"/>
                <w:szCs w:val="18"/>
              </w:rPr>
              <w:t>利润分配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center"/>
              <w:rPr>
                <w:rFonts w:ascii="Times New Roman" w:hAnsi="Times New Roman" w:cs="Times New Roman" w:eastAsia="Times New Roman" w:hint="default"/>
                <w:sz w:val="18"/>
                <w:szCs w:val="18"/>
              </w:rPr>
            </w:pPr>
            <w:r>
              <w:rPr>
                <w:rFonts w:ascii="Times New Roman"/>
                <w:sz w:val="18"/>
              </w:rPr>
              <w:t>6,009,3</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67.80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-21,171,3</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67.80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-15,162,000</w:t>
            </w:r>
            <w:r>
              <w:rPr>
                <w:rFonts w:ascii="Times New Roman"/>
                <w:sz w:val="18"/>
              </w:rPr>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6,009,3</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67.80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-6,009,36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7.80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7"/>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-15,162,0</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-15,162,000</w:t>
            </w:r>
            <w:r>
              <w:rPr>
                <w:rFonts w:ascii="Times New Roman"/>
                <w:sz w:val="18"/>
              </w:rPr>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5"/>
                <w:sz w:val="18"/>
                <w:szCs w:val="18"/>
              </w:rPr>
              <w:t>）</w:t>
            </w:r>
            <w:r>
              <w:rPr>
                <w:rFonts w:ascii="宋体" w:hAnsi="宋体" w:cs="宋体" w:eastAsia="宋体" w:hint="default"/>
                <w:sz w:val="18"/>
                <w:szCs w:val="18"/>
              </w:rPr>
              <w:t>专项储备</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303,24</w:t>
            </w:r>
          </w:p>
          <w:p>
            <w:pPr>
              <w:pStyle w:val="TableParagraph"/>
              <w:spacing w:line="240" w:lineRule="auto" w:before="102"/>
              <w:ind w:left="11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82,415,</w:t>
            </w:r>
          </w:p>
          <w:p>
            <w:pPr>
              <w:pStyle w:val="TableParagraph"/>
              <w:spacing w:line="240" w:lineRule="auto" w:before="102"/>
              <w:ind w:left="160" w:right="0"/>
              <w:jc w:val="left"/>
              <w:rPr>
                <w:rFonts w:ascii="Times New Roman" w:hAnsi="Times New Roman" w:cs="Times New Roman" w:eastAsia="Times New Roman" w:hint="default"/>
                <w:sz w:val="18"/>
                <w:szCs w:val="18"/>
              </w:rPr>
            </w:pPr>
            <w:r>
              <w:rPr>
                <w:rFonts w:ascii="Times New Roman"/>
                <w:sz w:val="18"/>
              </w:rPr>
              <w:t>840.70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60,094,</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837.83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398,976,4</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52.28</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844,727,13</w:t>
            </w:r>
          </w:p>
          <w:p>
            <w:pPr>
              <w:pStyle w:val="TableParagraph"/>
              <w:spacing w:line="240" w:lineRule="auto" w:before="102"/>
              <w:ind w:left="583" w:right="0"/>
              <w:jc w:val="left"/>
              <w:rPr>
                <w:rFonts w:ascii="Times New Roman" w:hAnsi="Times New Roman" w:cs="Times New Roman" w:eastAsia="Times New Roman" w:hint="default"/>
                <w:sz w:val="18"/>
                <w:szCs w:val="18"/>
              </w:rPr>
            </w:pPr>
            <w:r>
              <w:rPr>
                <w:rFonts w:ascii="Times New Roman"/>
                <w:sz w:val="18"/>
              </w:rPr>
              <w:t>0.81</w:t>
            </w:r>
          </w:p>
        </w:tc>
      </w:tr>
    </w:tbl>
    <w:p>
      <w:pPr>
        <w:spacing w:line="240" w:lineRule="auto" w:before="7"/>
        <w:rPr>
          <w:rFonts w:ascii="Times New Roman" w:hAnsi="Times New Roman" w:cs="Times New Roman" w:eastAsia="Times New Roman" w:hint="default"/>
          <w:sz w:val="20"/>
          <w:szCs w:val="20"/>
        </w:rPr>
      </w:pPr>
    </w:p>
    <w:p>
      <w:pPr>
        <w:spacing w:before="26"/>
        <w:ind w:left="152" w:right="1133" w:firstLine="0"/>
        <w:jc w:val="left"/>
        <w:rPr>
          <w:rFonts w:ascii="宋体" w:hAnsi="宋体" w:cs="宋体" w:eastAsia="宋体" w:hint="default"/>
          <w:sz w:val="24"/>
          <w:szCs w:val="24"/>
        </w:rPr>
      </w:pPr>
      <w:r>
        <w:rPr>
          <w:rFonts w:ascii="宋体" w:hAnsi="宋体" w:cs="宋体" w:eastAsia="宋体" w:hint="default"/>
          <w:sz w:val="24"/>
          <w:szCs w:val="24"/>
        </w:rPr>
        <w:t>三、</w:t>
      </w:r>
      <w:r>
        <w:rPr>
          <w:rFonts w:ascii="宋体" w:hAnsi="宋体" w:cs="宋体" w:eastAsia="宋体" w:hint="default"/>
          <w:b/>
          <w:bCs/>
          <w:sz w:val="24"/>
          <w:szCs w:val="24"/>
        </w:rPr>
        <w:t>公司的基本情况</w:t>
      </w:r>
      <w:r>
        <w:rPr>
          <w:rFonts w:ascii="宋体" w:hAnsi="宋体" w:cs="宋体" w:eastAsia="宋体" w:hint="default"/>
          <w:sz w:val="24"/>
          <w:szCs w:val="24"/>
        </w:rPr>
      </w:r>
    </w:p>
    <w:p>
      <w:pPr>
        <w:spacing w:line="240" w:lineRule="auto" w:before="8"/>
        <w:rPr>
          <w:rFonts w:ascii="宋体" w:hAnsi="宋体" w:cs="宋体" w:eastAsia="宋体" w:hint="default"/>
          <w:b/>
          <w:bCs/>
          <w:sz w:val="30"/>
          <w:szCs w:val="30"/>
        </w:rPr>
      </w:pPr>
    </w:p>
    <w:p>
      <w:pPr>
        <w:pStyle w:val="BodyText"/>
        <w:spacing w:line="328" w:lineRule="auto"/>
        <w:ind w:right="1126" w:firstLine="439"/>
        <w:jc w:val="both"/>
      </w:pPr>
      <w:r>
        <w:rPr>
          <w:spacing w:val="-8"/>
          <w:w w:val="100"/>
        </w:rPr>
        <w:t>中远海运科技股份有限公司（以下简称“本公司”或“公司”），曾用名为中海网络科技股份有限</w:t>
      </w:r>
      <w:r>
        <w:rPr>
          <w:w w:val="100"/>
        </w:rPr>
        <w:t> </w:t>
      </w:r>
      <w:r>
        <w:rPr>
          <w:spacing w:val="-2"/>
        </w:rPr>
        <w:t>公司，前身为上海交技发展股份有限公司，是经国家经贸委国经贸企改（</w:t>
      </w:r>
      <w:r>
        <w:rPr>
          <w:rFonts w:ascii="Arial" w:hAnsi="Arial" w:cs="Arial" w:eastAsia="Arial" w:hint="default"/>
          <w:spacing w:val="-2"/>
        </w:rPr>
        <w:t>2000</w:t>
      </w:r>
      <w:r>
        <w:rPr>
          <w:spacing w:val="-2"/>
        </w:rPr>
        <w:t>）</w:t>
      </w:r>
      <w:r>
        <w:rPr>
          <w:rFonts w:ascii="Arial" w:hAnsi="Arial" w:cs="Arial" w:eastAsia="Arial" w:hint="default"/>
          <w:spacing w:val="-2"/>
        </w:rPr>
        <w:t>1251</w:t>
      </w:r>
      <w:r>
        <w:rPr>
          <w:rFonts w:ascii="Arial" w:hAnsi="Arial" w:cs="Arial" w:eastAsia="Arial" w:hint="default"/>
          <w:spacing w:val="30"/>
        </w:rPr>
        <w:t> </w:t>
      </w:r>
      <w:r>
        <w:rPr>
          <w:spacing w:val="-1"/>
        </w:rPr>
        <w:t>号批准</w:t>
      </w:r>
      <w:r>
        <w:rPr>
          <w:rFonts w:ascii="Arial" w:hAnsi="Arial" w:cs="Arial" w:eastAsia="Arial" w:hint="default"/>
          <w:spacing w:val="-1"/>
        </w:rPr>
        <w:t>,</w:t>
      </w:r>
      <w:r>
        <w:rPr>
          <w:spacing w:val="-1"/>
        </w:rPr>
        <w:t>由上海</w:t>
      </w:r>
      <w:r>
        <w:rPr>
          <w:spacing w:val="-99"/>
        </w:rPr>
        <w:t> </w:t>
      </w:r>
      <w:r>
        <w:rPr>
          <w:spacing w:val="-99"/>
        </w:rPr>
      </w:r>
      <w:r>
        <w:rPr>
          <w:spacing w:val="-2"/>
        </w:rPr>
        <w:t>船舶运输科学研究所、上海创业投资有限公司、上海运丰交通技术工程有限公司、上海东信投资管理</w:t>
      </w:r>
      <w:r>
        <w:rPr>
          <w:spacing w:val="-66"/>
        </w:rPr>
        <w:t> </w:t>
      </w:r>
      <w:r>
        <w:rPr>
          <w:spacing w:val="-66"/>
        </w:rPr>
      </w:r>
      <w:r>
        <w:rPr>
          <w:spacing w:val="-2"/>
        </w:rPr>
        <w:t>有限公司、上海中敏新技术有限责任公司共同发起设立，注册资本</w:t>
      </w:r>
      <w:r>
        <w:rPr/>
        <w:t> </w:t>
      </w:r>
      <w:r>
        <w:rPr>
          <w:rFonts w:ascii="Arial" w:hAnsi="Arial" w:cs="Arial" w:eastAsia="Arial" w:hint="default"/>
          <w:spacing w:val="-1"/>
        </w:rPr>
        <w:t>3,800</w:t>
      </w:r>
      <w:r>
        <w:rPr>
          <w:rFonts w:ascii="Arial" w:hAnsi="Arial" w:cs="Arial" w:eastAsia="Arial" w:hint="default"/>
          <w:spacing w:val="-22"/>
        </w:rPr>
        <w:t> </w:t>
      </w:r>
      <w:r>
        <w:rPr>
          <w:spacing w:val="-2"/>
        </w:rPr>
        <w:t>万元。上海立信长江会计师</w:t>
      </w:r>
    </w:p>
    <w:p>
      <w:pPr>
        <w:pStyle w:val="BodyText"/>
        <w:spacing w:line="240" w:lineRule="auto" w:before="4"/>
        <w:ind w:right="1133"/>
        <w:jc w:val="left"/>
      </w:pPr>
      <w:r>
        <w:rPr/>
        <w:t>事务所有限公司于</w:t>
      </w:r>
      <w:r>
        <w:rPr>
          <w:spacing w:val="-56"/>
        </w:rPr>
        <w:t> </w:t>
      </w:r>
      <w:r>
        <w:rPr>
          <w:rFonts w:ascii="Arial" w:hAnsi="Arial" w:cs="Arial" w:eastAsia="Arial" w:hint="default"/>
        </w:rPr>
        <w:t>2001</w:t>
      </w:r>
      <w:r>
        <w:rPr>
          <w:rFonts w:ascii="Arial" w:hAnsi="Arial" w:cs="Arial" w:eastAsia="Arial" w:hint="default"/>
          <w:spacing w:val="-10"/>
        </w:rPr>
        <w:t> </w:t>
      </w:r>
      <w:r>
        <w:rPr/>
        <w:t>年</w:t>
      </w:r>
      <w:r>
        <w:rPr>
          <w:spacing w:val="-56"/>
        </w:rPr>
        <w:t> </w:t>
      </w:r>
      <w:r>
        <w:rPr>
          <w:rFonts w:ascii="Arial" w:hAnsi="Arial" w:cs="Arial" w:eastAsia="Arial" w:hint="default"/>
        </w:rPr>
        <w:t>1</w:t>
      </w:r>
      <w:r>
        <w:rPr>
          <w:rFonts w:ascii="Arial" w:hAnsi="Arial" w:cs="Arial" w:eastAsia="Arial" w:hint="default"/>
          <w:spacing w:val="-8"/>
        </w:rPr>
        <w:t> </w:t>
      </w:r>
      <w:r>
        <w:rPr/>
        <w:t>月</w:t>
      </w:r>
      <w:r>
        <w:rPr>
          <w:spacing w:val="-56"/>
        </w:rPr>
        <w:t> </w:t>
      </w:r>
      <w:r>
        <w:rPr>
          <w:rFonts w:ascii="Arial" w:hAnsi="Arial" w:cs="Arial" w:eastAsia="Arial" w:hint="default"/>
        </w:rPr>
        <w:t>15</w:t>
      </w:r>
      <w:r>
        <w:rPr>
          <w:rFonts w:ascii="Arial" w:hAnsi="Arial" w:cs="Arial" w:eastAsia="Arial" w:hint="default"/>
          <w:spacing w:val="-8"/>
        </w:rPr>
        <w:t> </w:t>
      </w:r>
      <w:r>
        <w:rPr/>
        <w:t>日出具了信长会师报字（</w:t>
      </w:r>
      <w:r>
        <w:rPr>
          <w:rFonts w:ascii="Arial" w:hAnsi="Arial" w:cs="Arial" w:eastAsia="Arial" w:hint="default"/>
        </w:rPr>
        <w:t>2001</w:t>
      </w:r>
      <w:r>
        <w:rPr/>
        <w:t>）第</w:t>
      </w:r>
      <w:r>
        <w:rPr>
          <w:spacing w:val="-56"/>
        </w:rPr>
        <w:t> </w:t>
      </w:r>
      <w:r>
        <w:rPr>
          <w:rFonts w:ascii="Arial" w:hAnsi="Arial" w:cs="Arial" w:eastAsia="Arial" w:hint="default"/>
        </w:rPr>
        <w:t>20010</w:t>
      </w:r>
      <w:r>
        <w:rPr>
          <w:rFonts w:ascii="Arial" w:hAnsi="Arial" w:cs="Arial" w:eastAsia="Arial" w:hint="default"/>
          <w:spacing w:val="-8"/>
        </w:rPr>
        <w:t> </w:t>
      </w:r>
      <w:r>
        <w:rPr/>
        <w:t>号验资报告。</w:t>
      </w:r>
    </w:p>
    <w:p>
      <w:pPr>
        <w:pStyle w:val="BodyText"/>
        <w:spacing w:line="240" w:lineRule="auto" w:before="138"/>
        <w:ind w:left="592" w:right="0"/>
        <w:jc w:val="left"/>
      </w:pPr>
      <w:r>
        <w:rPr>
          <w:rFonts w:ascii="Arial" w:hAnsi="Arial" w:cs="Arial" w:eastAsia="Arial" w:hint="default"/>
        </w:rPr>
        <w:t>2010</w:t>
      </w:r>
      <w:r>
        <w:rPr>
          <w:rFonts w:ascii="Arial" w:hAnsi="Arial" w:cs="Arial" w:eastAsia="Arial" w:hint="default"/>
          <w:spacing w:val="-1"/>
        </w:rPr>
        <w:t> </w:t>
      </w:r>
      <w:r>
        <w:rPr/>
        <w:t>年</w:t>
      </w:r>
      <w:r>
        <w:rPr>
          <w:spacing w:val="-49"/>
        </w:rPr>
        <w:t> </w:t>
      </w:r>
      <w:r>
        <w:rPr>
          <w:rFonts w:ascii="Arial" w:hAnsi="Arial" w:cs="Arial" w:eastAsia="Arial" w:hint="default"/>
        </w:rPr>
        <w:t>4</w:t>
      </w:r>
      <w:r>
        <w:rPr>
          <w:rFonts w:ascii="Arial" w:hAnsi="Arial" w:cs="Arial" w:eastAsia="Arial" w:hint="default"/>
          <w:spacing w:val="-1"/>
        </w:rPr>
        <w:t> </w:t>
      </w:r>
      <w:r>
        <w:rPr/>
        <w:t>月</w:t>
      </w:r>
      <w:r>
        <w:rPr>
          <w:spacing w:val="-49"/>
        </w:rPr>
        <w:t> </w:t>
      </w:r>
      <w:r>
        <w:rPr>
          <w:rFonts w:ascii="Arial" w:hAnsi="Arial" w:cs="Arial" w:eastAsia="Arial" w:hint="default"/>
        </w:rPr>
        <w:t>2</w:t>
      </w:r>
      <w:r>
        <w:rPr>
          <w:rFonts w:ascii="Arial" w:hAnsi="Arial" w:cs="Arial" w:eastAsia="Arial" w:hint="default"/>
          <w:spacing w:val="-1"/>
        </w:rPr>
        <w:t> </w:t>
      </w:r>
      <w:r>
        <w:rPr>
          <w:spacing w:val="-3"/>
        </w:rPr>
        <w:t>日，公司经中国证券监督管理委员会证监许可</w:t>
      </w:r>
      <w:r>
        <w:rPr>
          <w:rFonts w:ascii="Arial" w:hAnsi="Arial" w:cs="Arial" w:eastAsia="Arial" w:hint="default"/>
          <w:spacing w:val="-3"/>
        </w:rPr>
        <w:t>[2010]406</w:t>
      </w:r>
      <w:r>
        <w:rPr>
          <w:rFonts w:ascii="Arial" w:hAnsi="Arial" w:cs="Arial" w:eastAsia="Arial" w:hint="default"/>
          <w:spacing w:val="-1"/>
        </w:rPr>
        <w:t> </w:t>
      </w:r>
      <w:r>
        <w:rPr>
          <w:spacing w:val="-6"/>
        </w:rPr>
        <w:t>号文《关于核准上海交技</w:t>
      </w:r>
    </w:p>
    <w:p>
      <w:pPr>
        <w:pStyle w:val="BodyText"/>
        <w:spacing w:line="240" w:lineRule="auto" w:before="95"/>
        <w:ind w:right="0"/>
        <w:jc w:val="left"/>
      </w:pPr>
      <w:r>
        <w:rPr/>
        <w:t>发展股份有限公司首次公开发行股票的批复》批准，向社会公开发行人民币普通股</w:t>
      </w:r>
      <w:r>
        <w:rPr>
          <w:spacing w:val="-67"/>
        </w:rPr>
        <w:t> </w:t>
      </w:r>
      <w:r>
        <w:rPr>
          <w:rFonts w:ascii="Arial" w:hAnsi="Arial" w:cs="Arial" w:eastAsia="Arial" w:hint="default"/>
        </w:rPr>
        <w:t>1,330</w:t>
      </w:r>
      <w:r>
        <w:rPr>
          <w:rFonts w:ascii="Arial" w:hAnsi="Arial" w:cs="Arial" w:eastAsia="Arial" w:hint="default"/>
          <w:spacing w:val="-21"/>
        </w:rPr>
        <w:t> </w:t>
      </w:r>
      <w:r>
        <w:rPr>
          <w:spacing w:val="-4"/>
        </w:rPr>
        <w:t>万股，发行</w:t>
      </w:r>
    </w:p>
    <w:p>
      <w:pPr>
        <w:pStyle w:val="BodyText"/>
        <w:spacing w:line="316" w:lineRule="auto" w:before="97"/>
        <w:ind w:right="1128"/>
        <w:jc w:val="left"/>
      </w:pPr>
      <w:r>
        <w:rPr/>
        <w:t>后公司股本总额为人民币</w:t>
      </w:r>
      <w:r>
        <w:rPr>
          <w:spacing w:val="-49"/>
        </w:rPr>
        <w:t> </w:t>
      </w:r>
      <w:r>
        <w:rPr>
          <w:rFonts w:ascii="Arial" w:hAnsi="Arial" w:cs="Arial" w:eastAsia="Arial" w:hint="default"/>
        </w:rPr>
        <w:t>5,320</w:t>
      </w:r>
      <w:r>
        <w:rPr>
          <w:rFonts w:ascii="Arial" w:hAnsi="Arial" w:cs="Arial" w:eastAsia="Arial" w:hint="default"/>
          <w:spacing w:val="-2"/>
        </w:rPr>
        <w:t> </w:t>
      </w:r>
      <w:r>
        <w:rPr/>
        <w:t>万元。</w:t>
      </w:r>
      <w:r>
        <w:rPr>
          <w:rFonts w:ascii="Arial" w:hAnsi="Arial" w:cs="Arial" w:eastAsia="Arial" w:hint="default"/>
        </w:rPr>
        <w:t>2010</w:t>
      </w:r>
      <w:r>
        <w:rPr>
          <w:rFonts w:ascii="Arial" w:hAnsi="Arial" w:cs="Arial" w:eastAsia="Arial" w:hint="default"/>
          <w:spacing w:val="-1"/>
        </w:rPr>
        <w:t> </w:t>
      </w:r>
      <w:r>
        <w:rPr/>
        <w:t>年</w:t>
      </w:r>
      <w:r>
        <w:rPr>
          <w:spacing w:val="-51"/>
        </w:rPr>
        <w:t> </w:t>
      </w:r>
      <w:r>
        <w:rPr>
          <w:rFonts w:ascii="Arial" w:hAnsi="Arial" w:cs="Arial" w:eastAsia="Arial" w:hint="default"/>
        </w:rPr>
        <w:t>5</w:t>
      </w:r>
      <w:r>
        <w:rPr>
          <w:rFonts w:ascii="Arial" w:hAnsi="Arial" w:cs="Arial" w:eastAsia="Arial" w:hint="default"/>
          <w:spacing w:val="-1"/>
        </w:rPr>
        <w:t> </w:t>
      </w:r>
      <w:r>
        <w:rPr/>
        <w:t>月</w:t>
      </w:r>
      <w:r>
        <w:rPr>
          <w:spacing w:val="-49"/>
        </w:rPr>
        <w:t> </w:t>
      </w:r>
      <w:r>
        <w:rPr>
          <w:rFonts w:ascii="Arial" w:hAnsi="Arial" w:cs="Arial" w:eastAsia="Arial" w:hint="default"/>
        </w:rPr>
        <w:t>6 </w:t>
      </w:r>
      <w:r>
        <w:rPr/>
        <w:t>日公司在深圳证券交易所挂牌上市，证券简称</w:t>
      </w:r>
      <w:r>
        <w:rPr>
          <w:w w:val="100"/>
        </w:rPr>
        <w:t> </w:t>
      </w:r>
      <w:r>
        <w:rPr>
          <w:spacing w:val="-7"/>
          <w:w w:val="100"/>
        </w:rPr>
        <w:t>为“交技发展”，证券代码为“</w:t>
      </w:r>
      <w:r>
        <w:rPr>
          <w:rFonts w:ascii="Arial" w:hAnsi="Arial" w:cs="Arial" w:eastAsia="Arial" w:hint="default"/>
          <w:spacing w:val="-7"/>
          <w:w w:val="100"/>
        </w:rPr>
        <w:t>002401</w:t>
      </w:r>
      <w:r>
        <w:rPr>
          <w:spacing w:val="-7"/>
          <w:w w:val="100"/>
        </w:rPr>
        <w:t>”。所属行业软件和信息技术服务业。</w:t>
      </w:r>
    </w:p>
    <w:p>
      <w:pPr>
        <w:pStyle w:val="BodyText"/>
        <w:spacing w:line="324" w:lineRule="auto" w:before="57"/>
        <w:ind w:right="1130" w:firstLine="439"/>
        <w:jc w:val="both"/>
      </w:pPr>
      <w:r>
        <w:rPr>
          <w:rFonts w:ascii="Arial" w:hAnsi="Arial" w:cs="Arial" w:eastAsia="Arial" w:hint="default"/>
          <w:spacing w:val="-5"/>
        </w:rPr>
        <w:t>2011</w:t>
      </w:r>
      <w:r>
        <w:rPr>
          <w:rFonts w:ascii="Arial" w:hAnsi="Arial" w:cs="Arial" w:eastAsia="Arial" w:hint="default"/>
          <w:spacing w:val="-4"/>
        </w:rPr>
        <w:t> </w:t>
      </w:r>
      <w:r>
        <w:rPr/>
        <w:t>年</w:t>
      </w:r>
      <w:r>
        <w:rPr>
          <w:spacing w:val="-53"/>
        </w:rPr>
        <w:t> </w:t>
      </w:r>
      <w:r>
        <w:rPr>
          <w:rFonts w:ascii="Arial" w:hAnsi="Arial" w:cs="Arial" w:eastAsia="Arial" w:hint="default"/>
        </w:rPr>
        <w:t>7</w:t>
      </w:r>
      <w:r>
        <w:rPr>
          <w:rFonts w:ascii="Arial" w:hAnsi="Arial" w:cs="Arial" w:eastAsia="Arial" w:hint="default"/>
          <w:spacing w:val="-4"/>
        </w:rPr>
        <w:t> </w:t>
      </w:r>
      <w:r>
        <w:rPr/>
        <w:t>月</w:t>
      </w:r>
      <w:r>
        <w:rPr>
          <w:spacing w:val="-53"/>
        </w:rPr>
        <w:t> </w:t>
      </w:r>
      <w:r>
        <w:rPr>
          <w:rFonts w:ascii="Arial" w:hAnsi="Arial" w:cs="Arial" w:eastAsia="Arial" w:hint="default"/>
        </w:rPr>
        <w:t>29</w:t>
      </w:r>
      <w:r>
        <w:rPr>
          <w:rFonts w:ascii="Arial" w:hAnsi="Arial" w:cs="Arial" w:eastAsia="Arial" w:hint="default"/>
          <w:spacing w:val="-4"/>
        </w:rPr>
        <w:t> </w:t>
      </w:r>
      <w:r>
        <w:rPr/>
        <w:t>日，公司</w:t>
      </w:r>
      <w:r>
        <w:rPr>
          <w:spacing w:val="-52"/>
        </w:rPr>
        <w:t> </w:t>
      </w:r>
      <w:r>
        <w:rPr>
          <w:rFonts w:ascii="Arial" w:hAnsi="Arial" w:cs="Arial" w:eastAsia="Arial" w:hint="default"/>
          <w:spacing w:val="-5"/>
        </w:rPr>
        <w:t>2011</w:t>
      </w:r>
      <w:r>
        <w:rPr>
          <w:rFonts w:ascii="Arial" w:hAnsi="Arial" w:cs="Arial" w:eastAsia="Arial" w:hint="default"/>
          <w:spacing w:val="-4"/>
        </w:rPr>
        <w:t> </w:t>
      </w:r>
      <w:r>
        <w:rPr/>
        <w:t>年第二次（临时）股东大会审议通过了《关于公司名称变更为中</w:t>
      </w:r>
      <w:r>
        <w:rPr>
          <w:w w:val="100"/>
        </w:rPr>
        <w:t> </w:t>
      </w:r>
      <w:r>
        <w:rPr>
          <w:spacing w:val="-2"/>
          <w:w w:val="100"/>
        </w:rPr>
        <w:t>海网络科技股份有限公司的议案》，将原公司名称“上海交技发展股份有限公司”变更为“中海网络</w:t>
      </w:r>
      <w:r>
        <w:rPr>
          <w:spacing w:val="-101"/>
          <w:w w:val="100"/>
        </w:rPr>
        <w:t> </w:t>
      </w:r>
      <w:r>
        <w:rPr>
          <w:spacing w:val="-101"/>
          <w:w w:val="100"/>
        </w:rPr>
      </w:r>
      <w:r>
        <w:rPr>
          <w:spacing w:val="-11"/>
          <w:w w:val="100"/>
        </w:rPr>
        <w:t>科技股份有限公司”。证券简称变更为“中海科技”。</w:t>
      </w:r>
    </w:p>
    <w:p>
      <w:pPr>
        <w:pStyle w:val="BodyText"/>
        <w:spacing w:line="240" w:lineRule="auto" w:before="76"/>
        <w:ind w:left="592" w:right="0"/>
        <w:jc w:val="left"/>
      </w:pPr>
      <w:r>
        <w:rPr>
          <w:rFonts w:ascii="Arial" w:hAnsi="Arial" w:cs="Arial" w:eastAsia="Arial" w:hint="default"/>
          <w:spacing w:val="-5"/>
        </w:rPr>
        <w:t>2011</w:t>
      </w:r>
      <w:r>
        <w:rPr>
          <w:rFonts w:ascii="Arial" w:hAnsi="Arial" w:cs="Arial" w:eastAsia="Arial" w:hint="default"/>
          <w:spacing w:val="-4"/>
        </w:rPr>
        <w:t> </w:t>
      </w:r>
      <w:r>
        <w:rPr/>
        <w:t>年</w:t>
      </w:r>
      <w:r>
        <w:rPr>
          <w:spacing w:val="-53"/>
        </w:rPr>
        <w:t> </w:t>
      </w:r>
      <w:r>
        <w:rPr>
          <w:rFonts w:ascii="Arial" w:hAnsi="Arial" w:cs="Arial" w:eastAsia="Arial" w:hint="default"/>
        </w:rPr>
        <w:t>8</w:t>
      </w:r>
      <w:r>
        <w:rPr>
          <w:rFonts w:ascii="Arial" w:hAnsi="Arial" w:cs="Arial" w:eastAsia="Arial" w:hint="default"/>
          <w:spacing w:val="-4"/>
        </w:rPr>
        <w:t> </w:t>
      </w:r>
      <w:r>
        <w:rPr/>
        <w:t>月</w:t>
      </w:r>
      <w:r>
        <w:rPr>
          <w:spacing w:val="-53"/>
        </w:rPr>
        <w:t> </w:t>
      </w:r>
      <w:r>
        <w:rPr>
          <w:rFonts w:ascii="Arial" w:hAnsi="Arial" w:cs="Arial" w:eastAsia="Arial" w:hint="default"/>
        </w:rPr>
        <w:t>18</w:t>
      </w:r>
      <w:r>
        <w:rPr>
          <w:rFonts w:ascii="Arial" w:hAnsi="Arial" w:cs="Arial" w:eastAsia="Arial" w:hint="default"/>
          <w:spacing w:val="-4"/>
        </w:rPr>
        <w:t> </w:t>
      </w:r>
      <w:r>
        <w:rPr/>
        <w:t>日，根据公司第四届董事会第七次会议决议及</w:t>
      </w:r>
      <w:r>
        <w:rPr>
          <w:spacing w:val="-52"/>
        </w:rPr>
        <w:t> </w:t>
      </w:r>
      <w:r>
        <w:rPr>
          <w:rFonts w:ascii="Arial" w:hAnsi="Arial" w:cs="Arial" w:eastAsia="Arial" w:hint="default"/>
          <w:spacing w:val="-5"/>
        </w:rPr>
        <w:t>2011</w:t>
      </w:r>
      <w:r>
        <w:rPr>
          <w:rFonts w:ascii="Arial" w:hAnsi="Arial" w:cs="Arial" w:eastAsia="Arial" w:hint="default"/>
          <w:spacing w:val="-4"/>
        </w:rPr>
        <w:t> </w:t>
      </w:r>
      <w:r>
        <w:rPr/>
        <w:t>年第三次临时股东大会审议</w:t>
      </w:r>
    </w:p>
    <w:p>
      <w:pPr>
        <w:pStyle w:val="BodyText"/>
        <w:spacing w:line="240" w:lineRule="auto" w:before="95"/>
        <w:ind w:right="0"/>
        <w:jc w:val="left"/>
      </w:pPr>
      <w:r>
        <w:rPr/>
        <w:t>通过的资本公积转增股本方案，公司</w:t>
      </w:r>
      <w:r>
        <w:rPr>
          <w:spacing w:val="-41"/>
        </w:rPr>
        <w:t> </w:t>
      </w:r>
      <w:r>
        <w:rPr>
          <w:rFonts w:ascii="Arial" w:hAnsi="Arial" w:cs="Arial" w:eastAsia="Arial" w:hint="default"/>
          <w:spacing w:val="-5"/>
        </w:rPr>
        <w:t>2011</w:t>
      </w:r>
      <w:r>
        <w:rPr>
          <w:rFonts w:ascii="Arial" w:hAnsi="Arial" w:cs="Arial" w:eastAsia="Arial" w:hint="default"/>
          <w:spacing w:val="4"/>
        </w:rPr>
        <w:t> </w:t>
      </w:r>
      <w:r>
        <w:rPr/>
        <w:t>年</w:t>
      </w:r>
      <w:r>
        <w:rPr>
          <w:spacing w:val="-44"/>
        </w:rPr>
        <w:t> </w:t>
      </w:r>
      <w:r>
        <w:rPr>
          <w:rFonts w:ascii="Arial" w:hAnsi="Arial" w:cs="Arial" w:eastAsia="Arial" w:hint="default"/>
        </w:rPr>
        <w:t>9</w:t>
      </w:r>
      <w:r>
        <w:rPr>
          <w:rFonts w:ascii="Arial" w:hAnsi="Arial" w:cs="Arial" w:eastAsia="Arial" w:hint="default"/>
          <w:spacing w:val="4"/>
        </w:rPr>
        <w:t> </w:t>
      </w:r>
      <w:r>
        <w:rPr/>
        <w:t>月</w:t>
      </w:r>
      <w:r>
        <w:rPr>
          <w:spacing w:val="-42"/>
        </w:rPr>
        <w:t> </w:t>
      </w:r>
      <w:r>
        <w:rPr>
          <w:rFonts w:ascii="Arial" w:hAnsi="Arial" w:cs="Arial" w:eastAsia="Arial" w:hint="default"/>
        </w:rPr>
        <w:t>29</w:t>
      </w:r>
      <w:r>
        <w:rPr>
          <w:rFonts w:ascii="Arial" w:hAnsi="Arial" w:cs="Arial" w:eastAsia="Arial" w:hint="default"/>
          <w:spacing w:val="5"/>
        </w:rPr>
        <w:t> </w:t>
      </w:r>
      <w:r>
        <w:rPr/>
        <w:t>日以总股本</w:t>
      </w:r>
      <w:r>
        <w:rPr>
          <w:spacing w:val="-42"/>
        </w:rPr>
        <w:t> </w:t>
      </w:r>
      <w:r>
        <w:rPr>
          <w:rFonts w:ascii="Arial" w:hAnsi="Arial" w:cs="Arial" w:eastAsia="Arial" w:hint="default"/>
        </w:rPr>
        <w:t>5,320</w:t>
      </w:r>
      <w:r>
        <w:rPr>
          <w:rFonts w:ascii="Arial" w:hAnsi="Arial" w:cs="Arial" w:eastAsia="Arial" w:hint="default"/>
          <w:spacing w:val="4"/>
        </w:rPr>
        <w:t> </w:t>
      </w:r>
      <w:r>
        <w:rPr/>
        <w:t>万股为基数，以资本公积向</w:t>
      </w:r>
    </w:p>
    <w:p>
      <w:pPr>
        <w:pStyle w:val="BodyText"/>
        <w:spacing w:line="240" w:lineRule="auto" w:before="98"/>
        <w:ind w:right="0"/>
        <w:jc w:val="left"/>
      </w:pPr>
      <w:r>
        <w:rPr/>
        <w:t>全体股东每</w:t>
      </w:r>
      <w:r>
        <w:rPr>
          <w:spacing w:val="-54"/>
        </w:rPr>
        <w:t> </w:t>
      </w:r>
      <w:r>
        <w:rPr>
          <w:rFonts w:ascii="Arial" w:hAnsi="Arial" w:cs="Arial" w:eastAsia="Arial" w:hint="default"/>
        </w:rPr>
        <w:t>10</w:t>
      </w:r>
      <w:r>
        <w:rPr>
          <w:rFonts w:ascii="Arial" w:hAnsi="Arial" w:cs="Arial" w:eastAsia="Arial" w:hint="default"/>
          <w:spacing w:val="-6"/>
        </w:rPr>
        <w:t> </w:t>
      </w:r>
      <w:r>
        <w:rPr/>
        <w:t>股转增</w:t>
      </w:r>
      <w:r>
        <w:rPr>
          <w:spacing w:val="-54"/>
        </w:rPr>
        <w:t> </w:t>
      </w:r>
      <w:r>
        <w:rPr>
          <w:rFonts w:ascii="Arial" w:hAnsi="Arial" w:cs="Arial" w:eastAsia="Arial" w:hint="default"/>
        </w:rPr>
        <w:t>10</w:t>
      </w:r>
      <w:r>
        <w:rPr>
          <w:rFonts w:ascii="Arial" w:hAnsi="Arial" w:cs="Arial" w:eastAsia="Arial" w:hint="default"/>
          <w:spacing w:val="-6"/>
        </w:rPr>
        <w:t> </w:t>
      </w:r>
      <w:r>
        <w:rPr>
          <w:spacing w:val="-5"/>
        </w:rPr>
        <w:t>股，共计转增</w:t>
      </w:r>
      <w:r>
        <w:rPr>
          <w:spacing w:val="-54"/>
        </w:rPr>
        <w:t> </w:t>
      </w:r>
      <w:r>
        <w:rPr>
          <w:rFonts w:ascii="Arial" w:hAnsi="Arial" w:cs="Arial" w:eastAsia="Arial" w:hint="default"/>
        </w:rPr>
        <w:t>5,320</w:t>
      </w:r>
      <w:r>
        <w:rPr>
          <w:rFonts w:ascii="Arial" w:hAnsi="Arial" w:cs="Arial" w:eastAsia="Arial" w:hint="default"/>
          <w:spacing w:val="-6"/>
        </w:rPr>
        <w:t> </w:t>
      </w:r>
      <w:r>
        <w:rPr>
          <w:spacing w:val="-5"/>
        </w:rPr>
        <w:t>万股。截至</w:t>
      </w:r>
      <w:r>
        <w:rPr>
          <w:spacing w:val="-54"/>
        </w:rPr>
        <w:t> </w:t>
      </w:r>
      <w:r>
        <w:rPr>
          <w:rFonts w:ascii="Arial" w:hAnsi="Arial" w:cs="Arial" w:eastAsia="Arial" w:hint="default"/>
          <w:spacing w:val="-5"/>
        </w:rPr>
        <w:t>2011</w:t>
      </w:r>
      <w:r>
        <w:rPr>
          <w:rFonts w:ascii="Arial" w:hAnsi="Arial" w:cs="Arial" w:eastAsia="Arial" w:hint="default"/>
          <w:spacing w:val="-8"/>
        </w:rPr>
        <w:t> </w:t>
      </w:r>
      <w:r>
        <w:rPr/>
        <w:t>年</w:t>
      </w:r>
      <w:r>
        <w:rPr>
          <w:spacing w:val="-54"/>
        </w:rPr>
        <w:t> </w:t>
      </w:r>
      <w:r>
        <w:rPr>
          <w:rFonts w:ascii="Arial" w:hAnsi="Arial" w:cs="Arial" w:eastAsia="Arial" w:hint="default"/>
        </w:rPr>
        <w:t>12</w:t>
      </w:r>
      <w:r>
        <w:rPr>
          <w:rFonts w:ascii="Arial" w:hAnsi="Arial" w:cs="Arial" w:eastAsia="Arial" w:hint="default"/>
          <w:spacing w:val="-6"/>
        </w:rPr>
        <w:t> </w:t>
      </w:r>
      <w:r>
        <w:rPr/>
        <w:t>月</w:t>
      </w:r>
      <w:r>
        <w:rPr>
          <w:spacing w:val="-54"/>
        </w:rPr>
        <w:t> </w:t>
      </w:r>
      <w:r>
        <w:rPr>
          <w:rFonts w:ascii="Arial" w:hAnsi="Arial" w:cs="Arial" w:eastAsia="Arial" w:hint="default"/>
        </w:rPr>
        <w:t>31</w:t>
      </w:r>
      <w:r>
        <w:rPr>
          <w:rFonts w:ascii="Arial" w:hAnsi="Arial" w:cs="Arial" w:eastAsia="Arial" w:hint="default"/>
          <w:spacing w:val="-6"/>
        </w:rPr>
        <w:t> </w:t>
      </w:r>
      <w:r>
        <w:rPr>
          <w:spacing w:val="-3"/>
        </w:rPr>
        <w:t>日，公司累计发行股本总</w:t>
      </w:r>
    </w:p>
    <w:p>
      <w:pPr>
        <w:pStyle w:val="BodyText"/>
        <w:spacing w:line="240" w:lineRule="auto" w:before="97"/>
        <w:ind w:right="1133"/>
        <w:jc w:val="left"/>
      </w:pPr>
      <w:r>
        <w:rPr/>
        <w:t>数</w:t>
      </w:r>
      <w:r>
        <w:rPr>
          <w:spacing w:val="-57"/>
        </w:rPr>
        <w:t> </w:t>
      </w:r>
      <w:r>
        <w:rPr>
          <w:rFonts w:ascii="Arial" w:hAnsi="Arial" w:cs="Arial" w:eastAsia="Arial" w:hint="default"/>
        </w:rPr>
        <w:t>10,640</w:t>
      </w:r>
      <w:r>
        <w:rPr>
          <w:rFonts w:ascii="Arial" w:hAnsi="Arial" w:cs="Arial" w:eastAsia="Arial" w:hint="default"/>
          <w:spacing w:val="-9"/>
        </w:rPr>
        <w:t> </w:t>
      </w:r>
      <w:r>
        <w:rPr/>
        <w:t>万股，其中上海船舶运输科学研究所持有</w:t>
      </w:r>
      <w:r>
        <w:rPr>
          <w:spacing w:val="-56"/>
        </w:rPr>
        <w:t> </w:t>
      </w:r>
      <w:r>
        <w:rPr>
          <w:rFonts w:ascii="Arial" w:hAnsi="Arial" w:cs="Arial" w:eastAsia="Arial" w:hint="default"/>
        </w:rPr>
        <w:t>5,937.7292</w:t>
      </w:r>
      <w:r>
        <w:rPr>
          <w:rFonts w:ascii="Arial" w:hAnsi="Arial" w:cs="Arial" w:eastAsia="Arial" w:hint="default"/>
          <w:spacing w:val="-9"/>
        </w:rPr>
        <w:t> </w:t>
      </w:r>
      <w:r>
        <w:rPr/>
        <w:t>万股，持股比例为</w:t>
      </w:r>
      <w:r>
        <w:rPr>
          <w:spacing w:val="-57"/>
        </w:rPr>
        <w:t> </w:t>
      </w:r>
      <w:r>
        <w:rPr>
          <w:rFonts w:ascii="Arial" w:hAnsi="Arial" w:cs="Arial" w:eastAsia="Arial" w:hint="default"/>
        </w:rPr>
        <w:t>55.81%</w:t>
      </w:r>
      <w:r>
        <w:rPr/>
        <w:t>。</w:t>
      </w:r>
    </w:p>
    <w:p>
      <w:pPr>
        <w:pStyle w:val="BodyText"/>
        <w:spacing w:line="240" w:lineRule="auto" w:before="135"/>
        <w:ind w:left="592" w:right="0"/>
        <w:jc w:val="left"/>
      </w:pPr>
      <w:r>
        <w:rPr>
          <w:rFonts w:ascii="Arial" w:hAnsi="Arial" w:cs="Arial" w:eastAsia="Arial" w:hint="default"/>
        </w:rPr>
        <w:t>2012</w:t>
      </w:r>
      <w:r>
        <w:rPr>
          <w:rFonts w:ascii="Arial" w:hAnsi="Arial" w:cs="Arial" w:eastAsia="Arial" w:hint="default"/>
          <w:spacing w:val="-7"/>
        </w:rPr>
        <w:t> </w:t>
      </w:r>
      <w:r>
        <w:rPr/>
        <w:t>年</w:t>
      </w:r>
      <w:r>
        <w:rPr>
          <w:spacing w:val="-55"/>
        </w:rPr>
        <w:t> </w:t>
      </w:r>
      <w:r>
        <w:rPr>
          <w:rFonts w:ascii="Arial" w:hAnsi="Arial" w:cs="Arial" w:eastAsia="Arial" w:hint="default"/>
        </w:rPr>
        <w:t>5</w:t>
      </w:r>
      <w:r>
        <w:rPr>
          <w:rFonts w:ascii="Arial" w:hAnsi="Arial" w:cs="Arial" w:eastAsia="Arial" w:hint="default"/>
          <w:spacing w:val="-7"/>
        </w:rPr>
        <w:t> </w:t>
      </w:r>
      <w:r>
        <w:rPr/>
        <w:t>月</w:t>
      </w:r>
      <w:r>
        <w:rPr>
          <w:spacing w:val="-55"/>
        </w:rPr>
        <w:t> </w:t>
      </w:r>
      <w:r>
        <w:rPr>
          <w:rFonts w:ascii="Arial" w:hAnsi="Arial" w:cs="Arial" w:eastAsia="Arial" w:hint="default"/>
        </w:rPr>
        <w:t>28</w:t>
      </w:r>
      <w:r>
        <w:rPr>
          <w:rFonts w:ascii="Arial" w:hAnsi="Arial" w:cs="Arial" w:eastAsia="Arial" w:hint="default"/>
          <w:spacing w:val="-7"/>
        </w:rPr>
        <w:t> </w:t>
      </w:r>
      <w:r>
        <w:rPr/>
        <w:t>日，根据公司第四届董事会第十二次会议决议及</w:t>
      </w:r>
      <w:r>
        <w:rPr>
          <w:spacing w:val="-54"/>
        </w:rPr>
        <w:t> </w:t>
      </w:r>
      <w:r>
        <w:rPr>
          <w:rFonts w:ascii="Arial" w:hAnsi="Arial" w:cs="Arial" w:eastAsia="Arial" w:hint="default"/>
          <w:spacing w:val="-5"/>
        </w:rPr>
        <w:t>2011</w:t>
      </w:r>
      <w:r>
        <w:rPr>
          <w:rFonts w:ascii="Arial" w:hAnsi="Arial" w:cs="Arial" w:eastAsia="Arial" w:hint="default"/>
          <w:spacing w:val="-7"/>
        </w:rPr>
        <w:t> </w:t>
      </w:r>
      <w:r>
        <w:rPr/>
        <w:t>年度股东大会审议通过的</w:t>
      </w:r>
    </w:p>
    <w:p>
      <w:pPr>
        <w:pStyle w:val="BodyText"/>
        <w:spacing w:line="240" w:lineRule="auto" w:before="97"/>
        <w:ind w:right="0"/>
        <w:jc w:val="left"/>
      </w:pPr>
      <w:r>
        <w:rPr>
          <w:rFonts w:ascii="Arial" w:hAnsi="Arial" w:cs="Arial" w:eastAsia="Arial" w:hint="default"/>
          <w:spacing w:val="-5"/>
        </w:rPr>
        <w:t>2011</w:t>
      </w:r>
      <w:r>
        <w:rPr>
          <w:rFonts w:ascii="Arial" w:hAnsi="Arial" w:cs="Arial" w:eastAsia="Arial" w:hint="default"/>
          <w:spacing w:val="5"/>
        </w:rPr>
        <w:t> </w:t>
      </w:r>
      <w:r>
        <w:rPr/>
        <w:t>年度权益分配方案，公司</w:t>
      </w:r>
      <w:r>
        <w:rPr>
          <w:spacing w:val="-44"/>
        </w:rPr>
        <w:t> </w:t>
      </w:r>
      <w:r>
        <w:rPr>
          <w:rFonts w:ascii="Arial" w:hAnsi="Arial" w:cs="Arial" w:eastAsia="Arial" w:hint="default"/>
        </w:rPr>
        <w:t>2012</w:t>
      </w:r>
      <w:r>
        <w:rPr>
          <w:rFonts w:ascii="Arial" w:hAnsi="Arial" w:cs="Arial" w:eastAsia="Arial" w:hint="default"/>
          <w:spacing w:val="2"/>
        </w:rPr>
        <w:t> </w:t>
      </w:r>
      <w:r>
        <w:rPr/>
        <w:t>年</w:t>
      </w:r>
      <w:r>
        <w:rPr>
          <w:spacing w:val="-44"/>
        </w:rPr>
        <w:t> </w:t>
      </w:r>
      <w:r>
        <w:rPr>
          <w:rFonts w:ascii="Arial" w:hAnsi="Arial" w:cs="Arial" w:eastAsia="Arial" w:hint="default"/>
        </w:rPr>
        <w:t>7</w:t>
      </w:r>
      <w:r>
        <w:rPr>
          <w:rFonts w:ascii="Arial" w:hAnsi="Arial" w:cs="Arial" w:eastAsia="Arial" w:hint="default"/>
          <w:spacing w:val="2"/>
        </w:rPr>
        <w:t> </w:t>
      </w:r>
      <w:r>
        <w:rPr/>
        <w:t>月</w:t>
      </w:r>
      <w:r>
        <w:rPr>
          <w:spacing w:val="-44"/>
        </w:rPr>
        <w:t> </w:t>
      </w:r>
      <w:r>
        <w:rPr>
          <w:rFonts w:ascii="Arial" w:hAnsi="Arial" w:cs="Arial" w:eastAsia="Arial" w:hint="default"/>
        </w:rPr>
        <w:t>20</w:t>
      </w:r>
      <w:r>
        <w:rPr>
          <w:rFonts w:ascii="Arial" w:hAnsi="Arial" w:cs="Arial" w:eastAsia="Arial" w:hint="default"/>
          <w:spacing w:val="2"/>
        </w:rPr>
        <w:t> </w:t>
      </w:r>
      <w:r>
        <w:rPr/>
        <w:t>日以总股本</w:t>
      </w:r>
      <w:r>
        <w:rPr>
          <w:spacing w:val="-44"/>
        </w:rPr>
        <w:t> </w:t>
      </w:r>
      <w:r>
        <w:rPr>
          <w:rFonts w:ascii="Arial" w:hAnsi="Arial" w:cs="Arial" w:eastAsia="Arial" w:hint="default"/>
        </w:rPr>
        <w:t>10,640</w:t>
      </w:r>
      <w:r>
        <w:rPr>
          <w:rFonts w:ascii="Arial" w:hAnsi="Arial" w:cs="Arial" w:eastAsia="Arial" w:hint="default"/>
          <w:spacing w:val="4"/>
        </w:rPr>
        <w:t> </w:t>
      </w:r>
      <w:r>
        <w:rPr/>
        <w:t>万股为基数，以资本公积向全体</w:t>
      </w:r>
    </w:p>
    <w:p>
      <w:pPr>
        <w:pStyle w:val="BodyText"/>
        <w:spacing w:line="240" w:lineRule="auto" w:before="95"/>
        <w:ind w:right="0"/>
        <w:jc w:val="left"/>
        <w:rPr>
          <w:rFonts w:ascii="Arial" w:hAnsi="Arial" w:cs="Arial" w:eastAsia="Arial" w:hint="default"/>
        </w:rPr>
      </w:pPr>
      <w:r>
        <w:rPr>
          <w:w w:val="100"/>
        </w:rPr>
        <w:t>股东每</w:t>
      </w:r>
      <w:r>
        <w:rPr>
          <w:spacing w:val="-64"/>
        </w:rPr>
        <w:t> </w:t>
      </w:r>
      <w:r>
        <w:rPr>
          <w:rFonts w:ascii="Arial" w:hAnsi="Arial" w:cs="Arial" w:eastAsia="Arial" w:hint="default"/>
          <w:spacing w:val="-3"/>
          <w:w w:val="100"/>
        </w:rPr>
        <w:t>1</w:t>
      </w:r>
      <w:r>
        <w:rPr>
          <w:rFonts w:ascii="Arial" w:hAnsi="Arial" w:cs="Arial" w:eastAsia="Arial" w:hint="default"/>
          <w:w w:val="100"/>
        </w:rPr>
        <w:t>0</w:t>
      </w:r>
      <w:r>
        <w:rPr>
          <w:rFonts w:ascii="Arial" w:hAnsi="Arial" w:cs="Arial" w:eastAsia="Arial" w:hint="default"/>
          <w:spacing w:val="-16"/>
        </w:rPr>
        <w:t> </w:t>
      </w:r>
      <w:r>
        <w:rPr>
          <w:spacing w:val="-3"/>
          <w:w w:val="100"/>
        </w:rPr>
        <w:t>股</w:t>
      </w:r>
      <w:r>
        <w:rPr>
          <w:w w:val="100"/>
        </w:rPr>
        <w:t>转增</w:t>
      </w:r>
      <w:r>
        <w:rPr>
          <w:spacing w:val="-67"/>
        </w:rPr>
        <w:t> </w:t>
      </w:r>
      <w:r>
        <w:rPr>
          <w:rFonts w:ascii="Arial" w:hAnsi="Arial" w:cs="Arial" w:eastAsia="Arial" w:hint="default"/>
          <w:w w:val="100"/>
        </w:rPr>
        <w:t>9</w:t>
      </w:r>
      <w:r>
        <w:rPr>
          <w:rFonts w:ascii="Arial" w:hAnsi="Arial" w:cs="Arial" w:eastAsia="Arial" w:hint="default"/>
          <w:spacing w:val="-16"/>
        </w:rPr>
        <w:t> </w:t>
      </w:r>
      <w:r>
        <w:rPr>
          <w:w w:val="100"/>
        </w:rPr>
        <w:t>股</w:t>
      </w:r>
      <w:r>
        <w:rPr>
          <w:spacing w:val="-113"/>
          <w:w w:val="100"/>
        </w:rPr>
        <w:t>，</w:t>
      </w:r>
      <w:r>
        <w:rPr>
          <w:spacing w:val="-3"/>
          <w:w w:val="100"/>
        </w:rPr>
        <w:t>共</w:t>
      </w:r>
      <w:r>
        <w:rPr>
          <w:w w:val="100"/>
        </w:rPr>
        <w:t>计转增</w:t>
      </w:r>
      <w:r>
        <w:rPr>
          <w:spacing w:val="-64"/>
        </w:rPr>
        <w:t> </w:t>
      </w:r>
      <w:r>
        <w:rPr>
          <w:rFonts w:ascii="Arial" w:hAnsi="Arial" w:cs="Arial" w:eastAsia="Arial" w:hint="default"/>
          <w:spacing w:val="-3"/>
          <w:w w:val="100"/>
        </w:rPr>
        <w:t>9</w:t>
      </w:r>
      <w:r>
        <w:rPr>
          <w:rFonts w:ascii="Arial" w:hAnsi="Arial" w:cs="Arial" w:eastAsia="Arial" w:hint="default"/>
          <w:w w:val="100"/>
        </w:rPr>
        <w:t>,</w:t>
      </w:r>
      <w:r>
        <w:rPr>
          <w:rFonts w:ascii="Arial" w:hAnsi="Arial" w:cs="Arial" w:eastAsia="Arial" w:hint="default"/>
          <w:w w:val="100"/>
        </w:rPr>
        <w:t>5</w:t>
      </w:r>
      <w:r>
        <w:rPr>
          <w:rFonts w:ascii="Arial" w:hAnsi="Arial" w:cs="Arial" w:eastAsia="Arial" w:hint="default"/>
          <w:spacing w:val="-1"/>
          <w:w w:val="100"/>
        </w:rPr>
        <w:t>7</w:t>
      </w:r>
      <w:r>
        <w:rPr>
          <w:rFonts w:ascii="Arial" w:hAnsi="Arial" w:cs="Arial" w:eastAsia="Arial" w:hint="default"/>
          <w:w w:val="100"/>
        </w:rPr>
        <w:t>6</w:t>
      </w:r>
      <w:r>
        <w:rPr>
          <w:rFonts w:ascii="Arial" w:hAnsi="Arial" w:cs="Arial" w:eastAsia="Arial" w:hint="default"/>
          <w:spacing w:val="-19"/>
        </w:rPr>
        <w:t> </w:t>
      </w:r>
      <w:r>
        <w:rPr>
          <w:w w:val="100"/>
        </w:rPr>
        <w:t>万股</w:t>
      </w:r>
      <w:r>
        <w:rPr>
          <w:spacing w:val="-113"/>
          <w:w w:val="100"/>
        </w:rPr>
        <w:t>。</w:t>
      </w:r>
      <w:r>
        <w:rPr>
          <w:w w:val="100"/>
        </w:rPr>
        <w:t>截至</w:t>
      </w:r>
      <w:r>
        <w:rPr>
          <w:spacing w:val="-67"/>
        </w:rPr>
        <w:t> </w:t>
      </w:r>
      <w:r>
        <w:rPr>
          <w:rFonts w:ascii="Arial" w:hAnsi="Arial" w:cs="Arial" w:eastAsia="Arial" w:hint="default"/>
          <w:spacing w:val="-1"/>
          <w:w w:val="100"/>
        </w:rPr>
        <w:t>201</w:t>
      </w:r>
      <w:r>
        <w:rPr>
          <w:rFonts w:ascii="Arial" w:hAnsi="Arial" w:cs="Arial" w:eastAsia="Arial" w:hint="default"/>
          <w:w w:val="100"/>
        </w:rPr>
        <w:t>2</w:t>
      </w:r>
      <w:r>
        <w:rPr>
          <w:rFonts w:ascii="Arial" w:hAnsi="Arial" w:cs="Arial" w:eastAsia="Arial" w:hint="default"/>
          <w:spacing w:val="-16"/>
        </w:rPr>
        <w:t> </w:t>
      </w:r>
      <w:r>
        <w:rPr>
          <w:w w:val="100"/>
        </w:rPr>
        <w:t>年</w:t>
      </w:r>
      <w:r>
        <w:rPr>
          <w:spacing w:val="-65"/>
        </w:rPr>
        <w:t> </w:t>
      </w:r>
      <w:r>
        <w:rPr>
          <w:rFonts w:ascii="Arial" w:hAnsi="Arial" w:cs="Arial" w:eastAsia="Arial" w:hint="default"/>
          <w:spacing w:val="-3"/>
          <w:w w:val="100"/>
        </w:rPr>
        <w:t>1</w:t>
      </w:r>
      <w:r>
        <w:rPr>
          <w:rFonts w:ascii="Arial" w:hAnsi="Arial" w:cs="Arial" w:eastAsia="Arial" w:hint="default"/>
          <w:w w:val="100"/>
        </w:rPr>
        <w:t>2</w:t>
      </w:r>
      <w:r>
        <w:rPr>
          <w:rFonts w:ascii="Arial" w:hAnsi="Arial" w:cs="Arial" w:eastAsia="Arial" w:hint="default"/>
          <w:spacing w:val="-19"/>
        </w:rPr>
        <w:t> </w:t>
      </w:r>
      <w:r>
        <w:rPr>
          <w:w w:val="100"/>
        </w:rPr>
        <w:t>月</w:t>
      </w:r>
      <w:r>
        <w:rPr>
          <w:spacing w:val="-65"/>
        </w:rPr>
        <w:t> </w:t>
      </w:r>
      <w:r>
        <w:rPr>
          <w:rFonts w:ascii="Arial" w:hAnsi="Arial" w:cs="Arial" w:eastAsia="Arial" w:hint="default"/>
          <w:spacing w:val="-1"/>
          <w:w w:val="100"/>
        </w:rPr>
        <w:t>3</w:t>
      </w:r>
      <w:r>
        <w:rPr>
          <w:rFonts w:ascii="Arial" w:hAnsi="Arial" w:cs="Arial" w:eastAsia="Arial" w:hint="default"/>
          <w:w w:val="100"/>
        </w:rPr>
        <w:t>1</w:t>
      </w:r>
      <w:r>
        <w:rPr>
          <w:rFonts w:ascii="Arial" w:hAnsi="Arial" w:cs="Arial" w:eastAsia="Arial" w:hint="default"/>
          <w:spacing w:val="-16"/>
        </w:rPr>
        <w:t> </w:t>
      </w:r>
      <w:r>
        <w:rPr>
          <w:spacing w:val="-3"/>
          <w:w w:val="100"/>
        </w:rPr>
        <w:t>日</w:t>
      </w:r>
      <w:r>
        <w:rPr>
          <w:spacing w:val="-111"/>
          <w:w w:val="100"/>
        </w:rPr>
        <w:t>，</w:t>
      </w:r>
      <w:r>
        <w:rPr>
          <w:w w:val="100"/>
        </w:rPr>
        <w:t>公</w:t>
      </w:r>
      <w:r>
        <w:rPr>
          <w:spacing w:val="-3"/>
          <w:w w:val="100"/>
        </w:rPr>
        <w:t>司</w:t>
      </w:r>
      <w:r>
        <w:rPr>
          <w:w w:val="100"/>
        </w:rPr>
        <w:t>累计发</w:t>
      </w:r>
      <w:r>
        <w:rPr>
          <w:spacing w:val="-3"/>
          <w:w w:val="100"/>
        </w:rPr>
        <w:t>行</w:t>
      </w:r>
      <w:r>
        <w:rPr>
          <w:w w:val="100"/>
        </w:rPr>
        <w:t>股本</w:t>
      </w:r>
      <w:r>
        <w:rPr>
          <w:spacing w:val="-3"/>
          <w:w w:val="100"/>
        </w:rPr>
        <w:t>总</w:t>
      </w:r>
      <w:r>
        <w:rPr>
          <w:w w:val="100"/>
        </w:rPr>
        <w:t>数</w:t>
      </w:r>
      <w:r>
        <w:rPr>
          <w:spacing w:val="-64"/>
        </w:rPr>
        <w:t> </w:t>
      </w:r>
      <w:r>
        <w:rPr>
          <w:rFonts w:ascii="Arial" w:hAnsi="Arial" w:cs="Arial" w:eastAsia="Arial" w:hint="default"/>
          <w:w w:val="100"/>
        </w:rPr>
        <w:t>2</w:t>
      </w:r>
      <w:r>
        <w:rPr>
          <w:rFonts w:ascii="Arial" w:hAnsi="Arial" w:cs="Arial" w:eastAsia="Arial" w:hint="default"/>
          <w:spacing w:val="-4"/>
          <w:w w:val="100"/>
        </w:rPr>
        <w:t>0</w:t>
      </w:r>
      <w:r>
        <w:rPr>
          <w:rFonts w:ascii="Arial" w:hAnsi="Arial" w:cs="Arial" w:eastAsia="Arial" w:hint="default"/>
          <w:w w:val="100"/>
        </w:rPr>
        <w:t>,</w:t>
      </w:r>
      <w:r>
        <w:rPr>
          <w:rFonts w:ascii="Arial" w:hAnsi="Arial" w:cs="Arial" w:eastAsia="Arial" w:hint="default"/>
          <w:w w:val="100"/>
        </w:rPr>
        <w:t>2</w:t>
      </w:r>
      <w:r>
        <w:rPr>
          <w:rFonts w:ascii="Arial" w:hAnsi="Arial" w:cs="Arial" w:eastAsia="Arial" w:hint="default"/>
          <w:spacing w:val="-4"/>
          <w:w w:val="100"/>
        </w:rPr>
        <w:t>1</w:t>
      </w:r>
      <w:r>
        <w:rPr>
          <w:rFonts w:ascii="Arial" w:hAnsi="Arial" w:cs="Arial" w:eastAsia="Arial" w:hint="default"/>
          <w:w w:val="100"/>
        </w:rPr>
        <w:t>6</w:t>
      </w:r>
    </w:p>
    <w:p>
      <w:pPr>
        <w:pStyle w:val="BodyText"/>
        <w:spacing w:line="240" w:lineRule="auto" w:before="97"/>
        <w:ind w:right="1133"/>
        <w:jc w:val="left"/>
      </w:pPr>
      <w:r>
        <w:rPr/>
        <w:t>万股，其中上海船舶运输科学研究所持有</w:t>
      </w:r>
      <w:r>
        <w:rPr>
          <w:spacing w:val="-50"/>
        </w:rPr>
        <w:t> </w:t>
      </w:r>
      <w:r>
        <w:rPr>
          <w:rFonts w:ascii="Arial" w:hAnsi="Arial" w:cs="Arial" w:eastAsia="Arial" w:hint="default"/>
          <w:spacing w:val="-3"/>
        </w:rPr>
        <w:t>11,281.6855</w:t>
      </w:r>
      <w:r>
        <w:rPr>
          <w:rFonts w:ascii="Arial" w:hAnsi="Arial" w:cs="Arial" w:eastAsia="Arial" w:hint="default"/>
          <w:spacing w:val="-2"/>
        </w:rPr>
        <w:t> </w:t>
      </w:r>
      <w:r>
        <w:rPr/>
        <w:t>万股，持股比例为</w:t>
      </w:r>
      <w:r>
        <w:rPr>
          <w:spacing w:val="-51"/>
        </w:rPr>
        <w:t> </w:t>
      </w:r>
      <w:r>
        <w:rPr>
          <w:rFonts w:ascii="Arial" w:hAnsi="Arial" w:cs="Arial" w:eastAsia="Arial" w:hint="default"/>
        </w:rPr>
        <w:t>55.81%</w:t>
      </w:r>
      <w:r>
        <w:rPr/>
        <w:t>。</w:t>
      </w:r>
    </w:p>
    <w:p>
      <w:pPr>
        <w:pStyle w:val="BodyText"/>
        <w:spacing w:line="240" w:lineRule="auto" w:before="135"/>
        <w:ind w:left="592" w:right="0"/>
        <w:jc w:val="left"/>
      </w:pPr>
      <w:r>
        <w:rPr>
          <w:rFonts w:ascii="Arial" w:hAnsi="Arial" w:cs="Arial" w:eastAsia="Arial" w:hint="default"/>
        </w:rPr>
        <w:t>2014</w:t>
      </w:r>
      <w:r>
        <w:rPr>
          <w:rFonts w:ascii="Arial" w:hAnsi="Arial" w:cs="Arial" w:eastAsia="Arial" w:hint="default"/>
          <w:spacing w:val="-10"/>
        </w:rPr>
        <w:t> </w:t>
      </w:r>
      <w:r>
        <w:rPr/>
        <w:t>年</w:t>
      </w:r>
      <w:r>
        <w:rPr>
          <w:spacing w:val="-59"/>
        </w:rPr>
        <w:t> </w:t>
      </w:r>
      <w:r>
        <w:rPr>
          <w:rFonts w:ascii="Arial" w:hAnsi="Arial" w:cs="Arial" w:eastAsia="Arial" w:hint="default"/>
        </w:rPr>
        <w:t>4</w:t>
      </w:r>
      <w:r>
        <w:rPr>
          <w:rFonts w:ascii="Arial" w:hAnsi="Arial" w:cs="Arial" w:eastAsia="Arial" w:hint="default"/>
          <w:spacing w:val="-10"/>
        </w:rPr>
        <w:t> </w:t>
      </w:r>
      <w:r>
        <w:rPr/>
        <w:t>月</w:t>
      </w:r>
      <w:r>
        <w:rPr>
          <w:spacing w:val="-59"/>
        </w:rPr>
        <w:t> </w:t>
      </w:r>
      <w:r>
        <w:rPr>
          <w:rFonts w:ascii="Arial" w:hAnsi="Arial" w:cs="Arial" w:eastAsia="Arial" w:hint="default"/>
        </w:rPr>
        <w:t>18</w:t>
      </w:r>
      <w:r>
        <w:rPr>
          <w:rFonts w:ascii="Arial" w:hAnsi="Arial" w:cs="Arial" w:eastAsia="Arial" w:hint="default"/>
          <w:spacing w:val="-10"/>
        </w:rPr>
        <w:t> </w:t>
      </w:r>
      <w:r>
        <w:rPr/>
        <w:t>日，根据公司第四届董事会第三十一次会议决议及</w:t>
      </w:r>
      <w:r>
        <w:rPr>
          <w:spacing w:val="-58"/>
        </w:rPr>
        <w:t> </w:t>
      </w:r>
      <w:r>
        <w:rPr>
          <w:rFonts w:ascii="Arial" w:hAnsi="Arial" w:cs="Arial" w:eastAsia="Arial" w:hint="default"/>
        </w:rPr>
        <w:t>2013</w:t>
      </w:r>
      <w:r>
        <w:rPr>
          <w:rFonts w:ascii="Arial" w:hAnsi="Arial" w:cs="Arial" w:eastAsia="Arial" w:hint="default"/>
          <w:spacing w:val="-10"/>
        </w:rPr>
        <w:t> </w:t>
      </w:r>
      <w:r>
        <w:rPr/>
        <w:t>年度股东大会审议通过</w:t>
      </w:r>
    </w:p>
    <w:p>
      <w:pPr>
        <w:pStyle w:val="BodyText"/>
        <w:spacing w:line="240" w:lineRule="auto" w:before="97"/>
        <w:ind w:right="0"/>
        <w:jc w:val="left"/>
      </w:pPr>
      <w:r>
        <w:rPr/>
        <w:t>的</w:t>
      </w:r>
      <w:r>
        <w:rPr>
          <w:spacing w:val="-52"/>
        </w:rPr>
        <w:t> </w:t>
      </w:r>
      <w:r>
        <w:rPr>
          <w:rFonts w:ascii="Arial" w:hAnsi="Arial" w:cs="Arial" w:eastAsia="Arial" w:hint="default"/>
        </w:rPr>
        <w:t>2013</w:t>
      </w:r>
      <w:r>
        <w:rPr>
          <w:rFonts w:ascii="Arial" w:hAnsi="Arial" w:cs="Arial" w:eastAsia="Arial" w:hint="default"/>
          <w:spacing w:val="-4"/>
        </w:rPr>
        <w:t> </w:t>
      </w:r>
      <w:r>
        <w:rPr>
          <w:spacing w:val="-5"/>
        </w:rPr>
        <w:t>年度权益分配方案，公司</w:t>
      </w:r>
      <w:r>
        <w:rPr>
          <w:spacing w:val="-52"/>
        </w:rPr>
        <w:t> </w:t>
      </w:r>
      <w:r>
        <w:rPr>
          <w:rFonts w:ascii="Arial" w:hAnsi="Arial" w:cs="Arial" w:eastAsia="Arial" w:hint="default"/>
        </w:rPr>
        <w:t>2014</w:t>
      </w:r>
      <w:r>
        <w:rPr>
          <w:rFonts w:ascii="Arial" w:hAnsi="Arial" w:cs="Arial" w:eastAsia="Arial" w:hint="default"/>
          <w:spacing w:val="-4"/>
        </w:rPr>
        <w:t> </w:t>
      </w:r>
      <w:r>
        <w:rPr/>
        <w:t>年</w:t>
      </w:r>
      <w:r>
        <w:rPr>
          <w:spacing w:val="-52"/>
        </w:rPr>
        <w:t> </w:t>
      </w:r>
      <w:r>
        <w:rPr>
          <w:rFonts w:ascii="Arial" w:hAnsi="Arial" w:cs="Arial" w:eastAsia="Arial" w:hint="default"/>
        </w:rPr>
        <w:t>5</w:t>
      </w:r>
      <w:r>
        <w:rPr>
          <w:rFonts w:ascii="Arial" w:hAnsi="Arial" w:cs="Arial" w:eastAsia="Arial" w:hint="default"/>
          <w:spacing w:val="-6"/>
        </w:rPr>
        <w:t> </w:t>
      </w:r>
      <w:r>
        <w:rPr/>
        <w:t>月</w:t>
      </w:r>
      <w:r>
        <w:rPr>
          <w:spacing w:val="-52"/>
        </w:rPr>
        <w:t> </w:t>
      </w:r>
      <w:r>
        <w:rPr>
          <w:rFonts w:ascii="Arial" w:hAnsi="Arial" w:cs="Arial" w:eastAsia="Arial" w:hint="default"/>
        </w:rPr>
        <w:t>9</w:t>
      </w:r>
      <w:r>
        <w:rPr>
          <w:rFonts w:ascii="Arial" w:hAnsi="Arial" w:cs="Arial" w:eastAsia="Arial" w:hint="default"/>
          <w:spacing w:val="-6"/>
        </w:rPr>
        <w:t> </w:t>
      </w:r>
      <w:r>
        <w:rPr/>
        <w:t>日以总股本</w:t>
      </w:r>
      <w:r>
        <w:rPr>
          <w:spacing w:val="-52"/>
        </w:rPr>
        <w:t> </w:t>
      </w:r>
      <w:r>
        <w:rPr>
          <w:rFonts w:ascii="Arial" w:hAnsi="Arial" w:cs="Arial" w:eastAsia="Arial" w:hint="default"/>
        </w:rPr>
        <w:t>20,216</w:t>
      </w:r>
      <w:r>
        <w:rPr>
          <w:rFonts w:ascii="Arial" w:hAnsi="Arial" w:cs="Arial" w:eastAsia="Arial" w:hint="default"/>
          <w:spacing w:val="-6"/>
        </w:rPr>
        <w:t> </w:t>
      </w:r>
      <w:r>
        <w:rPr>
          <w:spacing w:val="-4"/>
        </w:rPr>
        <w:t>万股为基数，以资本公积向全体</w:t>
      </w:r>
    </w:p>
    <w:p>
      <w:pPr>
        <w:pStyle w:val="BodyText"/>
        <w:spacing w:line="240" w:lineRule="auto" w:before="97"/>
        <w:ind w:right="0"/>
        <w:jc w:val="left"/>
      </w:pPr>
      <w:r>
        <w:rPr/>
        <w:t>股东每</w:t>
      </w:r>
      <w:r>
        <w:rPr>
          <w:spacing w:val="-44"/>
        </w:rPr>
        <w:t> </w:t>
      </w:r>
      <w:r>
        <w:rPr>
          <w:rFonts w:ascii="Arial" w:hAnsi="Arial" w:cs="Arial" w:eastAsia="Arial" w:hint="default"/>
        </w:rPr>
        <w:t>10</w:t>
      </w:r>
      <w:r>
        <w:rPr>
          <w:rFonts w:ascii="Arial" w:hAnsi="Arial" w:cs="Arial" w:eastAsia="Arial" w:hint="default"/>
          <w:spacing w:val="4"/>
        </w:rPr>
        <w:t> </w:t>
      </w:r>
      <w:r>
        <w:rPr/>
        <w:t>股转增</w:t>
      </w:r>
      <w:r>
        <w:rPr>
          <w:spacing w:val="-44"/>
        </w:rPr>
        <w:t> </w:t>
      </w:r>
      <w:r>
        <w:rPr>
          <w:rFonts w:ascii="Arial" w:hAnsi="Arial" w:cs="Arial" w:eastAsia="Arial" w:hint="default"/>
        </w:rPr>
        <w:t>5</w:t>
      </w:r>
      <w:r>
        <w:rPr>
          <w:rFonts w:ascii="Arial" w:hAnsi="Arial" w:cs="Arial" w:eastAsia="Arial" w:hint="default"/>
          <w:spacing w:val="4"/>
        </w:rPr>
        <w:t> </w:t>
      </w:r>
      <w:r>
        <w:rPr/>
        <w:t>股，共计转增</w:t>
      </w:r>
      <w:r>
        <w:rPr>
          <w:spacing w:val="-44"/>
        </w:rPr>
        <w:t> </w:t>
      </w:r>
      <w:r>
        <w:rPr>
          <w:rFonts w:ascii="Arial" w:hAnsi="Arial" w:cs="Arial" w:eastAsia="Arial" w:hint="default"/>
        </w:rPr>
        <w:t>10,108</w:t>
      </w:r>
      <w:r>
        <w:rPr>
          <w:rFonts w:ascii="Arial" w:hAnsi="Arial" w:cs="Arial" w:eastAsia="Arial" w:hint="default"/>
          <w:spacing w:val="2"/>
        </w:rPr>
        <w:t> </w:t>
      </w:r>
      <w:r>
        <w:rPr/>
        <w:t>万股。截至</w:t>
      </w:r>
      <w:r>
        <w:rPr>
          <w:spacing w:val="-44"/>
        </w:rPr>
        <w:t> </w:t>
      </w:r>
      <w:r>
        <w:rPr>
          <w:rFonts w:ascii="Arial" w:hAnsi="Arial" w:cs="Arial" w:eastAsia="Arial" w:hint="default"/>
        </w:rPr>
        <w:t>2014</w:t>
      </w:r>
      <w:r>
        <w:rPr>
          <w:rFonts w:ascii="Arial" w:hAnsi="Arial" w:cs="Arial" w:eastAsia="Arial" w:hint="default"/>
          <w:spacing w:val="2"/>
        </w:rPr>
        <w:t> </w:t>
      </w:r>
      <w:r>
        <w:rPr/>
        <w:t>年</w:t>
      </w:r>
      <w:r>
        <w:rPr>
          <w:spacing w:val="-44"/>
        </w:rPr>
        <w:t> </w:t>
      </w:r>
      <w:r>
        <w:rPr>
          <w:rFonts w:ascii="Arial" w:hAnsi="Arial" w:cs="Arial" w:eastAsia="Arial" w:hint="default"/>
        </w:rPr>
        <w:t>12</w:t>
      </w:r>
      <w:r>
        <w:rPr>
          <w:rFonts w:ascii="Arial" w:hAnsi="Arial" w:cs="Arial" w:eastAsia="Arial" w:hint="default"/>
          <w:spacing w:val="2"/>
        </w:rPr>
        <w:t> </w:t>
      </w:r>
      <w:r>
        <w:rPr/>
        <w:t>月</w:t>
      </w:r>
      <w:r>
        <w:rPr>
          <w:spacing w:val="-44"/>
        </w:rPr>
        <w:t> </w:t>
      </w:r>
      <w:r>
        <w:rPr>
          <w:rFonts w:ascii="Arial" w:hAnsi="Arial" w:cs="Arial" w:eastAsia="Arial" w:hint="default"/>
        </w:rPr>
        <w:t>31</w:t>
      </w:r>
      <w:r>
        <w:rPr>
          <w:rFonts w:ascii="Arial" w:hAnsi="Arial" w:cs="Arial" w:eastAsia="Arial" w:hint="default"/>
          <w:spacing w:val="2"/>
        </w:rPr>
        <w:t> </w:t>
      </w:r>
      <w:r>
        <w:rPr/>
        <w:t>日，公司累计发行股本总数</w:t>
      </w:r>
    </w:p>
    <w:p>
      <w:pPr>
        <w:pStyle w:val="BodyText"/>
        <w:spacing w:line="240" w:lineRule="auto" w:before="95"/>
        <w:ind w:right="1133"/>
        <w:jc w:val="left"/>
      </w:pPr>
      <w:r>
        <w:rPr>
          <w:rFonts w:ascii="Arial" w:hAnsi="Arial" w:cs="Arial" w:eastAsia="Arial" w:hint="default"/>
        </w:rPr>
        <w:t>30,324</w:t>
      </w:r>
      <w:r>
        <w:rPr>
          <w:rFonts w:ascii="Arial" w:hAnsi="Arial" w:cs="Arial" w:eastAsia="Arial" w:hint="default"/>
          <w:spacing w:val="-9"/>
        </w:rPr>
        <w:t> </w:t>
      </w:r>
      <w:r>
        <w:rPr/>
        <w:t>万股，其中上海船舶运输科学研究所持有</w:t>
      </w:r>
      <w:r>
        <w:rPr>
          <w:spacing w:val="-58"/>
        </w:rPr>
        <w:t> </w:t>
      </w:r>
      <w:r>
        <w:rPr>
          <w:rFonts w:ascii="Arial" w:hAnsi="Arial" w:cs="Arial" w:eastAsia="Arial" w:hint="default"/>
        </w:rPr>
        <w:t>16,922.5282</w:t>
      </w:r>
      <w:r>
        <w:rPr>
          <w:rFonts w:ascii="Arial" w:hAnsi="Arial" w:cs="Arial" w:eastAsia="Arial" w:hint="default"/>
          <w:spacing w:val="-9"/>
        </w:rPr>
        <w:t> </w:t>
      </w:r>
      <w:r>
        <w:rPr/>
        <w:t>万股，持股比例为</w:t>
      </w:r>
      <w:r>
        <w:rPr>
          <w:spacing w:val="-58"/>
        </w:rPr>
        <w:t> </w:t>
      </w:r>
      <w:r>
        <w:rPr>
          <w:rFonts w:ascii="Arial" w:hAnsi="Arial" w:cs="Arial" w:eastAsia="Arial" w:hint="default"/>
        </w:rPr>
        <w:t>55.81%</w:t>
      </w:r>
      <w:r>
        <w:rPr/>
        <w:t>。</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316" w:lineRule="auto" w:before="173"/>
        <w:ind w:right="1130" w:firstLine="439"/>
        <w:jc w:val="both"/>
      </w:pPr>
      <w:r>
        <w:rPr>
          <w:rFonts w:ascii="Arial" w:hAnsi="Arial" w:cs="Arial" w:eastAsia="Arial" w:hint="default"/>
        </w:rPr>
        <w:t>2015</w:t>
      </w:r>
      <w:r>
        <w:rPr>
          <w:rFonts w:ascii="Arial" w:hAnsi="Arial" w:cs="Arial" w:eastAsia="Arial" w:hint="default"/>
          <w:spacing w:val="-2"/>
        </w:rPr>
        <w:t> </w:t>
      </w:r>
      <w:r>
        <w:rPr/>
        <w:t>年</w:t>
      </w:r>
      <w:r>
        <w:rPr>
          <w:spacing w:val="-50"/>
        </w:rPr>
        <w:t> </w:t>
      </w:r>
      <w:r>
        <w:rPr>
          <w:rFonts w:ascii="Arial" w:hAnsi="Arial" w:cs="Arial" w:eastAsia="Arial" w:hint="default"/>
        </w:rPr>
        <w:t>5</w:t>
      </w:r>
      <w:r>
        <w:rPr>
          <w:rFonts w:ascii="Arial" w:hAnsi="Arial" w:cs="Arial" w:eastAsia="Arial" w:hint="default"/>
          <w:spacing w:val="-2"/>
        </w:rPr>
        <w:t> </w:t>
      </w:r>
      <w:r>
        <w:rPr/>
        <w:t>月</w:t>
      </w:r>
      <w:r>
        <w:rPr>
          <w:spacing w:val="-50"/>
        </w:rPr>
        <w:t> </w:t>
      </w:r>
      <w:r>
        <w:rPr>
          <w:rFonts w:ascii="Arial" w:hAnsi="Arial" w:cs="Arial" w:eastAsia="Arial" w:hint="default"/>
        </w:rPr>
        <w:t>21</w:t>
      </w:r>
      <w:r>
        <w:rPr>
          <w:rFonts w:ascii="Arial" w:hAnsi="Arial" w:cs="Arial" w:eastAsia="Arial" w:hint="default"/>
          <w:spacing w:val="-2"/>
        </w:rPr>
        <w:t> </w:t>
      </w:r>
      <w:r>
        <w:rPr/>
        <w:t>日至</w:t>
      </w:r>
      <w:r>
        <w:rPr>
          <w:spacing w:val="-50"/>
        </w:rPr>
        <w:t> </w:t>
      </w:r>
      <w:r>
        <w:rPr>
          <w:rFonts w:ascii="Arial" w:hAnsi="Arial" w:cs="Arial" w:eastAsia="Arial" w:hint="default"/>
        </w:rPr>
        <w:t>2015</w:t>
      </w:r>
      <w:r>
        <w:rPr>
          <w:rFonts w:ascii="Arial" w:hAnsi="Arial" w:cs="Arial" w:eastAsia="Arial" w:hint="default"/>
          <w:spacing w:val="-1"/>
        </w:rPr>
        <w:t> </w:t>
      </w:r>
      <w:r>
        <w:rPr/>
        <w:t>年</w:t>
      </w:r>
      <w:r>
        <w:rPr>
          <w:spacing w:val="-50"/>
        </w:rPr>
        <w:t> </w:t>
      </w:r>
      <w:r>
        <w:rPr>
          <w:rFonts w:ascii="Arial" w:hAnsi="Arial" w:cs="Arial" w:eastAsia="Arial" w:hint="default"/>
        </w:rPr>
        <w:t>5</w:t>
      </w:r>
      <w:r>
        <w:rPr>
          <w:rFonts w:ascii="Arial" w:hAnsi="Arial" w:cs="Arial" w:eastAsia="Arial" w:hint="default"/>
          <w:spacing w:val="-2"/>
        </w:rPr>
        <w:t> </w:t>
      </w:r>
      <w:r>
        <w:rPr/>
        <w:t>月</w:t>
      </w:r>
      <w:r>
        <w:rPr>
          <w:spacing w:val="-50"/>
        </w:rPr>
        <w:t> </w:t>
      </w:r>
      <w:r>
        <w:rPr>
          <w:rFonts w:ascii="Arial" w:hAnsi="Arial" w:cs="Arial" w:eastAsia="Arial" w:hint="default"/>
        </w:rPr>
        <w:t>26</w:t>
      </w:r>
      <w:r>
        <w:rPr>
          <w:rFonts w:ascii="Arial" w:hAnsi="Arial" w:cs="Arial" w:eastAsia="Arial" w:hint="default"/>
          <w:spacing w:val="-2"/>
        </w:rPr>
        <w:t> </w:t>
      </w:r>
      <w:r>
        <w:rPr/>
        <w:t>日公司母公司上海船舶运输科学研究所通过证券交易系统</w:t>
      </w:r>
      <w:r>
        <w:rPr>
          <w:w w:val="100"/>
        </w:rPr>
        <w:t> </w:t>
      </w:r>
      <w:r>
        <w:rPr/>
        <w:t>以集中竞价方式合计减持公司无限售条件流通股</w:t>
      </w:r>
      <w:r>
        <w:rPr>
          <w:spacing w:val="-53"/>
        </w:rPr>
        <w:t> </w:t>
      </w:r>
      <w:r>
        <w:rPr>
          <w:rFonts w:ascii="Arial" w:hAnsi="Arial" w:cs="Arial" w:eastAsia="Arial" w:hint="default"/>
        </w:rPr>
        <w:t>694.8015</w:t>
      </w:r>
      <w:r>
        <w:rPr>
          <w:rFonts w:ascii="Arial" w:hAnsi="Arial" w:cs="Arial" w:eastAsia="Arial" w:hint="default"/>
          <w:spacing w:val="-5"/>
        </w:rPr>
        <w:t> </w:t>
      </w:r>
      <w:r>
        <w:rPr/>
        <w:t>万股股份，减持</w:t>
      </w:r>
      <w:r>
        <w:rPr>
          <w:spacing w:val="-56"/>
        </w:rPr>
        <w:t> </w:t>
      </w:r>
      <w:r>
        <w:rPr>
          <w:rFonts w:ascii="Arial" w:hAnsi="Arial" w:cs="Arial" w:eastAsia="Arial" w:hint="default"/>
        </w:rPr>
        <w:t>2.29%</w:t>
      </w:r>
      <w:r>
        <w:rPr/>
        <w:t>，本次减持后，上</w:t>
      </w:r>
      <w:r>
        <w:rPr>
          <w:w w:val="100"/>
        </w:rPr>
        <w:t> </w:t>
      </w:r>
      <w:r>
        <w:rPr/>
        <w:t>海船舶运输科学研究所持有本公司股份</w:t>
      </w:r>
      <w:r>
        <w:rPr>
          <w:spacing w:val="-50"/>
        </w:rPr>
        <w:t> </w:t>
      </w:r>
      <w:r>
        <w:rPr>
          <w:rFonts w:ascii="Arial" w:hAnsi="Arial" w:cs="Arial" w:eastAsia="Arial" w:hint="default"/>
        </w:rPr>
        <w:t>16,227.7267</w:t>
      </w:r>
      <w:r>
        <w:rPr>
          <w:rFonts w:ascii="Arial" w:hAnsi="Arial" w:cs="Arial" w:eastAsia="Arial" w:hint="default"/>
          <w:spacing w:val="-3"/>
        </w:rPr>
        <w:t> </w:t>
      </w:r>
      <w:r>
        <w:rPr/>
        <w:t>万股股份，持股比例为</w:t>
      </w:r>
      <w:r>
        <w:rPr>
          <w:spacing w:val="-51"/>
        </w:rPr>
        <w:t> </w:t>
      </w:r>
      <w:r>
        <w:rPr>
          <w:rFonts w:ascii="Arial" w:hAnsi="Arial" w:cs="Arial" w:eastAsia="Arial" w:hint="default"/>
        </w:rPr>
        <w:t>53.51%</w:t>
      </w:r>
      <w:r>
        <w:rPr/>
        <w:t>，仍为本公司的</w:t>
      </w:r>
      <w:r>
        <w:rPr>
          <w:w w:val="100"/>
        </w:rPr>
        <w:t> </w:t>
      </w:r>
      <w:r>
        <w:rPr/>
        <w:t>控股股东。</w:t>
      </w:r>
    </w:p>
    <w:p>
      <w:pPr>
        <w:pStyle w:val="BodyText"/>
        <w:spacing w:line="240" w:lineRule="auto" w:before="81"/>
        <w:ind w:left="592" w:right="0"/>
        <w:jc w:val="left"/>
      </w:pPr>
      <w:r>
        <w:rPr>
          <w:rFonts w:ascii="Arial" w:hAnsi="Arial" w:cs="Arial" w:eastAsia="Arial" w:hint="default"/>
        </w:rPr>
        <w:t>2015</w:t>
      </w:r>
      <w:r>
        <w:rPr>
          <w:rFonts w:ascii="Arial" w:hAnsi="Arial" w:cs="Arial" w:eastAsia="Arial" w:hint="default"/>
          <w:spacing w:val="-23"/>
        </w:rPr>
        <w:t> </w:t>
      </w:r>
      <w:r>
        <w:rPr/>
        <w:t>年</w:t>
      </w:r>
      <w:r>
        <w:rPr>
          <w:spacing w:val="-72"/>
        </w:rPr>
        <w:t> </w:t>
      </w:r>
      <w:r>
        <w:rPr>
          <w:rFonts w:ascii="Arial" w:hAnsi="Arial" w:cs="Arial" w:eastAsia="Arial" w:hint="default"/>
        </w:rPr>
        <w:t>7</w:t>
      </w:r>
      <w:r>
        <w:rPr>
          <w:rFonts w:ascii="Arial" w:hAnsi="Arial" w:cs="Arial" w:eastAsia="Arial" w:hint="default"/>
          <w:spacing w:val="-26"/>
        </w:rPr>
        <w:t> </w:t>
      </w:r>
      <w:r>
        <w:rPr/>
        <w:t>月</w:t>
      </w:r>
      <w:r>
        <w:rPr>
          <w:spacing w:val="-72"/>
        </w:rPr>
        <w:t> </w:t>
      </w:r>
      <w:r>
        <w:rPr>
          <w:rFonts w:ascii="Arial" w:hAnsi="Arial" w:cs="Arial" w:eastAsia="Arial" w:hint="default"/>
        </w:rPr>
        <w:t>28</w:t>
      </w:r>
      <w:r>
        <w:rPr>
          <w:rFonts w:ascii="Arial" w:hAnsi="Arial" w:cs="Arial" w:eastAsia="Arial" w:hint="default"/>
          <w:spacing w:val="-23"/>
        </w:rPr>
        <w:t> </w:t>
      </w:r>
      <w:r>
        <w:rPr/>
        <w:t>日公司母公司上海船舶运输科学研究所以定向资产管理方式通过深圳证券交易所</w:t>
      </w:r>
    </w:p>
    <w:p>
      <w:pPr>
        <w:pStyle w:val="BodyText"/>
        <w:spacing w:line="240" w:lineRule="auto" w:before="97"/>
        <w:ind w:right="0"/>
        <w:jc w:val="both"/>
      </w:pPr>
      <w:r>
        <w:rPr>
          <w:spacing w:val="9"/>
        </w:rPr>
        <w:t>交易系统增持本公司 </w:t>
      </w:r>
      <w:r>
        <w:rPr>
          <w:rFonts w:ascii="Arial" w:hAnsi="Arial" w:cs="Arial" w:eastAsia="Arial" w:hint="default"/>
        </w:rPr>
        <w:t>60.60  </w:t>
      </w:r>
      <w:r>
        <w:rPr>
          <w:rFonts w:ascii="Arial" w:hAnsi="Arial" w:cs="Arial" w:eastAsia="Arial" w:hint="default"/>
          <w:spacing w:val="24"/>
        </w:rPr>
        <w:t> </w:t>
      </w:r>
      <w:r>
        <w:rPr>
          <w:spacing w:val="10"/>
        </w:rPr>
        <w:t>万股股份，本次增持后，上海船舶运输科学研究所持有本公司股份</w:t>
      </w:r>
    </w:p>
    <w:p>
      <w:pPr>
        <w:pStyle w:val="BodyText"/>
        <w:spacing w:line="240" w:lineRule="auto" w:before="97"/>
        <w:ind w:right="0"/>
        <w:jc w:val="both"/>
      </w:pPr>
      <w:r>
        <w:rPr>
          <w:rFonts w:ascii="Arial" w:hAnsi="Arial" w:cs="Arial" w:eastAsia="Arial" w:hint="default"/>
        </w:rPr>
        <w:t>16,288.3267 </w:t>
      </w:r>
      <w:r>
        <w:rPr/>
        <w:t>万股，持股比例为</w:t>
      </w:r>
      <w:r>
        <w:rPr>
          <w:spacing w:val="-63"/>
        </w:rPr>
        <w:t> </w:t>
      </w:r>
      <w:r>
        <w:rPr>
          <w:rFonts w:ascii="Arial" w:hAnsi="Arial" w:cs="Arial" w:eastAsia="Arial" w:hint="default"/>
        </w:rPr>
        <w:t>53.71%</w:t>
      </w:r>
      <w:r>
        <w:rPr/>
        <w:t>。</w:t>
      </w:r>
    </w:p>
    <w:p>
      <w:pPr>
        <w:pStyle w:val="BodyText"/>
        <w:spacing w:line="316" w:lineRule="auto" w:before="135"/>
        <w:ind w:right="1131" w:firstLine="439"/>
        <w:jc w:val="both"/>
      </w:pPr>
      <w:r>
        <w:rPr>
          <w:rFonts w:ascii="Arial" w:hAnsi="Arial" w:cs="Arial" w:eastAsia="Arial" w:hint="default"/>
        </w:rPr>
        <w:t>2016</w:t>
      </w:r>
      <w:r>
        <w:rPr>
          <w:rFonts w:ascii="Arial" w:hAnsi="Arial" w:cs="Arial" w:eastAsia="Arial" w:hint="default"/>
          <w:spacing w:val="-6"/>
        </w:rPr>
        <w:t> </w:t>
      </w:r>
      <w:r>
        <w:rPr/>
        <w:t>年</w:t>
      </w:r>
      <w:r>
        <w:rPr>
          <w:spacing w:val="-57"/>
        </w:rPr>
        <w:t> </w:t>
      </w:r>
      <w:r>
        <w:rPr>
          <w:rFonts w:ascii="Arial" w:hAnsi="Arial" w:cs="Arial" w:eastAsia="Arial" w:hint="default"/>
        </w:rPr>
        <w:t>1</w:t>
      </w:r>
      <w:r>
        <w:rPr>
          <w:rFonts w:ascii="Arial" w:hAnsi="Arial" w:cs="Arial" w:eastAsia="Arial" w:hint="default"/>
          <w:spacing w:val="-6"/>
        </w:rPr>
        <w:t> </w:t>
      </w:r>
      <w:r>
        <w:rPr/>
        <w:t>月</w:t>
      </w:r>
      <w:r>
        <w:rPr>
          <w:spacing w:val="-55"/>
        </w:rPr>
        <w:t> </w:t>
      </w:r>
      <w:r>
        <w:rPr>
          <w:rFonts w:ascii="Arial" w:hAnsi="Arial" w:cs="Arial" w:eastAsia="Arial" w:hint="default"/>
        </w:rPr>
        <w:t>12</w:t>
      </w:r>
      <w:r>
        <w:rPr>
          <w:rFonts w:ascii="Arial" w:hAnsi="Arial" w:cs="Arial" w:eastAsia="Arial" w:hint="default"/>
          <w:spacing w:val="-6"/>
        </w:rPr>
        <w:t> </w:t>
      </w:r>
      <w:r>
        <w:rPr/>
        <w:t>日上海船舶运输科学研究所以定向资产管理方式增持公司流通股</w:t>
      </w:r>
      <w:r>
        <w:rPr>
          <w:spacing w:val="-53"/>
        </w:rPr>
        <w:t> </w:t>
      </w:r>
      <w:r>
        <w:rPr>
          <w:rFonts w:ascii="Arial" w:hAnsi="Arial" w:cs="Arial" w:eastAsia="Arial" w:hint="default"/>
        </w:rPr>
        <w:t>90</w:t>
      </w:r>
      <w:r>
        <w:rPr>
          <w:rFonts w:ascii="Arial" w:hAnsi="Arial" w:cs="Arial" w:eastAsia="Arial" w:hint="default"/>
          <w:spacing w:val="-6"/>
        </w:rPr>
        <w:t> </w:t>
      </w:r>
      <w:r>
        <w:rPr/>
        <w:t>万股；增持</w:t>
      </w:r>
      <w:r>
        <w:rPr>
          <w:w w:val="100"/>
        </w:rPr>
        <w:t> </w:t>
      </w:r>
      <w:r>
        <w:rPr/>
        <w:t>后上海船舶运输科学研究所持有股份</w:t>
      </w:r>
      <w:r>
        <w:rPr>
          <w:spacing w:val="-57"/>
        </w:rPr>
        <w:t> </w:t>
      </w:r>
      <w:r>
        <w:rPr>
          <w:rFonts w:ascii="Arial" w:hAnsi="Arial" w:cs="Arial" w:eastAsia="Arial" w:hint="default"/>
        </w:rPr>
        <w:t>16,378.3267</w:t>
      </w:r>
      <w:r>
        <w:rPr>
          <w:rFonts w:ascii="Arial" w:hAnsi="Arial" w:cs="Arial" w:eastAsia="Arial" w:hint="default"/>
          <w:spacing w:val="-11"/>
        </w:rPr>
        <w:t> </w:t>
      </w:r>
      <w:r>
        <w:rPr/>
        <w:t>万股，持股比例为</w:t>
      </w:r>
      <w:r>
        <w:rPr>
          <w:spacing w:val="-57"/>
        </w:rPr>
        <w:t> </w:t>
      </w:r>
      <w:r>
        <w:rPr>
          <w:rFonts w:ascii="Arial" w:hAnsi="Arial" w:cs="Arial" w:eastAsia="Arial" w:hint="default"/>
        </w:rPr>
        <w:t>54.01%</w:t>
      </w:r>
      <w:r>
        <w:rPr/>
        <w:t>。</w:t>
      </w:r>
    </w:p>
    <w:p>
      <w:pPr>
        <w:pStyle w:val="BodyText"/>
        <w:spacing w:line="316" w:lineRule="auto" w:before="57"/>
        <w:ind w:right="1130" w:firstLine="439"/>
        <w:jc w:val="both"/>
        <w:rPr>
          <w:rFonts w:ascii="Arial" w:hAnsi="Arial" w:cs="Arial" w:eastAsia="Arial" w:hint="default"/>
        </w:rPr>
      </w:pPr>
      <w:r>
        <w:rPr/>
        <w:t>根据国务院国有资产监督管理委员会的有关工作安排，</w:t>
      </w:r>
      <w:r>
        <w:rPr>
          <w:rFonts w:ascii="Arial" w:hAnsi="Arial" w:cs="Arial" w:eastAsia="Arial" w:hint="default"/>
        </w:rPr>
        <w:t>2016 </w:t>
      </w:r>
      <w:r>
        <w:rPr/>
        <w:t>年 </w:t>
      </w:r>
      <w:r>
        <w:rPr>
          <w:rFonts w:ascii="Arial" w:hAnsi="Arial" w:cs="Arial" w:eastAsia="Arial" w:hint="default"/>
        </w:rPr>
        <w:t>1</w:t>
      </w:r>
      <w:r>
        <w:rPr>
          <w:rFonts w:ascii="Arial" w:hAnsi="Arial" w:cs="Arial" w:eastAsia="Arial" w:hint="default"/>
          <w:spacing w:val="-15"/>
        </w:rPr>
        <w:t> </w:t>
      </w:r>
      <w:r>
        <w:rPr/>
        <w:t>月，上海船舶运输科学研究所</w:t>
      </w:r>
      <w:r>
        <w:rPr>
          <w:w w:val="100"/>
        </w:rPr>
        <w:t> </w:t>
      </w:r>
      <w:r>
        <w:rPr/>
        <w:t>将持有的公司</w:t>
      </w:r>
      <w:r>
        <w:rPr>
          <w:spacing w:val="-43"/>
        </w:rPr>
        <w:t> </w:t>
      </w:r>
      <w:r>
        <w:rPr>
          <w:rFonts w:ascii="Arial" w:hAnsi="Arial" w:cs="Arial" w:eastAsia="Arial" w:hint="default"/>
        </w:rPr>
        <w:t>4%</w:t>
      </w:r>
      <w:r>
        <w:rPr/>
        <w:t>股权计</w:t>
      </w:r>
      <w:r>
        <w:rPr>
          <w:spacing w:val="-46"/>
        </w:rPr>
        <w:t> </w:t>
      </w:r>
      <w:r>
        <w:rPr>
          <w:rFonts w:ascii="Arial" w:hAnsi="Arial" w:cs="Arial" w:eastAsia="Arial" w:hint="default"/>
        </w:rPr>
        <w:t>1,212.96</w:t>
      </w:r>
      <w:r>
        <w:rPr>
          <w:rFonts w:ascii="Arial" w:hAnsi="Arial" w:cs="Arial" w:eastAsia="Arial" w:hint="default"/>
          <w:spacing w:val="5"/>
        </w:rPr>
        <w:t> </w:t>
      </w:r>
      <w:r>
        <w:rPr/>
        <w:t>万股无偿转让给北京诚通金控投资有限公司，过户手续已于</w:t>
      </w:r>
      <w:r>
        <w:rPr>
          <w:spacing w:val="-43"/>
        </w:rPr>
        <w:t> </w:t>
      </w:r>
      <w:r>
        <w:rPr>
          <w:rFonts w:ascii="Arial" w:hAnsi="Arial" w:cs="Arial" w:eastAsia="Arial" w:hint="default"/>
        </w:rPr>
        <w:t>2016</w:t>
      </w:r>
    </w:p>
    <w:p>
      <w:pPr>
        <w:pStyle w:val="BodyText"/>
        <w:spacing w:line="316" w:lineRule="auto" w:before="16"/>
        <w:ind w:right="1128"/>
        <w:jc w:val="both"/>
      </w:pPr>
      <w:r>
        <w:rPr/>
        <w:t>年</w:t>
      </w:r>
      <w:r>
        <w:rPr>
          <w:spacing w:val="-43"/>
        </w:rPr>
        <w:t> </w:t>
      </w:r>
      <w:r>
        <w:rPr>
          <w:rFonts w:ascii="Arial" w:hAnsi="Arial" w:cs="Arial" w:eastAsia="Arial" w:hint="default"/>
        </w:rPr>
        <w:t>2</w:t>
      </w:r>
      <w:r>
        <w:rPr>
          <w:rFonts w:ascii="Arial" w:hAnsi="Arial" w:cs="Arial" w:eastAsia="Arial" w:hint="default"/>
          <w:spacing w:val="4"/>
        </w:rPr>
        <w:t> </w:t>
      </w:r>
      <w:r>
        <w:rPr/>
        <w:t>月</w:t>
      </w:r>
      <w:r>
        <w:rPr>
          <w:spacing w:val="-43"/>
        </w:rPr>
        <w:t> </w:t>
      </w:r>
      <w:r>
        <w:rPr>
          <w:rFonts w:ascii="Arial" w:hAnsi="Arial" w:cs="Arial" w:eastAsia="Arial" w:hint="default"/>
        </w:rPr>
        <w:t>4</w:t>
      </w:r>
      <w:r>
        <w:rPr>
          <w:rFonts w:ascii="Arial" w:hAnsi="Arial" w:cs="Arial" w:eastAsia="Arial" w:hint="default"/>
          <w:spacing w:val="4"/>
        </w:rPr>
        <w:t> </w:t>
      </w:r>
      <w:r>
        <w:rPr>
          <w:spacing w:val="-3"/>
        </w:rPr>
        <w:t>日在中国证券登记结算有限责任公司办理完毕。本次股权无偿划转完成后，上海船舶运输科</w:t>
      </w:r>
      <w:r>
        <w:rPr>
          <w:spacing w:val="-107"/>
        </w:rPr>
        <w:t> </w:t>
      </w:r>
      <w:r>
        <w:rPr>
          <w:spacing w:val="-107"/>
        </w:rPr>
      </w:r>
      <w:r>
        <w:rPr/>
        <w:t>学研究所持有公司股份</w:t>
      </w:r>
      <w:r>
        <w:rPr>
          <w:spacing w:val="-51"/>
        </w:rPr>
        <w:t> </w:t>
      </w:r>
      <w:r>
        <w:rPr>
          <w:rFonts w:ascii="Arial" w:hAnsi="Arial" w:cs="Arial" w:eastAsia="Arial" w:hint="default"/>
        </w:rPr>
        <w:t>15,165.3667</w:t>
      </w:r>
      <w:r>
        <w:rPr>
          <w:rFonts w:ascii="Arial" w:hAnsi="Arial" w:cs="Arial" w:eastAsia="Arial" w:hint="default"/>
          <w:spacing w:val="-2"/>
        </w:rPr>
        <w:t> </w:t>
      </w:r>
      <w:r>
        <w:rPr/>
        <w:t>万股，占公司总股本的</w:t>
      </w:r>
      <w:r>
        <w:rPr>
          <w:spacing w:val="-51"/>
        </w:rPr>
        <w:t> </w:t>
      </w:r>
      <w:r>
        <w:rPr>
          <w:rFonts w:ascii="Arial" w:hAnsi="Arial" w:cs="Arial" w:eastAsia="Arial" w:hint="default"/>
        </w:rPr>
        <w:t>50.01%</w:t>
      </w:r>
      <w:r>
        <w:rPr/>
        <w:t>，北京诚通金控投资有限公司持</w:t>
      </w:r>
      <w:r>
        <w:rPr>
          <w:w w:val="100"/>
        </w:rPr>
        <w:t> </w:t>
      </w:r>
      <w:r>
        <w:rPr/>
        <w:t>有公司股份</w:t>
      </w:r>
      <w:r>
        <w:rPr>
          <w:spacing w:val="-57"/>
        </w:rPr>
        <w:t> </w:t>
      </w:r>
      <w:r>
        <w:rPr>
          <w:rFonts w:ascii="Arial" w:hAnsi="Arial" w:cs="Arial" w:eastAsia="Arial" w:hint="default"/>
        </w:rPr>
        <w:t>1,212.96</w:t>
      </w:r>
      <w:r>
        <w:rPr>
          <w:rFonts w:ascii="Arial" w:hAnsi="Arial" w:cs="Arial" w:eastAsia="Arial" w:hint="default"/>
          <w:spacing w:val="-8"/>
        </w:rPr>
        <w:t> </w:t>
      </w:r>
      <w:r>
        <w:rPr/>
        <w:t>万股，占公司总股本的</w:t>
      </w:r>
      <w:r>
        <w:rPr>
          <w:spacing w:val="-57"/>
        </w:rPr>
        <w:t> </w:t>
      </w:r>
      <w:r>
        <w:rPr>
          <w:rFonts w:ascii="Arial" w:hAnsi="Arial" w:cs="Arial" w:eastAsia="Arial" w:hint="default"/>
        </w:rPr>
        <w:t>4%</w:t>
      </w:r>
      <w:r>
        <w:rPr/>
        <w:t>。</w:t>
      </w:r>
    </w:p>
    <w:p>
      <w:pPr>
        <w:pStyle w:val="BodyText"/>
        <w:spacing w:line="324" w:lineRule="auto" w:before="57"/>
        <w:ind w:right="1130" w:firstLine="439"/>
        <w:jc w:val="both"/>
      </w:pPr>
      <w:r>
        <w:rPr>
          <w:rFonts w:ascii="Arial" w:hAnsi="Arial" w:cs="Arial" w:eastAsia="Arial" w:hint="default"/>
        </w:rPr>
        <w:t>2017</w:t>
      </w:r>
      <w:r>
        <w:rPr>
          <w:rFonts w:ascii="Arial" w:hAnsi="Arial" w:cs="Arial" w:eastAsia="Arial" w:hint="default"/>
          <w:spacing w:val="-8"/>
        </w:rPr>
        <w:t> </w:t>
      </w:r>
      <w:r>
        <w:rPr/>
        <w:t>年</w:t>
      </w:r>
      <w:r>
        <w:rPr>
          <w:spacing w:val="-56"/>
        </w:rPr>
        <w:t> </w:t>
      </w:r>
      <w:r>
        <w:rPr>
          <w:rFonts w:ascii="Arial" w:hAnsi="Arial" w:cs="Arial" w:eastAsia="Arial" w:hint="default"/>
        </w:rPr>
        <w:t>4</w:t>
      </w:r>
      <w:r>
        <w:rPr>
          <w:rFonts w:ascii="Arial" w:hAnsi="Arial" w:cs="Arial" w:eastAsia="Arial" w:hint="default"/>
          <w:spacing w:val="-8"/>
        </w:rPr>
        <w:t> </w:t>
      </w:r>
      <w:r>
        <w:rPr/>
        <w:t>月</w:t>
      </w:r>
      <w:r>
        <w:rPr>
          <w:spacing w:val="-56"/>
        </w:rPr>
        <w:t> </w:t>
      </w:r>
      <w:r>
        <w:rPr>
          <w:rFonts w:ascii="Arial" w:hAnsi="Arial" w:cs="Arial" w:eastAsia="Arial" w:hint="default"/>
        </w:rPr>
        <w:t>21</w:t>
      </w:r>
      <w:r>
        <w:rPr>
          <w:rFonts w:ascii="Arial" w:hAnsi="Arial" w:cs="Arial" w:eastAsia="Arial" w:hint="default"/>
          <w:spacing w:val="-8"/>
        </w:rPr>
        <w:t> </w:t>
      </w:r>
      <w:r>
        <w:rPr>
          <w:spacing w:val="-3"/>
        </w:rPr>
        <w:t>日，公司召开</w:t>
      </w:r>
      <w:r>
        <w:rPr>
          <w:spacing w:val="-56"/>
        </w:rPr>
        <w:t> </w:t>
      </w:r>
      <w:r>
        <w:rPr>
          <w:rFonts w:ascii="Arial" w:hAnsi="Arial" w:cs="Arial" w:eastAsia="Arial" w:hint="default"/>
        </w:rPr>
        <w:t>2016</w:t>
      </w:r>
      <w:r>
        <w:rPr>
          <w:rFonts w:ascii="Arial" w:hAnsi="Arial" w:cs="Arial" w:eastAsia="Arial" w:hint="default"/>
          <w:spacing w:val="-8"/>
        </w:rPr>
        <w:t> </w:t>
      </w:r>
      <w:r>
        <w:rPr/>
        <w:t>年度股东大会审议通过了《关于公司名称变更为中远海运科</w:t>
      </w:r>
      <w:r>
        <w:rPr>
          <w:w w:val="100"/>
        </w:rPr>
        <w:t> </w:t>
      </w:r>
      <w:r>
        <w:rPr>
          <w:spacing w:val="-2"/>
          <w:w w:val="100"/>
        </w:rPr>
        <w:t>技股份有限公司的议案》，将原公司名称“中海网络科技股份有限公司”变更为“中远海运科技股份</w:t>
      </w:r>
      <w:r>
        <w:rPr>
          <w:spacing w:val="-102"/>
          <w:w w:val="100"/>
        </w:rPr>
        <w:t> </w:t>
      </w:r>
      <w:r>
        <w:rPr>
          <w:spacing w:val="-102"/>
          <w:w w:val="100"/>
        </w:rPr>
      </w:r>
      <w:r>
        <w:rPr>
          <w:spacing w:val="-12"/>
          <w:w w:val="100"/>
        </w:rPr>
        <w:t>有限公司”，证券简称变更为“中远海科”。</w:t>
      </w:r>
    </w:p>
    <w:p>
      <w:pPr>
        <w:pStyle w:val="BodyText"/>
        <w:spacing w:line="331" w:lineRule="auto" w:before="76"/>
        <w:ind w:right="1133" w:firstLine="439"/>
        <w:jc w:val="both"/>
      </w:pPr>
      <w:r>
        <w:rPr>
          <w:spacing w:val="-2"/>
        </w:rPr>
        <w:t>上海船舶运输科学研究所的母公司为中国海运集团有限公司，中国海运集团有限公司的母公司为</w:t>
      </w:r>
      <w:r>
        <w:rPr>
          <w:w w:val="100"/>
        </w:rPr>
        <w:t> </w:t>
      </w:r>
      <w:r>
        <w:rPr/>
        <w:t>中国远洋海运集团有限公司。</w:t>
      </w:r>
    </w:p>
    <w:p>
      <w:pPr>
        <w:pStyle w:val="BodyText"/>
        <w:spacing w:line="333" w:lineRule="auto" w:before="70"/>
        <w:ind w:right="1090" w:firstLine="439"/>
        <w:jc w:val="both"/>
      </w:pPr>
      <w:r>
        <w:rPr>
          <w:spacing w:val="-2"/>
        </w:rPr>
        <w:t>本公司经营范围：智能交通系统，交通及航运信息化，工业自动化，安全防范工程领域的软、硬</w:t>
      </w:r>
      <w:r>
        <w:rPr>
          <w:w w:val="100"/>
        </w:rPr>
        <w:t> </w:t>
      </w:r>
      <w:r>
        <w:rPr>
          <w:spacing w:val="-1"/>
        </w:rPr>
        <w:t>件产品科研、开发、销售、系统集成，承揽相关工程项目的设计、施工和工程承包，网络技术开发、</w:t>
      </w:r>
      <w:r>
        <w:rPr>
          <w:spacing w:val="-73"/>
        </w:rPr>
        <w:t> </w:t>
      </w:r>
      <w:r>
        <w:rPr>
          <w:spacing w:val="-73"/>
        </w:rPr>
      </w:r>
      <w:r>
        <w:rPr>
          <w:spacing w:val="-2"/>
          <w:w w:val="100"/>
        </w:rPr>
        <w:t>互联网信息服务，自营技术产品的进出口业务以及技术咨询、技术开发、技术转让和技术服务。【依</w:t>
      </w:r>
      <w:r>
        <w:rPr>
          <w:spacing w:val="-102"/>
          <w:w w:val="100"/>
        </w:rPr>
        <w:t> </w:t>
      </w:r>
      <w:r>
        <w:rPr>
          <w:spacing w:val="-102"/>
          <w:w w:val="100"/>
        </w:rPr>
      </w:r>
      <w:r>
        <w:rPr/>
        <w:t>法须经批准的项目，经相关部门批准后方可开展经营活动】</w:t>
      </w:r>
    </w:p>
    <w:p>
      <w:pPr>
        <w:pStyle w:val="BodyText"/>
        <w:spacing w:line="240" w:lineRule="auto" w:before="65"/>
        <w:ind w:left="592" w:right="1133"/>
        <w:jc w:val="left"/>
      </w:pPr>
      <w:r>
        <w:rPr/>
        <w:t>注册资本人民币</w:t>
      </w:r>
      <w:r>
        <w:rPr>
          <w:spacing w:val="-57"/>
        </w:rPr>
        <w:t> </w:t>
      </w:r>
      <w:r>
        <w:rPr>
          <w:rFonts w:ascii="Arial" w:hAnsi="Arial" w:cs="Arial" w:eastAsia="Arial" w:hint="default"/>
        </w:rPr>
        <w:t>30,324.00</w:t>
      </w:r>
      <w:r>
        <w:rPr>
          <w:rFonts w:ascii="Arial" w:hAnsi="Arial" w:cs="Arial" w:eastAsia="Arial" w:hint="default"/>
          <w:spacing w:val="-8"/>
        </w:rPr>
        <w:t> </w:t>
      </w:r>
      <w:r>
        <w:rPr/>
        <w:t>万元。</w:t>
      </w:r>
    </w:p>
    <w:p>
      <w:pPr>
        <w:pStyle w:val="BodyText"/>
        <w:spacing w:line="240" w:lineRule="auto" w:before="136"/>
        <w:ind w:left="592" w:right="1133"/>
        <w:jc w:val="left"/>
      </w:pPr>
      <w:r>
        <w:rPr/>
        <w:t>本公司营业期限自</w:t>
      </w:r>
      <w:r>
        <w:rPr>
          <w:spacing w:val="-56"/>
        </w:rPr>
        <w:t> </w:t>
      </w:r>
      <w:r>
        <w:rPr>
          <w:rFonts w:ascii="Arial" w:hAnsi="Arial" w:cs="Arial" w:eastAsia="Arial" w:hint="default"/>
        </w:rPr>
        <w:t>1993</w:t>
      </w:r>
      <w:r>
        <w:rPr>
          <w:rFonts w:ascii="Arial" w:hAnsi="Arial" w:cs="Arial" w:eastAsia="Arial" w:hint="default"/>
          <w:spacing w:val="-10"/>
        </w:rPr>
        <w:t> </w:t>
      </w:r>
      <w:r>
        <w:rPr/>
        <w:t>年</w:t>
      </w:r>
      <w:r>
        <w:rPr>
          <w:spacing w:val="-56"/>
        </w:rPr>
        <w:t> </w:t>
      </w:r>
      <w:r>
        <w:rPr>
          <w:rFonts w:ascii="Arial" w:hAnsi="Arial" w:cs="Arial" w:eastAsia="Arial" w:hint="default"/>
        </w:rPr>
        <w:t>5</w:t>
      </w:r>
      <w:r>
        <w:rPr>
          <w:rFonts w:ascii="Arial" w:hAnsi="Arial" w:cs="Arial" w:eastAsia="Arial" w:hint="default"/>
          <w:spacing w:val="-8"/>
        </w:rPr>
        <w:t> </w:t>
      </w:r>
      <w:r>
        <w:rPr/>
        <w:t>月</w:t>
      </w:r>
      <w:r>
        <w:rPr>
          <w:spacing w:val="-56"/>
        </w:rPr>
        <w:t> </w:t>
      </w:r>
      <w:r>
        <w:rPr>
          <w:rFonts w:ascii="Arial" w:hAnsi="Arial" w:cs="Arial" w:eastAsia="Arial" w:hint="default"/>
        </w:rPr>
        <w:t>19</w:t>
      </w:r>
      <w:r>
        <w:rPr>
          <w:rFonts w:ascii="Arial" w:hAnsi="Arial" w:cs="Arial" w:eastAsia="Arial" w:hint="default"/>
          <w:spacing w:val="-8"/>
        </w:rPr>
        <w:t> </w:t>
      </w:r>
      <w:r>
        <w:rPr/>
        <w:t>日至不约定期限。</w:t>
      </w:r>
    </w:p>
    <w:p>
      <w:pPr>
        <w:pStyle w:val="BodyText"/>
        <w:spacing w:line="348" w:lineRule="auto" w:before="138"/>
        <w:ind w:left="592" w:right="4127"/>
        <w:jc w:val="left"/>
      </w:pPr>
      <w:r>
        <w:rPr/>
        <w:t>本公司注册地址：中国（上海）自由贸易试验区民生路</w:t>
      </w:r>
      <w:r>
        <w:rPr>
          <w:spacing w:val="-56"/>
        </w:rPr>
        <w:t> </w:t>
      </w:r>
      <w:r>
        <w:rPr>
          <w:rFonts w:ascii="Arial" w:hAnsi="Arial" w:cs="Arial" w:eastAsia="Arial" w:hint="default"/>
        </w:rPr>
        <w:t>600</w:t>
      </w:r>
      <w:r>
        <w:rPr>
          <w:rFonts w:ascii="Arial" w:hAnsi="Arial" w:cs="Arial" w:eastAsia="Arial" w:hint="default"/>
          <w:spacing w:val="-9"/>
        </w:rPr>
        <w:t> </w:t>
      </w:r>
      <w:r>
        <w:rPr>
          <w:spacing w:val="-3"/>
        </w:rPr>
        <w:t>号。</w:t>
      </w:r>
      <w:r>
        <w:rPr>
          <w:spacing w:val="-3"/>
          <w:w w:val="100"/>
        </w:rPr>
        <w:t> </w:t>
      </w:r>
      <w:r>
        <w:rPr/>
        <w:t>统一社会信用代码：</w:t>
      </w:r>
      <w:r>
        <w:rPr>
          <w:rFonts w:ascii="Arial" w:hAnsi="Arial" w:cs="Arial" w:eastAsia="Arial" w:hint="default"/>
        </w:rPr>
        <w:t>91310000132226263L</w:t>
      </w:r>
      <w:r>
        <w:rPr/>
        <w:t>。</w:t>
      </w:r>
      <w:r>
        <w:rPr>
          <w:w w:val="100"/>
        </w:rPr>
        <w:t> </w:t>
      </w:r>
      <w:r>
        <w:rPr/>
        <w:t>本公司法定代表人：蔡惠星。</w:t>
      </w:r>
    </w:p>
    <w:p>
      <w:pPr>
        <w:pStyle w:val="BodyText"/>
        <w:spacing w:line="240" w:lineRule="auto" w:before="54"/>
        <w:ind w:left="592" w:right="1133"/>
        <w:jc w:val="left"/>
      </w:pPr>
      <w:r>
        <w:rPr/>
        <w:t>本财务报表业经公司董事会于</w:t>
      </w:r>
      <w:r>
        <w:rPr>
          <w:spacing w:val="-56"/>
        </w:rPr>
        <w:t> </w:t>
      </w:r>
      <w:r>
        <w:rPr>
          <w:rFonts w:ascii="Arial" w:hAnsi="Arial" w:cs="Arial" w:eastAsia="Arial" w:hint="default"/>
        </w:rPr>
        <w:t>2020</w:t>
      </w:r>
      <w:r>
        <w:rPr>
          <w:rFonts w:ascii="Arial" w:hAnsi="Arial" w:cs="Arial" w:eastAsia="Arial" w:hint="default"/>
          <w:spacing w:val="-8"/>
        </w:rPr>
        <w:t> </w:t>
      </w:r>
      <w:r>
        <w:rPr/>
        <w:t>年</w:t>
      </w:r>
      <w:r>
        <w:rPr>
          <w:spacing w:val="-56"/>
        </w:rPr>
        <w:t> </w:t>
      </w:r>
      <w:r>
        <w:rPr>
          <w:rFonts w:ascii="Arial" w:hAnsi="Arial" w:cs="Arial" w:eastAsia="Arial" w:hint="default"/>
        </w:rPr>
        <w:t>3</w:t>
      </w:r>
      <w:r>
        <w:rPr>
          <w:rFonts w:ascii="Arial" w:hAnsi="Arial" w:cs="Arial" w:eastAsia="Arial" w:hint="default"/>
          <w:spacing w:val="-10"/>
        </w:rPr>
        <w:t> </w:t>
      </w:r>
      <w:r>
        <w:rPr/>
        <w:t>月</w:t>
      </w:r>
      <w:r>
        <w:rPr>
          <w:spacing w:val="-56"/>
        </w:rPr>
        <w:t> </w:t>
      </w:r>
      <w:r>
        <w:rPr>
          <w:rFonts w:ascii="Arial" w:hAnsi="Arial" w:cs="Arial" w:eastAsia="Arial" w:hint="default"/>
        </w:rPr>
        <w:t>27</w:t>
      </w:r>
      <w:r>
        <w:rPr>
          <w:rFonts w:ascii="Arial" w:hAnsi="Arial" w:cs="Arial" w:eastAsia="Arial" w:hint="default"/>
          <w:spacing w:val="-8"/>
        </w:rPr>
        <w:t> </w:t>
      </w:r>
      <w:r>
        <w:rPr/>
        <w:t>日批准通过。</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3"/>
        <w:spacing w:line="240" w:lineRule="auto" w:before="158"/>
        <w:ind w:right="0"/>
        <w:jc w:val="both"/>
        <w:rPr>
          <w:b w:val="0"/>
          <w:bCs w:val="0"/>
        </w:rPr>
      </w:pPr>
      <w:r>
        <w:rPr/>
        <w:t>四、合并财务报表范围</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592" w:right="0"/>
        <w:jc w:val="left"/>
      </w:pPr>
      <w:r>
        <w:rPr/>
        <w:t>本公司合并财务报表范围包括中远海运科技股份有限公司、贵州新思维科技有限责任公司、中远</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333" w:lineRule="auto" w:before="173"/>
        <w:ind w:right="0"/>
        <w:jc w:val="left"/>
      </w:pPr>
      <w:r>
        <w:rPr>
          <w:spacing w:val="-2"/>
          <w:w w:val="100"/>
        </w:rPr>
        <w:t>海运科技（北京）有限公司（曾用名：中远网络物流信息科技有限公司）、北京中远海运数字科技有</w:t>
      </w:r>
      <w:r>
        <w:rPr>
          <w:spacing w:val="-98"/>
          <w:w w:val="100"/>
        </w:rPr>
        <w:t> </w:t>
      </w:r>
      <w:r>
        <w:rPr>
          <w:spacing w:val="-98"/>
          <w:w w:val="100"/>
        </w:rPr>
      </w:r>
      <w:r>
        <w:rPr>
          <w:spacing w:val="-5"/>
          <w:w w:val="100"/>
        </w:rPr>
        <w:t>限公司（曾用名：北京数字中远网络技术服务有限公司）、中远网络航海科技有限公司。与上年相比，</w:t>
      </w:r>
      <w:r>
        <w:rPr>
          <w:spacing w:val="-81"/>
          <w:w w:val="100"/>
        </w:rPr>
        <w:t> </w:t>
      </w:r>
      <w:r>
        <w:rPr>
          <w:spacing w:val="-81"/>
          <w:w w:val="100"/>
        </w:rPr>
      </w:r>
      <w:r>
        <w:rPr/>
        <w:t>本年合并范围未发生变化。</w:t>
      </w:r>
    </w:p>
    <w:p>
      <w:pPr>
        <w:pStyle w:val="BodyText"/>
        <w:spacing w:line="240" w:lineRule="auto" w:before="68"/>
        <w:ind w:left="592" w:right="1133"/>
        <w:jc w:val="left"/>
      </w:pPr>
      <w:r>
        <w:rPr/>
        <w:t>详见 </w:t>
      </w:r>
      <w:r>
        <w:rPr>
          <w:rFonts w:ascii="Arial" w:hAnsi="Arial" w:cs="Arial" w:eastAsia="Arial" w:hint="default"/>
        </w:rPr>
        <w:t>“</w:t>
      </w:r>
      <w:r>
        <w:rPr/>
        <w:t>九、合并范围的变化</w:t>
      </w:r>
      <w:r>
        <w:rPr>
          <w:rFonts w:ascii="Arial" w:hAnsi="Arial" w:cs="Arial" w:eastAsia="Arial" w:hint="default"/>
        </w:rPr>
        <w:t>”  </w:t>
      </w:r>
      <w:r>
        <w:rPr/>
        <w:t>及</w:t>
      </w:r>
      <w:r>
        <w:rPr>
          <w:spacing w:val="-15"/>
        </w:rPr>
        <w:t> </w:t>
      </w:r>
      <w:r>
        <w:rPr>
          <w:rFonts w:ascii="Arial" w:hAnsi="Arial" w:cs="Arial" w:eastAsia="Arial" w:hint="default"/>
        </w:rPr>
        <w:t>“</w:t>
      </w:r>
      <w:r>
        <w:rPr/>
        <w:t>十、在其他主体中的权益</w:t>
      </w:r>
      <w:r>
        <w:rPr>
          <w:rFonts w:ascii="Arial" w:hAnsi="Arial" w:cs="Arial" w:eastAsia="Arial" w:hint="default"/>
        </w:rPr>
        <w:t>”</w:t>
      </w:r>
      <w:r>
        <w:rPr/>
        <w:t>相关内容。</w:t>
      </w:r>
    </w:p>
    <w:p>
      <w:pPr>
        <w:spacing w:line="240" w:lineRule="auto" w:before="7"/>
        <w:rPr>
          <w:rFonts w:ascii="宋体" w:hAnsi="宋体" w:cs="宋体" w:eastAsia="宋体" w:hint="default"/>
          <w:sz w:val="22"/>
          <w:szCs w:val="22"/>
        </w:rPr>
      </w:pPr>
    </w:p>
    <w:p>
      <w:pPr>
        <w:pStyle w:val="Heading3"/>
        <w:spacing w:line="240" w:lineRule="auto"/>
        <w:ind w:right="1133"/>
        <w:jc w:val="left"/>
        <w:rPr>
          <w:b w:val="0"/>
          <w:bCs w:val="0"/>
        </w:rPr>
      </w:pPr>
      <w:r>
        <w:rPr/>
        <w:t>五、财务报表的编制基础</w:t>
      </w:r>
      <w:r>
        <w:rPr>
          <w:b w:val="0"/>
          <w:bCs w:val="0"/>
        </w:rPr>
      </w:r>
    </w:p>
    <w:p>
      <w:pPr>
        <w:spacing w:line="240" w:lineRule="auto" w:before="8"/>
        <w:rPr>
          <w:rFonts w:ascii="宋体" w:hAnsi="宋体" w:cs="宋体" w:eastAsia="宋体" w:hint="default"/>
          <w:b/>
          <w:bCs/>
          <w:sz w:val="30"/>
          <w:szCs w:val="30"/>
        </w:rPr>
      </w:pPr>
    </w:p>
    <w:p>
      <w:pPr>
        <w:pStyle w:val="BodyText"/>
        <w:spacing w:line="348" w:lineRule="auto"/>
        <w:ind w:left="592" w:right="1133"/>
        <w:jc w:val="left"/>
      </w:pPr>
      <w:r>
        <w:rPr>
          <w:rFonts w:ascii="Arial" w:hAnsi="Arial" w:cs="Arial" w:eastAsia="Arial" w:hint="default"/>
        </w:rPr>
        <w:t>1</w:t>
      </w:r>
      <w:r>
        <w:rPr/>
        <w:t>、编制基础</w:t>
      </w:r>
      <w:r>
        <w:rPr>
          <w:w w:val="100"/>
        </w:rPr>
        <w:t> </w:t>
      </w:r>
      <w:r>
        <w:rPr>
          <w:spacing w:val="-2"/>
        </w:rPr>
        <w:t>本公司财务报表以持续经营为基础，根据实际发生的交易和事项，按照财政部颁布的《企业会计</w:t>
      </w:r>
    </w:p>
    <w:p>
      <w:pPr>
        <w:pStyle w:val="BodyText"/>
        <w:spacing w:line="240" w:lineRule="auto" w:before="14"/>
        <w:ind w:right="1133"/>
        <w:jc w:val="left"/>
      </w:pPr>
      <w:r>
        <w:rPr/>
        <w:t>准则》及相关规定，并基于本附注</w:t>
      </w:r>
      <w:r>
        <w:rPr>
          <w:rFonts w:ascii="Arial" w:hAnsi="Arial" w:cs="Arial" w:eastAsia="Arial" w:hint="default"/>
        </w:rPr>
        <w:t>“</w:t>
      </w:r>
      <w:r>
        <w:rPr/>
        <w:t>四、重要会计政策及会计估计</w:t>
      </w:r>
      <w:r>
        <w:rPr>
          <w:rFonts w:ascii="Arial" w:hAnsi="Arial" w:cs="Arial" w:eastAsia="Arial" w:hint="default"/>
        </w:rPr>
        <w:t>”</w:t>
      </w:r>
      <w:r>
        <w:rPr/>
        <w:t>所述会计政策和会计估计编制。</w:t>
      </w:r>
    </w:p>
    <w:p>
      <w:pPr>
        <w:pStyle w:val="BodyText"/>
        <w:spacing w:line="240" w:lineRule="auto" w:before="138"/>
        <w:ind w:left="592" w:right="1133"/>
        <w:jc w:val="left"/>
      </w:pPr>
      <w:r>
        <w:rPr>
          <w:rFonts w:ascii="Arial" w:hAnsi="Arial" w:cs="Arial" w:eastAsia="Arial" w:hint="default"/>
        </w:rPr>
        <w:t>2</w:t>
      </w:r>
      <w:r>
        <w:rPr/>
        <w:t>、持续经营</w:t>
      </w:r>
    </w:p>
    <w:p>
      <w:pPr>
        <w:pStyle w:val="BodyText"/>
        <w:spacing w:line="240" w:lineRule="auto" w:before="135"/>
        <w:ind w:left="592" w:right="1133"/>
        <w:jc w:val="left"/>
      </w:pPr>
      <w:r>
        <w:rPr/>
        <w:t>本公司自报告期末起</w:t>
      </w:r>
      <w:r>
        <w:rPr>
          <w:spacing w:val="-55"/>
        </w:rPr>
        <w:t> </w:t>
      </w:r>
      <w:r>
        <w:rPr>
          <w:rFonts w:ascii="Arial" w:hAnsi="Arial" w:cs="Arial" w:eastAsia="Arial" w:hint="default"/>
        </w:rPr>
        <w:t>12</w:t>
      </w:r>
      <w:r>
        <w:rPr>
          <w:rFonts w:ascii="Arial" w:hAnsi="Arial" w:cs="Arial" w:eastAsia="Arial" w:hint="default"/>
          <w:spacing w:val="-9"/>
        </w:rPr>
        <w:t> </w:t>
      </w:r>
      <w:r>
        <w:rPr/>
        <w:t>个月内的持续经营能力不存在重大疑虑。</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3"/>
        <w:spacing w:line="240" w:lineRule="auto" w:before="160"/>
        <w:ind w:right="1133"/>
        <w:jc w:val="left"/>
        <w:rPr>
          <w:b w:val="0"/>
          <w:bCs w:val="0"/>
        </w:rPr>
      </w:pPr>
      <w:r>
        <w:rPr/>
        <w:t>六、重要会计政策及会计估计</w:t>
      </w:r>
      <w:r>
        <w:rPr>
          <w:b w:val="0"/>
          <w:bCs w:val="0"/>
        </w:rPr>
      </w:r>
    </w:p>
    <w:p>
      <w:pPr>
        <w:spacing w:line="240" w:lineRule="auto" w:before="6"/>
        <w:rPr>
          <w:rFonts w:ascii="宋体" w:hAnsi="宋体" w:cs="宋体" w:eastAsia="宋体" w:hint="default"/>
          <w:b/>
          <w:bCs/>
          <w:sz w:val="30"/>
          <w:szCs w:val="30"/>
        </w:rPr>
      </w:pPr>
    </w:p>
    <w:p>
      <w:pPr>
        <w:pStyle w:val="BodyText"/>
        <w:spacing w:line="333" w:lineRule="auto"/>
        <w:ind w:right="1133" w:firstLine="439"/>
        <w:jc w:val="left"/>
      </w:pPr>
      <w:r>
        <w:rPr>
          <w:spacing w:val="-2"/>
        </w:rPr>
        <w:t>本公司根据实际生产经营特点制定的具体会计政策和会计估计包括营业周期、应收款项坏账准备</w:t>
      </w:r>
      <w:r>
        <w:rPr>
          <w:w w:val="100"/>
        </w:rPr>
        <w:t> </w:t>
      </w:r>
      <w:r>
        <w:rPr/>
        <w:t>的确认和计量、发出存货计量、固定资产分类及折旧方法、无形资产摊销、收入确认和计量等。</w:t>
      </w:r>
    </w:p>
    <w:p>
      <w:pPr>
        <w:spacing w:line="316" w:lineRule="auto" w:before="24"/>
        <w:ind w:left="592" w:right="1133" w:firstLine="2"/>
        <w:jc w:val="left"/>
        <w:rPr>
          <w:rFonts w:ascii="宋体" w:hAnsi="宋体" w:cs="宋体" w:eastAsia="宋体" w:hint="default"/>
          <w:sz w:val="22"/>
          <w:szCs w:val="22"/>
        </w:rPr>
      </w:pPr>
      <w:r>
        <w:rPr>
          <w:rFonts w:ascii="Arial" w:hAnsi="Arial" w:cs="Arial" w:eastAsia="Arial" w:hint="default"/>
          <w:b/>
          <w:bCs/>
          <w:sz w:val="22"/>
          <w:szCs w:val="22"/>
        </w:rPr>
        <w:t>1</w:t>
      </w:r>
      <w:r>
        <w:rPr>
          <w:rFonts w:ascii="宋体" w:hAnsi="宋体" w:cs="宋体" w:eastAsia="宋体" w:hint="default"/>
          <w:b/>
          <w:bCs/>
          <w:sz w:val="22"/>
          <w:szCs w:val="22"/>
        </w:rPr>
        <w:t>、</w:t>
      </w:r>
      <w:r>
        <w:rPr>
          <w:rFonts w:ascii="宋体" w:hAnsi="宋体" w:cs="宋体" w:eastAsia="宋体" w:hint="default"/>
          <w:b/>
          <w:bCs/>
          <w:spacing w:val="-56"/>
          <w:sz w:val="22"/>
          <w:szCs w:val="22"/>
        </w:rPr>
        <w:t> </w:t>
      </w:r>
      <w:r>
        <w:rPr>
          <w:rFonts w:ascii="宋体" w:hAnsi="宋体" w:cs="宋体" w:eastAsia="宋体" w:hint="default"/>
          <w:b/>
          <w:bCs/>
          <w:sz w:val="22"/>
          <w:szCs w:val="22"/>
        </w:rPr>
        <w:t>遵循企业会计准则的声明</w:t>
      </w:r>
      <w:r>
        <w:rPr>
          <w:rFonts w:ascii="宋体" w:hAnsi="宋体" w:cs="宋体" w:eastAsia="宋体" w:hint="default"/>
          <w:b/>
          <w:bCs/>
          <w:w w:val="99"/>
          <w:sz w:val="22"/>
          <w:szCs w:val="22"/>
        </w:rPr>
        <w:t> </w:t>
      </w:r>
      <w:r>
        <w:rPr>
          <w:rFonts w:ascii="宋体" w:hAnsi="宋体" w:cs="宋体" w:eastAsia="宋体" w:hint="default"/>
          <w:spacing w:val="-2"/>
          <w:sz w:val="22"/>
          <w:szCs w:val="22"/>
        </w:rPr>
        <w:t>本公司编制的财务报表符合企业会计准则的要求，真实、完整地反映了本公司的财务状况、经营</w:t>
      </w:r>
    </w:p>
    <w:p>
      <w:pPr>
        <w:pStyle w:val="BodyText"/>
        <w:spacing w:line="240" w:lineRule="auto" w:before="42"/>
        <w:ind w:right="1133"/>
        <w:jc w:val="left"/>
      </w:pPr>
      <w:r>
        <w:rPr/>
        <w:t>成果和现金流量等有关信息。</w:t>
      </w:r>
    </w:p>
    <w:p>
      <w:pPr>
        <w:pStyle w:val="Heading4"/>
        <w:spacing w:line="240" w:lineRule="auto" w:before="110"/>
        <w:ind w:right="1133"/>
        <w:jc w:val="left"/>
        <w:rPr>
          <w:b w:val="0"/>
          <w:bCs w:val="0"/>
        </w:rPr>
      </w:pPr>
      <w:r>
        <w:rPr>
          <w:rFonts w:ascii="Arial" w:hAnsi="Arial" w:cs="Arial" w:eastAsia="Arial" w:hint="default"/>
        </w:rPr>
        <w:t>2</w:t>
      </w:r>
      <w:r>
        <w:rPr/>
        <w:t>、</w:t>
      </w:r>
      <w:r>
        <w:rPr>
          <w:spacing w:val="-57"/>
        </w:rPr>
        <w:t> </w:t>
      </w:r>
      <w:r>
        <w:rPr/>
        <w:t>会计期间</w:t>
      </w:r>
      <w:r>
        <w:rPr>
          <w:b w:val="0"/>
          <w:bCs w:val="0"/>
        </w:rPr>
      </w:r>
    </w:p>
    <w:p>
      <w:pPr>
        <w:pStyle w:val="BodyText"/>
        <w:spacing w:line="240" w:lineRule="auto" w:before="138"/>
        <w:ind w:left="592" w:right="1133"/>
        <w:jc w:val="left"/>
      </w:pPr>
      <w:r>
        <w:rPr/>
        <w:t>本公司的会计期间为公历</w:t>
      </w:r>
      <w:r>
        <w:rPr>
          <w:spacing w:val="-55"/>
        </w:rPr>
        <w:t> </w:t>
      </w:r>
      <w:r>
        <w:rPr>
          <w:rFonts w:ascii="Arial" w:hAnsi="Arial" w:cs="Arial" w:eastAsia="Arial" w:hint="default"/>
        </w:rPr>
        <w:t>1</w:t>
      </w:r>
      <w:r>
        <w:rPr>
          <w:rFonts w:ascii="Arial" w:hAnsi="Arial" w:cs="Arial" w:eastAsia="Arial" w:hint="default"/>
          <w:spacing w:val="-7"/>
        </w:rPr>
        <w:t> </w:t>
      </w:r>
      <w:r>
        <w:rPr/>
        <w:t>月</w:t>
      </w:r>
      <w:r>
        <w:rPr>
          <w:spacing w:val="-55"/>
        </w:rPr>
        <w:t> </w:t>
      </w:r>
      <w:r>
        <w:rPr>
          <w:rFonts w:ascii="Arial" w:hAnsi="Arial" w:cs="Arial" w:eastAsia="Arial" w:hint="default"/>
        </w:rPr>
        <w:t>1</w:t>
      </w:r>
      <w:r>
        <w:rPr>
          <w:rFonts w:ascii="Arial" w:hAnsi="Arial" w:cs="Arial" w:eastAsia="Arial" w:hint="default"/>
          <w:spacing w:val="-7"/>
        </w:rPr>
        <w:t> </w:t>
      </w:r>
      <w:r>
        <w:rPr/>
        <w:t>日至</w:t>
      </w:r>
      <w:r>
        <w:rPr>
          <w:spacing w:val="-55"/>
        </w:rPr>
        <w:t> </w:t>
      </w:r>
      <w:r>
        <w:rPr>
          <w:rFonts w:ascii="Arial" w:hAnsi="Arial" w:cs="Arial" w:eastAsia="Arial" w:hint="default"/>
        </w:rPr>
        <w:t>12</w:t>
      </w:r>
      <w:r>
        <w:rPr>
          <w:rFonts w:ascii="Arial" w:hAnsi="Arial" w:cs="Arial" w:eastAsia="Arial" w:hint="default"/>
          <w:spacing w:val="-7"/>
        </w:rPr>
        <w:t> </w:t>
      </w:r>
      <w:r>
        <w:rPr/>
        <w:t>月</w:t>
      </w:r>
      <w:r>
        <w:rPr>
          <w:spacing w:val="-55"/>
        </w:rPr>
        <w:t> </w:t>
      </w:r>
      <w:r>
        <w:rPr>
          <w:rFonts w:ascii="Arial" w:hAnsi="Arial" w:cs="Arial" w:eastAsia="Arial" w:hint="default"/>
        </w:rPr>
        <w:t>31</w:t>
      </w:r>
      <w:r>
        <w:rPr>
          <w:rFonts w:ascii="Arial" w:hAnsi="Arial" w:cs="Arial" w:eastAsia="Arial" w:hint="default"/>
          <w:spacing w:val="-9"/>
        </w:rPr>
        <w:t> </w:t>
      </w:r>
      <w:r>
        <w:rPr/>
        <w:t>日。</w:t>
      </w:r>
    </w:p>
    <w:p>
      <w:pPr>
        <w:pStyle w:val="Heading4"/>
        <w:spacing w:line="240" w:lineRule="auto" w:before="135"/>
        <w:ind w:right="1133"/>
        <w:jc w:val="left"/>
        <w:rPr>
          <w:b w:val="0"/>
          <w:bCs w:val="0"/>
        </w:rPr>
      </w:pPr>
      <w:r>
        <w:rPr>
          <w:rFonts w:ascii="Arial" w:hAnsi="Arial" w:cs="Arial" w:eastAsia="Arial" w:hint="default"/>
        </w:rPr>
        <w:t>3</w:t>
      </w:r>
      <w:r>
        <w:rPr/>
        <w:t>、</w:t>
      </w:r>
      <w:r>
        <w:rPr>
          <w:spacing w:val="-57"/>
        </w:rPr>
        <w:t> </w:t>
      </w:r>
      <w:r>
        <w:rPr/>
        <w:t>营业周期</w:t>
      </w:r>
      <w:r>
        <w:rPr>
          <w:b w:val="0"/>
          <w:bCs w:val="0"/>
        </w:rPr>
      </w:r>
    </w:p>
    <w:p>
      <w:pPr>
        <w:pStyle w:val="BodyText"/>
        <w:spacing w:line="240" w:lineRule="auto" w:before="97"/>
        <w:ind w:left="592" w:right="1133"/>
        <w:jc w:val="left"/>
      </w:pPr>
      <w:r>
        <w:rPr/>
        <w:t>本公司以 </w:t>
      </w:r>
      <w:r>
        <w:rPr>
          <w:rFonts w:ascii="Arial" w:hAnsi="Arial" w:cs="Arial" w:eastAsia="Arial" w:hint="default"/>
        </w:rPr>
        <w:t>12</w:t>
      </w:r>
      <w:r>
        <w:rPr>
          <w:rFonts w:ascii="Arial" w:hAnsi="Arial" w:cs="Arial" w:eastAsia="Arial" w:hint="default"/>
          <w:spacing w:val="44"/>
        </w:rPr>
        <w:t> </w:t>
      </w:r>
      <w:r>
        <w:rPr/>
        <w:t>个月作为一个营业周期，并以其作为资产和负债的流动性划分标准。</w:t>
      </w:r>
    </w:p>
    <w:p>
      <w:pPr>
        <w:pStyle w:val="BodyText"/>
        <w:spacing w:line="348" w:lineRule="auto" w:before="95"/>
        <w:ind w:left="592" w:right="1133" w:firstLine="2"/>
        <w:jc w:val="left"/>
      </w:pPr>
      <w:r>
        <w:rPr>
          <w:rFonts w:ascii="Arial" w:hAnsi="Arial" w:cs="Arial" w:eastAsia="Arial" w:hint="default"/>
          <w:b/>
          <w:bCs/>
        </w:rPr>
        <w:t>4</w:t>
      </w:r>
      <w:r>
        <w:rPr>
          <w:rFonts w:ascii="宋体" w:hAnsi="宋体" w:cs="宋体" w:eastAsia="宋体" w:hint="default"/>
          <w:b/>
          <w:bCs/>
        </w:rPr>
        <w:t>、</w:t>
      </w:r>
      <w:r>
        <w:rPr>
          <w:rFonts w:ascii="宋体" w:hAnsi="宋体" w:cs="宋体" w:eastAsia="宋体" w:hint="default"/>
          <w:b/>
          <w:bCs/>
          <w:spacing w:val="-56"/>
        </w:rPr>
        <w:t> </w:t>
      </w:r>
      <w:r>
        <w:rPr>
          <w:rFonts w:ascii="宋体" w:hAnsi="宋体" w:cs="宋体" w:eastAsia="宋体" w:hint="default"/>
          <w:b/>
          <w:bCs/>
        </w:rPr>
        <w:t>记账本位币</w:t>
      </w:r>
      <w:r>
        <w:rPr>
          <w:rFonts w:ascii="宋体" w:hAnsi="宋体" w:cs="宋体" w:eastAsia="宋体" w:hint="default"/>
          <w:b/>
          <w:bCs/>
          <w:w w:val="99"/>
        </w:rPr>
        <w:t> </w:t>
      </w:r>
      <w:r>
        <w:rPr>
          <w:spacing w:val="-2"/>
        </w:rPr>
        <w:t>人民币为本公司及境内子公司经营所处的主要经济环境中的货币，本公司及境内子公司以人民币</w:t>
      </w:r>
    </w:p>
    <w:p>
      <w:pPr>
        <w:pStyle w:val="BodyText"/>
        <w:spacing w:line="240" w:lineRule="auto" w:before="11"/>
        <w:ind w:right="1133"/>
        <w:jc w:val="left"/>
      </w:pPr>
      <w:r>
        <w:rPr/>
        <w:t>为记账本位币。本公司编制本财务报表时所采用的货币为人民币。</w:t>
      </w:r>
    </w:p>
    <w:p>
      <w:pPr>
        <w:spacing w:line="348" w:lineRule="auto" w:before="153"/>
        <w:ind w:left="592" w:right="1133" w:firstLine="2"/>
        <w:jc w:val="left"/>
        <w:rPr>
          <w:rFonts w:ascii="宋体" w:hAnsi="宋体" w:cs="宋体" w:eastAsia="宋体" w:hint="default"/>
          <w:sz w:val="22"/>
          <w:szCs w:val="22"/>
        </w:rPr>
      </w:pPr>
      <w:r>
        <w:rPr>
          <w:rFonts w:ascii="Arial" w:hAnsi="Arial" w:cs="Arial" w:eastAsia="Arial" w:hint="default"/>
          <w:b/>
          <w:bCs/>
          <w:sz w:val="22"/>
          <w:szCs w:val="22"/>
        </w:rPr>
        <w:t>5</w:t>
      </w:r>
      <w:r>
        <w:rPr>
          <w:rFonts w:ascii="宋体" w:hAnsi="宋体" w:cs="宋体" w:eastAsia="宋体" w:hint="default"/>
          <w:b/>
          <w:bCs/>
          <w:sz w:val="22"/>
          <w:szCs w:val="22"/>
        </w:rPr>
        <w:t>、</w:t>
      </w:r>
      <w:r>
        <w:rPr>
          <w:rFonts w:ascii="宋体" w:hAnsi="宋体" w:cs="宋体" w:eastAsia="宋体" w:hint="default"/>
          <w:b/>
          <w:bCs/>
          <w:spacing w:val="-57"/>
          <w:sz w:val="22"/>
          <w:szCs w:val="22"/>
        </w:rPr>
        <w:t> </w:t>
      </w:r>
      <w:r>
        <w:rPr>
          <w:rFonts w:ascii="宋体" w:hAnsi="宋体" w:cs="宋体" w:eastAsia="宋体" w:hint="default"/>
          <w:b/>
          <w:bCs/>
          <w:sz w:val="22"/>
          <w:szCs w:val="22"/>
        </w:rPr>
        <w:t>同一控制下和非同一控制下企业合并的会计处理方法</w:t>
      </w:r>
      <w:r>
        <w:rPr>
          <w:rFonts w:ascii="宋体" w:hAnsi="宋体" w:cs="宋体" w:eastAsia="宋体" w:hint="default"/>
          <w:b/>
          <w:bCs/>
          <w:w w:val="99"/>
          <w:sz w:val="22"/>
          <w:szCs w:val="22"/>
        </w:rPr>
        <w:t> </w:t>
      </w:r>
      <w:r>
        <w:rPr>
          <w:rFonts w:ascii="宋体" w:hAnsi="宋体" w:cs="宋体" w:eastAsia="宋体" w:hint="default"/>
          <w:spacing w:val="-2"/>
          <w:sz w:val="22"/>
          <w:szCs w:val="22"/>
        </w:rPr>
        <w:t>本公司作为合并方，在同一控制下企业合并中取得的资产和负债，在合并日按被合并方在最终控</w:t>
      </w:r>
    </w:p>
    <w:p>
      <w:pPr>
        <w:pStyle w:val="BodyText"/>
        <w:spacing w:line="331" w:lineRule="auto" w:before="14"/>
        <w:ind w:right="1133"/>
        <w:jc w:val="left"/>
      </w:pPr>
      <w:r>
        <w:rPr>
          <w:spacing w:val="-2"/>
        </w:rPr>
        <w:t>制方合并报表中的账面价值计量。取得的净资产账面价值与支付的合并对价账面价值的差额，调整资</w:t>
      </w:r>
      <w:r>
        <w:rPr>
          <w:spacing w:val="-70"/>
        </w:rPr>
        <w:t> </w:t>
      </w:r>
      <w:r>
        <w:rPr>
          <w:spacing w:val="-70"/>
        </w:rPr>
      </w:r>
      <w:r>
        <w:rPr/>
        <w:t>本公积；资本公积不足冲减的，调整留存收益。</w:t>
      </w:r>
    </w:p>
    <w:p>
      <w:pPr>
        <w:pStyle w:val="BodyText"/>
        <w:spacing w:line="333" w:lineRule="auto" w:before="70"/>
        <w:ind w:right="1131" w:firstLine="439"/>
        <w:jc w:val="both"/>
      </w:pPr>
      <w:r>
        <w:rPr>
          <w:spacing w:val="-2"/>
        </w:rPr>
        <w:t>在非同一控制下企业合并中取得的被购买方可辨认资产、负债及或有负债在收购日以公允价值计</w:t>
      </w:r>
      <w:r>
        <w:rPr>
          <w:w w:val="100"/>
        </w:rPr>
        <w:t> </w:t>
      </w:r>
      <w:r>
        <w:rPr>
          <w:spacing w:val="-2"/>
        </w:rPr>
        <w:t>量。合并成本为本公司在购买日为取得对被购买方的控制权而支付的现金或非现金资产、发行或承担</w:t>
      </w:r>
      <w:r>
        <w:rPr>
          <w:spacing w:val="-70"/>
        </w:rPr>
        <w:t> </w:t>
      </w:r>
      <w:r>
        <w:rPr>
          <w:spacing w:val="-70"/>
        </w:rPr>
      </w:r>
      <w:r>
        <w:rPr>
          <w:spacing w:val="-2"/>
        </w:rPr>
        <w:t>的负债、发行的权益性证券等的公允价值以及在企业合并中发生的各项直接相关费用之和（通过多次</w:t>
      </w:r>
    </w:p>
    <w:p>
      <w:pPr>
        <w:spacing w:after="0" w:line="333" w:lineRule="auto"/>
        <w:jc w:val="both"/>
        <w:sectPr>
          <w:footerReference w:type="default" r:id="rId15"/>
          <w:pgSz w:w="11910" w:h="16840"/>
          <w:pgMar w:footer="979" w:header="745" w:top="1060" w:bottom="1160" w:left="980" w:right="0"/>
        </w:sectPr>
      </w:pPr>
    </w:p>
    <w:p>
      <w:pPr>
        <w:spacing w:line="240" w:lineRule="auto" w:before="0"/>
        <w:rPr>
          <w:rFonts w:ascii="宋体" w:hAnsi="宋体" w:cs="宋体" w:eastAsia="宋体" w:hint="default"/>
          <w:sz w:val="20"/>
          <w:szCs w:val="20"/>
        </w:rPr>
      </w:pPr>
    </w:p>
    <w:p>
      <w:pPr>
        <w:pStyle w:val="BodyText"/>
        <w:spacing w:line="333" w:lineRule="auto" w:before="173"/>
        <w:ind w:right="1128"/>
        <w:jc w:val="both"/>
      </w:pPr>
      <w:r>
        <w:rPr>
          <w:spacing w:val="-2"/>
          <w:w w:val="100"/>
        </w:rPr>
        <w:t>交易分步实现的企业合并，其合并成本为每一单项交易的成本之和）。合并成本大于合并中取得的被</w:t>
      </w:r>
      <w:r>
        <w:rPr>
          <w:spacing w:val="-102"/>
          <w:w w:val="100"/>
        </w:rPr>
        <w:t> </w:t>
      </w:r>
      <w:r>
        <w:rPr>
          <w:spacing w:val="-102"/>
          <w:w w:val="100"/>
        </w:rPr>
      </w:r>
      <w:r>
        <w:rPr>
          <w:spacing w:val="-2"/>
        </w:rPr>
        <w:t>购买方可辨认净资产公允价值份额的差额，确认为商誉；合并成本小于合并中取得的被购买方可辨认</w:t>
      </w:r>
      <w:r>
        <w:rPr>
          <w:spacing w:val="-70"/>
        </w:rPr>
        <w:t> </w:t>
      </w:r>
      <w:r>
        <w:rPr>
          <w:spacing w:val="-70"/>
        </w:rPr>
      </w:r>
      <w:r>
        <w:rPr>
          <w:spacing w:val="-2"/>
        </w:rPr>
        <w:t>净资产公允价值份额的，首先对合并中取得的各项可辨认资产、负债及或有负债的公允价值、以及合</w:t>
      </w:r>
      <w:r>
        <w:rPr>
          <w:spacing w:val="-66"/>
        </w:rPr>
        <w:t> </w:t>
      </w:r>
      <w:r>
        <w:rPr>
          <w:spacing w:val="-66"/>
        </w:rPr>
      </w:r>
      <w:r>
        <w:rPr>
          <w:spacing w:val="-2"/>
        </w:rPr>
        <w:t>并对价的非现金资产或发行的权益性证券等的公允价值进行复核，经复核后，合并成本仍小于合并中</w:t>
      </w:r>
      <w:r>
        <w:rPr>
          <w:spacing w:val="-70"/>
        </w:rPr>
        <w:t> </w:t>
      </w:r>
      <w:r>
        <w:rPr>
          <w:spacing w:val="-70"/>
        </w:rPr>
      </w:r>
      <w:r>
        <w:rPr/>
        <w:t>取得的被购买方可辨认净资产公允价值份额的，将其差额计入合并当期营业外收入。</w:t>
      </w:r>
    </w:p>
    <w:p>
      <w:pPr>
        <w:spacing w:line="348" w:lineRule="auto" w:before="65"/>
        <w:ind w:left="592" w:right="2654" w:firstLine="2"/>
        <w:jc w:val="left"/>
        <w:rPr>
          <w:rFonts w:ascii="宋体" w:hAnsi="宋体" w:cs="宋体" w:eastAsia="宋体" w:hint="default"/>
          <w:sz w:val="22"/>
          <w:szCs w:val="22"/>
        </w:rPr>
      </w:pPr>
      <w:r>
        <w:rPr>
          <w:rFonts w:ascii="Arial" w:hAnsi="Arial" w:cs="Arial" w:eastAsia="Arial" w:hint="default"/>
          <w:b/>
          <w:bCs/>
          <w:sz w:val="22"/>
          <w:szCs w:val="22"/>
        </w:rPr>
        <w:t>6</w:t>
      </w:r>
      <w:r>
        <w:rPr>
          <w:rFonts w:ascii="宋体" w:hAnsi="宋体" w:cs="宋体" w:eastAsia="宋体" w:hint="default"/>
          <w:b/>
          <w:bCs/>
          <w:sz w:val="22"/>
          <w:szCs w:val="22"/>
        </w:rPr>
        <w:t>、</w:t>
      </w:r>
      <w:r>
        <w:rPr>
          <w:rFonts w:ascii="宋体" w:hAnsi="宋体" w:cs="宋体" w:eastAsia="宋体" w:hint="default"/>
          <w:b/>
          <w:bCs/>
          <w:spacing w:val="-57"/>
          <w:sz w:val="22"/>
          <w:szCs w:val="22"/>
        </w:rPr>
        <w:t> </w:t>
      </w:r>
      <w:r>
        <w:rPr>
          <w:rFonts w:ascii="宋体" w:hAnsi="宋体" w:cs="宋体" w:eastAsia="宋体" w:hint="default"/>
          <w:b/>
          <w:bCs/>
          <w:sz w:val="22"/>
          <w:szCs w:val="22"/>
        </w:rPr>
        <w:t>合并财务报表的编制方法</w:t>
      </w:r>
      <w:r>
        <w:rPr>
          <w:rFonts w:ascii="宋体" w:hAnsi="宋体" w:cs="宋体" w:eastAsia="宋体" w:hint="default"/>
          <w:b/>
          <w:bCs/>
          <w:w w:val="99"/>
          <w:sz w:val="22"/>
          <w:szCs w:val="22"/>
        </w:rPr>
        <w:t> </w:t>
      </w:r>
      <w:r>
        <w:rPr>
          <w:rFonts w:ascii="宋体" w:hAnsi="宋体" w:cs="宋体" w:eastAsia="宋体" w:hint="default"/>
          <w:spacing w:val="-2"/>
          <w:sz w:val="22"/>
          <w:szCs w:val="22"/>
        </w:rPr>
        <w:t>本公司将所有控制的子公司纳入合并财务报表范围。</w:t>
      </w:r>
    </w:p>
    <w:p>
      <w:pPr>
        <w:pStyle w:val="BodyText"/>
        <w:spacing w:line="333" w:lineRule="auto" w:before="52"/>
        <w:ind w:right="1133" w:firstLine="439"/>
        <w:jc w:val="both"/>
      </w:pPr>
      <w:r>
        <w:rPr>
          <w:spacing w:val="-2"/>
        </w:rPr>
        <w:t>在编制合并财务报表时，子公司与本公司采用的会计政策或会计期间不一致的，按照本公司的会</w:t>
      </w:r>
      <w:r>
        <w:rPr>
          <w:w w:val="100"/>
        </w:rPr>
        <w:t> </w:t>
      </w:r>
      <w:r>
        <w:rPr/>
        <w:t>计政策或会计期间对子公司财务报表进行必要的调整。</w:t>
      </w:r>
    </w:p>
    <w:p>
      <w:pPr>
        <w:pStyle w:val="BodyText"/>
        <w:spacing w:line="328" w:lineRule="auto" w:before="68"/>
        <w:ind w:right="1131" w:firstLine="439"/>
        <w:jc w:val="both"/>
      </w:pPr>
      <w:r>
        <w:rPr>
          <w:spacing w:val="-2"/>
        </w:rPr>
        <w:t>合并范围内的所有重大内部交易、往来余额及未实现利润在合并报表编制时予以抵销。子公司的</w:t>
      </w:r>
      <w:r>
        <w:rPr>
          <w:w w:val="100"/>
        </w:rPr>
        <w:t> </w:t>
      </w:r>
      <w:r>
        <w:rPr>
          <w:spacing w:val="-2"/>
        </w:rPr>
        <w:t>所有者权益中不属于母公司的份额以及当期净损益、其他综合收益及综合收益总额中属于少数股东权</w:t>
      </w:r>
      <w:r>
        <w:rPr>
          <w:spacing w:val="-71"/>
        </w:rPr>
        <w:t> </w:t>
      </w:r>
      <w:r>
        <w:rPr>
          <w:spacing w:val="-71"/>
        </w:rPr>
      </w:r>
      <w:r>
        <w:rPr/>
        <w:t>益的份额，分别在合并财务报表</w:t>
      </w:r>
      <w:r>
        <w:rPr>
          <w:rFonts w:ascii="Arial" w:hAnsi="Arial" w:cs="Arial" w:eastAsia="Arial" w:hint="default"/>
        </w:rPr>
        <w:t>“</w:t>
      </w:r>
      <w:r>
        <w:rPr/>
        <w:t>少数股东权益、少数股东损益、归属于少数股东的其他综合收益及</w:t>
      </w:r>
      <w:r>
        <w:rPr>
          <w:spacing w:val="-11"/>
        </w:rPr>
        <w:t> </w:t>
      </w:r>
      <w:r>
        <w:rPr>
          <w:spacing w:val="-11"/>
        </w:rPr>
      </w:r>
      <w:r>
        <w:rPr/>
        <w:t>归属于少数股东的综合收益总额</w:t>
      </w:r>
      <w:r>
        <w:rPr>
          <w:rFonts w:ascii="Arial" w:hAnsi="Arial" w:cs="Arial" w:eastAsia="Arial" w:hint="default"/>
        </w:rPr>
        <w:t>”</w:t>
      </w:r>
      <w:r>
        <w:rPr/>
        <w:t>项目列示。</w:t>
      </w:r>
    </w:p>
    <w:p>
      <w:pPr>
        <w:pStyle w:val="BodyText"/>
        <w:spacing w:line="333" w:lineRule="auto" w:before="44"/>
        <w:ind w:right="1128" w:firstLine="439"/>
        <w:jc w:val="both"/>
      </w:pPr>
      <w:r>
        <w:rPr>
          <w:spacing w:val="-2"/>
        </w:rPr>
        <w:t>对于同一控制下企业合并取得的子公司，其经营成果和现金流量自合并当期期初纳入合并财务报</w:t>
      </w:r>
      <w:r>
        <w:rPr>
          <w:w w:val="100"/>
        </w:rPr>
        <w:t> </w:t>
      </w:r>
      <w:r>
        <w:rPr>
          <w:spacing w:val="-2"/>
        </w:rPr>
        <w:t>表。编制比较合并财务报表时，对上年财务报表的相关项目进行调整，视同合并后形成的报告主体自</w:t>
      </w:r>
      <w:r>
        <w:rPr>
          <w:spacing w:val="-68"/>
        </w:rPr>
        <w:t> </w:t>
      </w:r>
      <w:r>
        <w:rPr>
          <w:spacing w:val="-68"/>
        </w:rPr>
      </w:r>
      <w:r>
        <w:rPr/>
        <w:t>最终控制方开始控制时点起一直存在。</w:t>
      </w:r>
    </w:p>
    <w:p>
      <w:pPr>
        <w:pStyle w:val="BodyText"/>
        <w:spacing w:line="333" w:lineRule="auto" w:before="68"/>
        <w:ind w:right="0" w:firstLine="439"/>
        <w:jc w:val="left"/>
      </w:pPr>
      <w:r>
        <w:rPr/>
        <w:t>通过多次交易分步取得同一控制下被投资单位的股权，最终形成企业合并的，应在取得控制权的</w:t>
      </w:r>
      <w:r>
        <w:rPr>
          <w:w w:val="100"/>
        </w:rPr>
        <w:t> </w:t>
      </w:r>
      <w:r>
        <w:rPr/>
        <w:t>报告期，补充披露在合并财务报表中的处理方法。例如：通过多次交易分步取得同一控制下被投资单</w:t>
      </w:r>
      <w:r>
        <w:rPr>
          <w:w w:val="100"/>
        </w:rPr>
        <w:t> </w:t>
      </w:r>
      <w:r>
        <w:rPr>
          <w:spacing w:val="-2"/>
        </w:rPr>
        <w:t>位的股权，最终形成企业合并，编制合并报表时，视同在最终控制方开始控制时即以目前的状态存在</w:t>
      </w:r>
      <w:r>
        <w:rPr>
          <w:spacing w:val="-69"/>
        </w:rPr>
        <w:t> </w:t>
      </w:r>
      <w:r>
        <w:rPr>
          <w:spacing w:val="-69"/>
        </w:rPr>
      </w:r>
      <w:r>
        <w:rPr>
          <w:spacing w:val="-5"/>
        </w:rPr>
        <w:t>进行调整，在编制比较报表时，以不早于本公司和被合并方同处于最终控制方的控制之下的时点为限，</w:t>
      </w:r>
      <w:r>
        <w:rPr>
          <w:spacing w:val="-45"/>
        </w:rPr>
        <w:t> </w:t>
      </w:r>
      <w:r>
        <w:rPr>
          <w:spacing w:val="-45"/>
        </w:rPr>
      </w:r>
      <w:r>
        <w:rPr>
          <w:spacing w:val="-2"/>
        </w:rPr>
        <w:t>将被合并方的有关资产、负债并入本公司合并财务报表的比较报表中，并将合并而增加的净资产在比</w:t>
      </w:r>
      <w:r>
        <w:rPr>
          <w:spacing w:val="-70"/>
        </w:rPr>
        <w:t> </w:t>
      </w:r>
      <w:r>
        <w:rPr>
          <w:spacing w:val="-70"/>
        </w:rPr>
      </w:r>
      <w:r>
        <w:rPr>
          <w:spacing w:val="-2"/>
        </w:rPr>
        <w:t>较报表中调整所有者权益项下的相关项目。为避免对被合并方净资产的价值进行重复计算，本公司在</w:t>
      </w:r>
      <w:r>
        <w:rPr>
          <w:spacing w:val="-70"/>
        </w:rPr>
        <w:t> </w:t>
      </w:r>
      <w:r>
        <w:rPr>
          <w:spacing w:val="-70"/>
        </w:rPr>
      </w:r>
      <w:r>
        <w:rPr>
          <w:spacing w:val="-2"/>
        </w:rPr>
        <w:t>达到合并之前持有的长期股权投资，在取得原股权之日与本公司和被合并方处于同一方最终控制之日</w:t>
      </w:r>
      <w:r>
        <w:rPr>
          <w:spacing w:val="-73"/>
        </w:rPr>
        <w:t> </w:t>
      </w:r>
      <w:r>
        <w:rPr>
          <w:spacing w:val="-73"/>
        </w:rPr>
      </w:r>
      <w:r>
        <w:rPr>
          <w:spacing w:val="-2"/>
        </w:rPr>
        <w:t>孰晚日起至合并日之间已确认有关损益、其他综合收益和其他净资产变动，应分别冲减比较报表期间</w:t>
      </w:r>
      <w:r>
        <w:rPr>
          <w:spacing w:val="-69"/>
        </w:rPr>
        <w:t> </w:t>
      </w:r>
      <w:r>
        <w:rPr>
          <w:spacing w:val="-69"/>
        </w:rPr>
      </w:r>
      <w:r>
        <w:rPr/>
        <w:t>的期初留存收益和当期损益。</w:t>
      </w:r>
    </w:p>
    <w:p>
      <w:pPr>
        <w:pStyle w:val="BodyText"/>
        <w:spacing w:line="333" w:lineRule="auto" w:before="65"/>
        <w:ind w:right="1128" w:firstLine="439"/>
        <w:jc w:val="both"/>
      </w:pPr>
      <w:r>
        <w:rPr>
          <w:spacing w:val="-2"/>
        </w:rPr>
        <w:t>对于非同一控制下企业合并取得子公司，经营成果和现金流量自本公司取得控制权之日起纳入合</w:t>
      </w:r>
      <w:r>
        <w:rPr>
          <w:w w:val="100"/>
        </w:rPr>
        <w:t> </w:t>
      </w:r>
      <w:r>
        <w:rPr>
          <w:spacing w:val="-2"/>
        </w:rPr>
        <w:t>并财务报表。在编制合并财务报表时，以购买日确定的各项可辨认资产、负债及或有负债的公允价值</w:t>
      </w:r>
      <w:r>
        <w:rPr>
          <w:spacing w:val="-68"/>
        </w:rPr>
        <w:t> </w:t>
      </w:r>
      <w:r>
        <w:rPr>
          <w:spacing w:val="-68"/>
        </w:rPr>
      </w:r>
      <w:r>
        <w:rPr/>
        <w:t>为基础对子公司的财务报表进行调整。</w:t>
      </w:r>
    </w:p>
    <w:p>
      <w:pPr>
        <w:pStyle w:val="BodyText"/>
        <w:spacing w:line="333" w:lineRule="auto" w:before="65"/>
        <w:ind w:right="1129" w:firstLine="439"/>
        <w:jc w:val="both"/>
      </w:pPr>
      <w:r>
        <w:rPr>
          <w:spacing w:val="-2"/>
        </w:rPr>
        <w:t>通过多次交易分步取得非同一控制下被投资单位的股权，最终形成企业合并的，应在取得控制权</w:t>
      </w:r>
      <w:r>
        <w:rPr>
          <w:w w:val="100"/>
        </w:rPr>
        <w:t> </w:t>
      </w:r>
      <w:r>
        <w:rPr>
          <w:spacing w:val="-2"/>
        </w:rPr>
        <w:t>的报告期，补充披露在合并财务报表中的处理方法。例如：通过多次交易分步取得非同一控制下被投</w:t>
      </w:r>
      <w:r>
        <w:rPr>
          <w:spacing w:val="-70"/>
        </w:rPr>
        <w:t> </w:t>
      </w:r>
      <w:r>
        <w:rPr>
          <w:spacing w:val="-70"/>
        </w:rPr>
      </w:r>
      <w:r>
        <w:rPr>
          <w:spacing w:val="-2"/>
        </w:rPr>
        <w:t>资单位的股权，最终形成企业合并，编制合并报表时，对于购买日之前持有的被购买方的股权，按照</w:t>
      </w:r>
      <w:r>
        <w:rPr>
          <w:spacing w:val="-70"/>
        </w:rPr>
        <w:t> </w:t>
      </w:r>
      <w:r>
        <w:rPr>
          <w:spacing w:val="-70"/>
        </w:rPr>
      </w:r>
      <w:r>
        <w:rPr>
          <w:spacing w:val="-2"/>
        </w:rPr>
        <w:t>该股权在购买日的公允价值进行重新计量，公允价值与其账面价值的差额计入当期投资收益；与其相</w:t>
      </w:r>
      <w:r>
        <w:rPr>
          <w:spacing w:val="-70"/>
        </w:rPr>
        <w:t> </w:t>
      </w:r>
      <w:r>
        <w:rPr>
          <w:spacing w:val="-70"/>
        </w:rPr>
      </w:r>
      <w:r>
        <w:rPr>
          <w:spacing w:val="-2"/>
        </w:rPr>
        <w:t>关的购买日之前持有的被购买方的股权涉及权益法核算下的其他综合收益以及除净损益、其他综合收</w:t>
      </w:r>
      <w:r>
        <w:rPr>
          <w:spacing w:val="-73"/>
        </w:rPr>
        <w:t> </w:t>
      </w:r>
      <w:r>
        <w:rPr>
          <w:spacing w:val="-73"/>
        </w:rPr>
      </w:r>
      <w:r>
        <w:rPr>
          <w:spacing w:val="-2"/>
        </w:rPr>
        <w:t>益和利润分配外的其他所有者权益变动，在购买日所属当期转为投资损益，由于被投资方重新计量设</w:t>
      </w:r>
    </w:p>
    <w:p>
      <w:pPr>
        <w:spacing w:after="0" w:line="333" w:lineRule="auto"/>
        <w:jc w:val="both"/>
        <w:sectPr>
          <w:footerReference w:type="default" r:id="rId16"/>
          <w:pgSz w:w="11910" w:h="16840"/>
          <w:pgMar w:footer="979" w:header="745" w:top="1060" w:bottom="1160" w:left="980" w:right="0"/>
          <w:pgNumType w:start="101"/>
        </w:sectPr>
      </w:pPr>
    </w:p>
    <w:p>
      <w:pPr>
        <w:spacing w:line="240" w:lineRule="auto" w:before="0"/>
        <w:rPr>
          <w:rFonts w:ascii="宋体" w:hAnsi="宋体" w:cs="宋体" w:eastAsia="宋体" w:hint="default"/>
          <w:sz w:val="20"/>
          <w:szCs w:val="20"/>
        </w:rPr>
      </w:pPr>
    </w:p>
    <w:p>
      <w:pPr>
        <w:pStyle w:val="BodyText"/>
        <w:spacing w:line="367" w:lineRule="auto" w:before="173"/>
        <w:ind w:left="592" w:right="1133" w:hanging="440"/>
        <w:jc w:val="left"/>
      </w:pPr>
      <w:r>
        <w:rPr/>
        <w:t>定受益计划净负债或净资产变动而产生的其他综合收益除外。</w:t>
      </w:r>
      <w:r>
        <w:rPr>
          <w:w w:val="100"/>
        </w:rPr>
        <w:t> </w:t>
      </w:r>
      <w:r>
        <w:rPr>
          <w:spacing w:val="-2"/>
        </w:rPr>
        <w:t>本公司在不丧失控制权的情况下部分处置对子公司的长期股权投资，在合并财务报表中，处置价</w:t>
      </w:r>
    </w:p>
    <w:p>
      <w:pPr>
        <w:pStyle w:val="BodyText"/>
        <w:spacing w:line="333" w:lineRule="auto"/>
        <w:ind w:right="1088"/>
        <w:jc w:val="both"/>
      </w:pPr>
      <w:r>
        <w:rPr>
          <w:spacing w:val="-1"/>
        </w:rPr>
        <w:t>款与处置长期股权投资相对应享有子公司自购买日或合并日开始持续计算的净资产份额之间的差额，</w:t>
      </w:r>
      <w:r>
        <w:rPr>
          <w:spacing w:val="-71"/>
        </w:rPr>
        <w:t> </w:t>
      </w:r>
      <w:r>
        <w:rPr>
          <w:spacing w:val="-71"/>
        </w:rPr>
      </w:r>
      <w:r>
        <w:rPr/>
        <w:t>调整资本溢价或股本溢价，资本公积不足冲减的，调整留存收益。</w:t>
      </w:r>
    </w:p>
    <w:p>
      <w:pPr>
        <w:pStyle w:val="BodyText"/>
        <w:spacing w:line="333" w:lineRule="auto" w:before="65"/>
        <w:ind w:right="1128" w:firstLine="439"/>
        <w:jc w:val="both"/>
      </w:pPr>
      <w:r>
        <w:rPr>
          <w:spacing w:val="-2"/>
        </w:rPr>
        <w:t>本公司因处置部分股权投资等原因丧失了对被投资方的控制权的，在编制合并财务报表时，对于</w:t>
      </w:r>
      <w:r>
        <w:rPr>
          <w:w w:val="100"/>
        </w:rPr>
        <w:t> </w:t>
      </w:r>
      <w:r>
        <w:rPr>
          <w:spacing w:val="-2"/>
        </w:rPr>
        <w:t>剩余股权，按照其在丧失控制权日的公允价值进行重新计量。处置股权取得的对价与剩余股权公允价</w:t>
      </w:r>
      <w:r>
        <w:rPr>
          <w:spacing w:val="-70"/>
        </w:rPr>
        <w:t> </w:t>
      </w:r>
      <w:r>
        <w:rPr>
          <w:spacing w:val="-70"/>
        </w:rPr>
      </w:r>
      <w:r>
        <w:rPr>
          <w:spacing w:val="-2"/>
        </w:rPr>
        <w:t>值之和，减去按原持股比例计算应享有原有子公司自购买日或合并日开始持续计算的净资产的份额之</w:t>
      </w:r>
      <w:r>
        <w:rPr>
          <w:spacing w:val="-73"/>
        </w:rPr>
        <w:t> </w:t>
      </w:r>
      <w:r>
        <w:rPr>
          <w:spacing w:val="-73"/>
        </w:rPr>
      </w:r>
      <w:r>
        <w:rPr>
          <w:spacing w:val="-2"/>
        </w:rPr>
        <w:t>间的差额，计入丧失控制权当期的投资损益，同时冲减商誉。与原有子公司股权投资相关的其他综合</w:t>
      </w:r>
      <w:r>
        <w:rPr>
          <w:spacing w:val="-66"/>
        </w:rPr>
        <w:t> </w:t>
      </w:r>
      <w:r>
        <w:rPr>
          <w:spacing w:val="-66"/>
        </w:rPr>
      </w:r>
      <w:r>
        <w:rPr/>
        <w:t>收益等，在丧失控制权时转为当期投资损益</w:t>
      </w:r>
      <w:r>
        <w:rPr>
          <w:spacing w:val="-1"/>
        </w:rPr>
        <w:t> </w:t>
      </w:r>
      <w:r>
        <w:rPr/>
        <w:t>。</w:t>
      </w:r>
    </w:p>
    <w:p>
      <w:pPr>
        <w:pStyle w:val="BodyText"/>
        <w:spacing w:line="333" w:lineRule="auto" w:before="65"/>
        <w:ind w:right="1131" w:firstLine="439"/>
        <w:jc w:val="both"/>
      </w:pPr>
      <w:r>
        <w:rPr>
          <w:spacing w:val="-2"/>
        </w:rPr>
        <w:t>本公司通过多次交易分步处置对子公司股权投资直至丧失控制权的，如果处置对子公司股权投资</w:t>
      </w:r>
      <w:r>
        <w:rPr>
          <w:w w:val="100"/>
        </w:rPr>
        <w:t> </w:t>
      </w:r>
      <w:r>
        <w:rPr>
          <w:spacing w:val="-2"/>
        </w:rPr>
        <w:t>直至丧失控制权的各项交易属于一揽子交易的，应当将各项交易作为一项处置子公司并丧失控制权的</w:t>
      </w:r>
      <w:r>
        <w:rPr>
          <w:spacing w:val="-73"/>
        </w:rPr>
        <w:t> </w:t>
      </w:r>
      <w:r>
        <w:rPr>
          <w:spacing w:val="-73"/>
        </w:rPr>
      </w:r>
      <w:r>
        <w:rPr>
          <w:spacing w:val="-2"/>
        </w:rPr>
        <w:t>交易进行会计处理；但是，在丧失控制权之前每一次处置价款与处置投资对应的享有该子公司净资产</w:t>
      </w:r>
      <w:r>
        <w:rPr>
          <w:spacing w:val="-70"/>
        </w:rPr>
        <w:t> </w:t>
      </w:r>
      <w:r>
        <w:rPr>
          <w:spacing w:val="-70"/>
        </w:rPr>
      </w:r>
      <w:r>
        <w:rPr>
          <w:spacing w:val="-2"/>
        </w:rPr>
        <w:t>份额的差额，在合并财务报表中确认为其他综合收益，在丧失控制权时一并转入丧失控制权当期的投</w:t>
      </w:r>
      <w:r>
        <w:rPr>
          <w:spacing w:val="-70"/>
        </w:rPr>
        <w:t> </w:t>
      </w:r>
      <w:r>
        <w:rPr>
          <w:spacing w:val="-70"/>
        </w:rPr>
      </w:r>
      <w:r>
        <w:rPr/>
        <w:t>资损益。</w:t>
      </w:r>
    </w:p>
    <w:p>
      <w:pPr>
        <w:spacing w:line="348" w:lineRule="auto" w:before="65"/>
        <w:ind w:left="592" w:right="0" w:firstLine="2"/>
        <w:jc w:val="left"/>
        <w:rPr>
          <w:rFonts w:ascii="宋体" w:hAnsi="宋体" w:cs="宋体" w:eastAsia="宋体" w:hint="default"/>
          <w:sz w:val="22"/>
          <w:szCs w:val="22"/>
        </w:rPr>
      </w:pPr>
      <w:r>
        <w:rPr>
          <w:rFonts w:ascii="Arial" w:hAnsi="Arial" w:cs="Arial" w:eastAsia="Arial" w:hint="default"/>
          <w:b/>
          <w:bCs/>
          <w:sz w:val="22"/>
          <w:szCs w:val="22"/>
        </w:rPr>
        <w:t>7</w:t>
      </w:r>
      <w:r>
        <w:rPr>
          <w:rFonts w:ascii="宋体" w:hAnsi="宋体" w:cs="宋体" w:eastAsia="宋体" w:hint="default"/>
          <w:b/>
          <w:bCs/>
          <w:sz w:val="22"/>
          <w:szCs w:val="22"/>
        </w:rPr>
        <w:t>、</w:t>
      </w:r>
      <w:r>
        <w:rPr>
          <w:rFonts w:ascii="宋体" w:hAnsi="宋体" w:cs="宋体" w:eastAsia="宋体" w:hint="default"/>
          <w:b/>
          <w:bCs/>
          <w:spacing w:val="-56"/>
          <w:sz w:val="22"/>
          <w:szCs w:val="22"/>
        </w:rPr>
        <w:t> </w:t>
      </w:r>
      <w:r>
        <w:rPr>
          <w:rFonts w:ascii="宋体" w:hAnsi="宋体" w:cs="宋体" w:eastAsia="宋体" w:hint="default"/>
          <w:b/>
          <w:bCs/>
          <w:sz w:val="22"/>
          <w:szCs w:val="22"/>
        </w:rPr>
        <w:t>合营安排分类及共同经营会计处理方法</w:t>
      </w:r>
      <w:r>
        <w:rPr>
          <w:rFonts w:ascii="宋体" w:hAnsi="宋体" w:cs="宋体" w:eastAsia="宋体" w:hint="default"/>
          <w:b/>
          <w:bCs/>
          <w:w w:val="99"/>
          <w:sz w:val="22"/>
          <w:szCs w:val="22"/>
        </w:rPr>
        <w:t> </w:t>
      </w:r>
      <w:r>
        <w:rPr>
          <w:rFonts w:ascii="宋体" w:hAnsi="宋体" w:cs="宋体" w:eastAsia="宋体" w:hint="default"/>
          <w:spacing w:val="-4"/>
          <w:w w:val="100"/>
          <w:sz w:val="22"/>
          <w:szCs w:val="22"/>
        </w:rPr>
        <w:t>本公司的合营安排包括共同经营和合营企业。对于共同经营项目</w:t>
      </w:r>
      <w:r>
        <w:rPr>
          <w:rFonts w:ascii="Arial" w:hAnsi="Arial" w:cs="Arial" w:eastAsia="Arial" w:hint="default"/>
          <w:spacing w:val="-4"/>
          <w:w w:val="100"/>
          <w:sz w:val="22"/>
          <w:szCs w:val="22"/>
        </w:rPr>
        <w:t>,</w:t>
      </w:r>
      <w:r>
        <w:rPr>
          <w:rFonts w:ascii="宋体" w:hAnsi="宋体" w:cs="宋体" w:eastAsia="宋体" w:hint="default"/>
          <w:spacing w:val="-4"/>
          <w:w w:val="100"/>
          <w:sz w:val="22"/>
          <w:szCs w:val="22"/>
        </w:rPr>
        <w:t>本公司作为共同经营中的合营方</w:t>
      </w:r>
    </w:p>
    <w:p>
      <w:pPr>
        <w:pStyle w:val="BodyText"/>
        <w:spacing w:line="273" w:lineRule="exact"/>
        <w:ind w:right="0"/>
        <w:jc w:val="both"/>
      </w:pPr>
      <w:r>
        <w:rPr/>
        <w:t>确认单独持有的资产和承担的负债，以及按份额确认持有的资产和承担的负债，根据相关约定单独或</w:t>
      </w:r>
    </w:p>
    <w:p>
      <w:pPr>
        <w:pStyle w:val="BodyText"/>
        <w:spacing w:line="331" w:lineRule="auto" w:before="113"/>
        <w:ind w:right="1128"/>
        <w:jc w:val="both"/>
      </w:pPr>
      <w:r>
        <w:rPr>
          <w:spacing w:val="-2"/>
        </w:rPr>
        <w:t>按份额确认相关的收入和费用。与共同经营发生购买、销售不构成业务的资产交易的，仅确认因该交</w:t>
      </w:r>
      <w:r>
        <w:rPr>
          <w:spacing w:val="-67"/>
        </w:rPr>
        <w:t> </w:t>
      </w:r>
      <w:r>
        <w:rPr>
          <w:spacing w:val="-67"/>
        </w:rPr>
      </w:r>
      <w:r>
        <w:rPr/>
        <w:t>易产生的损益中归属于共同经营其他参与方的部分。</w:t>
      </w:r>
    </w:p>
    <w:p>
      <w:pPr>
        <w:spacing w:line="348" w:lineRule="auto" w:before="70"/>
        <w:ind w:left="592" w:right="1133" w:firstLine="2"/>
        <w:jc w:val="left"/>
        <w:rPr>
          <w:rFonts w:ascii="宋体" w:hAnsi="宋体" w:cs="宋体" w:eastAsia="宋体" w:hint="default"/>
          <w:sz w:val="22"/>
          <w:szCs w:val="22"/>
        </w:rPr>
      </w:pPr>
      <w:r>
        <w:rPr>
          <w:rFonts w:ascii="Arial" w:hAnsi="Arial" w:cs="Arial" w:eastAsia="Arial" w:hint="default"/>
          <w:b/>
          <w:bCs/>
          <w:sz w:val="22"/>
          <w:szCs w:val="22"/>
        </w:rPr>
        <w:t>8</w:t>
      </w:r>
      <w:r>
        <w:rPr>
          <w:rFonts w:ascii="宋体" w:hAnsi="宋体" w:cs="宋体" w:eastAsia="宋体" w:hint="default"/>
          <w:b/>
          <w:bCs/>
          <w:sz w:val="22"/>
          <w:szCs w:val="22"/>
        </w:rPr>
        <w:t>、</w:t>
      </w:r>
      <w:r>
        <w:rPr>
          <w:rFonts w:ascii="宋体" w:hAnsi="宋体" w:cs="宋体" w:eastAsia="宋体" w:hint="default"/>
          <w:b/>
          <w:bCs/>
          <w:spacing w:val="-56"/>
          <w:sz w:val="22"/>
          <w:szCs w:val="22"/>
        </w:rPr>
        <w:t> </w:t>
      </w:r>
      <w:r>
        <w:rPr>
          <w:rFonts w:ascii="宋体" w:hAnsi="宋体" w:cs="宋体" w:eastAsia="宋体" w:hint="default"/>
          <w:b/>
          <w:bCs/>
          <w:sz w:val="22"/>
          <w:szCs w:val="22"/>
        </w:rPr>
        <w:t>现金及现金等价物</w:t>
      </w:r>
      <w:r>
        <w:rPr>
          <w:rFonts w:ascii="宋体" w:hAnsi="宋体" w:cs="宋体" w:eastAsia="宋体" w:hint="default"/>
          <w:b/>
          <w:bCs/>
          <w:w w:val="99"/>
          <w:sz w:val="22"/>
          <w:szCs w:val="22"/>
        </w:rPr>
        <w:t> </w:t>
      </w:r>
      <w:r>
        <w:rPr>
          <w:rFonts w:ascii="宋体" w:hAnsi="宋体" w:cs="宋体" w:eastAsia="宋体" w:hint="default"/>
          <w:spacing w:val="-2"/>
          <w:sz w:val="22"/>
          <w:szCs w:val="22"/>
        </w:rPr>
        <w:t>本公司现金流量表之现金指库存现金以及可以随时用于支付的存款。现金流量表之现金等价物指</w:t>
      </w:r>
    </w:p>
    <w:p>
      <w:pPr>
        <w:pStyle w:val="BodyText"/>
        <w:spacing w:line="240" w:lineRule="auto" w:before="14"/>
        <w:ind w:right="0"/>
        <w:jc w:val="both"/>
      </w:pPr>
      <w:r>
        <w:rPr/>
        <w:t>持有期限不超过</w:t>
      </w:r>
      <w:r>
        <w:rPr>
          <w:spacing w:val="-56"/>
        </w:rPr>
        <w:t> </w:t>
      </w:r>
      <w:r>
        <w:rPr>
          <w:rFonts w:ascii="Arial" w:hAnsi="Arial" w:cs="Arial" w:eastAsia="Arial" w:hint="default"/>
        </w:rPr>
        <w:t>3</w:t>
      </w:r>
      <w:r>
        <w:rPr>
          <w:rFonts w:ascii="Arial" w:hAnsi="Arial" w:cs="Arial" w:eastAsia="Arial" w:hint="default"/>
          <w:spacing w:val="-10"/>
        </w:rPr>
        <w:t> </w:t>
      </w:r>
      <w:r>
        <w:rPr/>
        <w:t>个月、流动性强、易于转换为已知金额现金且价值变动风险很小的投资。</w:t>
      </w:r>
    </w:p>
    <w:p>
      <w:pPr>
        <w:pStyle w:val="Heading4"/>
        <w:spacing w:line="240" w:lineRule="auto" w:before="135"/>
        <w:ind w:right="1133"/>
        <w:jc w:val="left"/>
        <w:rPr>
          <w:b w:val="0"/>
          <w:bCs w:val="0"/>
        </w:rPr>
      </w:pPr>
      <w:r>
        <w:rPr>
          <w:rFonts w:ascii="Arial" w:hAnsi="Arial" w:cs="Arial" w:eastAsia="Arial" w:hint="default"/>
        </w:rPr>
        <w:t>9</w:t>
      </w:r>
      <w:r>
        <w:rPr/>
        <w:t>、</w:t>
      </w:r>
      <w:r>
        <w:rPr>
          <w:spacing w:val="-58"/>
        </w:rPr>
        <w:t> </w:t>
      </w:r>
      <w:r>
        <w:rPr/>
        <w:t>外币业务和外币财务报表折算</w:t>
      </w:r>
      <w:r>
        <w:rPr>
          <w:b w:val="0"/>
          <w:bCs w:val="0"/>
        </w:rPr>
      </w:r>
    </w:p>
    <w:p>
      <w:pPr>
        <w:pStyle w:val="BodyText"/>
        <w:spacing w:line="348" w:lineRule="auto" w:before="97"/>
        <w:ind w:left="592" w:right="1133"/>
        <w:jc w:val="left"/>
      </w:pPr>
      <w:r>
        <w:rPr/>
        <w:t>（</w:t>
      </w:r>
      <w:r>
        <w:rPr>
          <w:rFonts w:ascii="Arial" w:hAnsi="Arial" w:cs="Arial" w:eastAsia="Arial" w:hint="default"/>
        </w:rPr>
        <w:t>1</w:t>
      </w:r>
      <w:r>
        <w:rPr/>
        <w:t>）外币交易</w:t>
      </w:r>
      <w:r>
        <w:rPr>
          <w:w w:val="100"/>
        </w:rPr>
        <w:t> </w:t>
      </w:r>
      <w:r>
        <w:rPr>
          <w:spacing w:val="-2"/>
        </w:rPr>
        <w:t>本公司外币交易按交易发生日的即期汇率将外币金额折算为人民币金额。于资产负债表日，外币</w:t>
      </w:r>
    </w:p>
    <w:p>
      <w:pPr>
        <w:pStyle w:val="BodyText"/>
        <w:spacing w:line="331" w:lineRule="auto" w:before="14"/>
        <w:ind w:right="1088"/>
        <w:jc w:val="both"/>
      </w:pPr>
      <w:r>
        <w:rPr>
          <w:spacing w:val="-2"/>
        </w:rPr>
        <w:t>货币性项目采用资产负债表日的即期汇率折算为人民币，所产生的折算差额除了为购建或生产符合资</w:t>
      </w:r>
      <w:r>
        <w:rPr>
          <w:spacing w:val="-72"/>
        </w:rPr>
        <w:t> </w:t>
      </w:r>
      <w:r>
        <w:rPr>
          <w:spacing w:val="-72"/>
        </w:rPr>
      </w:r>
      <w:r>
        <w:rPr>
          <w:spacing w:val="-1"/>
        </w:rPr>
        <w:t>本化条件的资产而借入的外币专门借款产生的汇兑差额按资本化的原则处理外，直接计入当期损益。</w:t>
      </w:r>
    </w:p>
    <w:p>
      <w:pPr>
        <w:pStyle w:val="BodyText"/>
        <w:spacing w:line="348" w:lineRule="auto" w:before="70"/>
        <w:ind w:left="592" w:right="1133"/>
        <w:jc w:val="left"/>
      </w:pPr>
      <w:r>
        <w:rPr/>
        <w:t>（</w:t>
      </w:r>
      <w:r>
        <w:rPr>
          <w:rFonts w:ascii="Arial" w:hAnsi="Arial" w:cs="Arial" w:eastAsia="Arial" w:hint="default"/>
        </w:rPr>
        <w:t>2</w:t>
      </w:r>
      <w:r>
        <w:rPr/>
        <w:t>）外币财务报表的折算</w:t>
      </w:r>
      <w:r>
        <w:rPr>
          <w:rFonts w:ascii="宋体" w:hAnsi="宋体" w:cs="宋体" w:eastAsia="宋体" w:hint="default"/>
          <w:b/>
          <w:bCs/>
          <w:w w:val="99"/>
        </w:rPr>
        <w:t> </w:t>
      </w:r>
      <w:r>
        <w:rPr>
          <w:spacing w:val="-4"/>
        </w:rPr>
        <w:t>外币资产负债表中资产、负债类项目采用资产负债表日的即期汇率折算；所有者权益类项目除</w:t>
      </w:r>
      <w:r>
        <w:rPr>
          <w:rFonts w:ascii="Arial" w:hAnsi="Arial" w:cs="Arial" w:eastAsia="Arial" w:hint="default"/>
          <w:spacing w:val="-4"/>
        </w:rPr>
        <w:t>“</w:t>
      </w:r>
      <w:r>
        <w:rPr>
          <w:spacing w:val="-4"/>
        </w:rPr>
        <w:t>未</w:t>
      </w:r>
    </w:p>
    <w:p>
      <w:pPr>
        <w:pStyle w:val="BodyText"/>
        <w:spacing w:line="328" w:lineRule="auto"/>
        <w:ind w:right="1128"/>
        <w:jc w:val="both"/>
      </w:pPr>
      <w:r>
        <w:rPr/>
        <w:t>分配利润</w:t>
      </w:r>
      <w:r>
        <w:rPr>
          <w:rFonts w:ascii="Arial" w:hAnsi="Arial" w:cs="Arial" w:eastAsia="Arial" w:hint="default"/>
        </w:rPr>
        <w:t>”</w:t>
      </w:r>
      <w:r>
        <w:rPr/>
        <w:t>外，均按业务发生时的即期汇率折算；利润表中的收入与费用项目，采用交易发生日的即</w:t>
      </w:r>
      <w:r>
        <w:rPr>
          <w:spacing w:val="-13"/>
        </w:rPr>
        <w:t> </w:t>
      </w:r>
      <w:r>
        <w:rPr>
          <w:spacing w:val="-13"/>
        </w:rPr>
      </w:r>
      <w:r>
        <w:rPr>
          <w:spacing w:val="-2"/>
        </w:rPr>
        <w:t>期汇率的近似汇率折算。上述折算产生的外币报表折算差额，在其他综合收益项目中列示。外币现金</w:t>
      </w:r>
      <w:r>
        <w:rPr>
          <w:spacing w:val="-66"/>
        </w:rPr>
        <w:t> </w:t>
      </w:r>
      <w:r>
        <w:rPr>
          <w:spacing w:val="-66"/>
        </w:rPr>
      </w:r>
      <w:r>
        <w:rPr>
          <w:spacing w:val="-2"/>
        </w:rPr>
        <w:t>流量采用现金流量发生日的即期汇率的近似汇率折算。汇率变动对现金的影响额，在现金流量表中单</w:t>
      </w:r>
      <w:r>
        <w:rPr>
          <w:spacing w:val="-68"/>
        </w:rPr>
        <w:t> </w:t>
      </w:r>
      <w:r>
        <w:rPr>
          <w:spacing w:val="-68"/>
        </w:rPr>
      </w:r>
      <w:r>
        <w:rPr/>
        <w:t>独列示。</w:t>
      </w:r>
    </w:p>
    <w:p>
      <w:pPr>
        <w:spacing w:after="0" w:line="328"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tabs>
          <w:tab w:pos="1413" w:val="left" w:leader="none"/>
        </w:tabs>
        <w:spacing w:line="348" w:lineRule="auto" w:before="173"/>
        <w:ind w:left="592" w:right="3950" w:firstLine="2"/>
        <w:jc w:val="left"/>
        <w:rPr>
          <w:rFonts w:ascii="宋体" w:hAnsi="宋体" w:cs="宋体" w:eastAsia="宋体" w:hint="default"/>
          <w:sz w:val="22"/>
          <w:szCs w:val="22"/>
        </w:rPr>
      </w:pPr>
      <w:r>
        <w:rPr>
          <w:rFonts w:ascii="Arial" w:hAnsi="Arial" w:cs="Arial" w:eastAsia="Arial" w:hint="default"/>
          <w:b/>
          <w:bCs/>
          <w:spacing w:val="-1"/>
          <w:sz w:val="22"/>
          <w:szCs w:val="22"/>
        </w:rPr>
        <w:t>10</w:t>
      </w:r>
      <w:r>
        <w:rPr>
          <w:rFonts w:ascii="宋体" w:hAnsi="宋体" w:cs="宋体" w:eastAsia="宋体" w:hint="default"/>
          <w:b/>
          <w:bCs/>
          <w:spacing w:val="-1"/>
          <w:sz w:val="22"/>
          <w:szCs w:val="22"/>
        </w:rPr>
        <w:t>、</w:t>
        <w:tab/>
      </w:r>
      <w:r>
        <w:rPr>
          <w:rFonts w:ascii="宋体" w:hAnsi="宋体" w:cs="宋体" w:eastAsia="宋体" w:hint="default"/>
          <w:b/>
          <w:bCs/>
          <w:sz w:val="22"/>
          <w:szCs w:val="22"/>
        </w:rPr>
        <w:t>金融资产和金融负债</w:t>
      </w:r>
      <w:r>
        <w:rPr>
          <w:rFonts w:ascii="宋体" w:hAnsi="宋体" w:cs="宋体" w:eastAsia="宋体" w:hint="default"/>
          <w:b/>
          <w:bCs/>
          <w:w w:val="99"/>
          <w:sz w:val="22"/>
          <w:szCs w:val="22"/>
        </w:rPr>
        <w:t> </w:t>
      </w:r>
      <w:r>
        <w:rPr>
          <w:rFonts w:ascii="宋体" w:hAnsi="宋体" w:cs="宋体" w:eastAsia="宋体" w:hint="default"/>
          <w:spacing w:val="-1"/>
          <w:sz w:val="22"/>
          <w:szCs w:val="22"/>
        </w:rPr>
        <w:t>本公司成为金融工具合同的一方时确认一项金融资产或金融负债。</w:t>
      </w:r>
    </w:p>
    <w:p>
      <w:pPr>
        <w:pStyle w:val="BodyText"/>
        <w:spacing w:line="240" w:lineRule="auto" w:before="52"/>
        <w:ind w:left="592" w:right="1133"/>
        <w:jc w:val="left"/>
      </w:pPr>
      <w:r>
        <w:rPr/>
        <w:t>（</w:t>
      </w:r>
      <w:r>
        <w:rPr>
          <w:rFonts w:ascii="Arial" w:hAnsi="Arial" w:cs="Arial" w:eastAsia="Arial" w:hint="default"/>
        </w:rPr>
        <w:t>1</w:t>
      </w:r>
      <w:r>
        <w:rPr/>
        <w:t>）金融资产</w:t>
      </w:r>
    </w:p>
    <w:p>
      <w:pPr>
        <w:pStyle w:val="BodyText"/>
        <w:spacing w:line="333" w:lineRule="auto" w:before="95"/>
        <w:ind w:left="592" w:right="1133"/>
        <w:jc w:val="left"/>
      </w:pPr>
      <w:r>
        <w:rPr/>
        <w:t>①金融资产分类、确认依据和计量方法</w:t>
      </w:r>
      <w:r>
        <w:rPr>
          <w:w w:val="100"/>
        </w:rPr>
        <w:t> </w:t>
      </w:r>
      <w:r>
        <w:rPr>
          <w:spacing w:val="-2"/>
        </w:rPr>
        <w:t>本公司根据管理金融资产的业务模式和金融资产的合同现金流特征，将金融资产分类为以摊余成</w:t>
      </w:r>
    </w:p>
    <w:p>
      <w:pPr>
        <w:pStyle w:val="BodyText"/>
        <w:spacing w:line="331" w:lineRule="auto" w:before="27"/>
        <w:ind w:right="1133"/>
        <w:jc w:val="left"/>
      </w:pPr>
      <w:r>
        <w:rPr>
          <w:spacing w:val="-2"/>
        </w:rPr>
        <w:t>本计量的金融资产、以公允价值计量且其变动计入其他综合收益的金融资产、以公允价值计量且其变</w:t>
      </w:r>
      <w:r>
        <w:rPr>
          <w:spacing w:val="-70"/>
        </w:rPr>
        <w:t> </w:t>
      </w:r>
      <w:r>
        <w:rPr>
          <w:spacing w:val="-70"/>
        </w:rPr>
      </w:r>
      <w:r>
        <w:rPr/>
        <w:t>动计入当期损益的金融资产。</w:t>
      </w:r>
    </w:p>
    <w:p>
      <w:pPr>
        <w:pStyle w:val="BodyText"/>
        <w:spacing w:line="326" w:lineRule="auto" w:before="29"/>
        <w:ind w:right="0" w:firstLine="439"/>
        <w:jc w:val="left"/>
      </w:pPr>
      <w:r>
        <w:rPr/>
        <w:t>本公司将同时符合下列条件的金融资产分类为以摊余成本计量的金融资产：</w:t>
      </w:r>
      <w:r>
        <w:rPr>
          <w:rFonts w:ascii="Arial" w:hAnsi="Arial" w:cs="Arial" w:eastAsia="Arial" w:hint="default"/>
        </w:rPr>
        <w:t>A.</w:t>
      </w:r>
      <w:r>
        <w:rPr/>
        <w:t>管理该金融资产的</w:t>
      </w:r>
      <w:r>
        <w:rPr>
          <w:w w:val="100"/>
        </w:rPr>
        <w:t> </w:t>
      </w:r>
      <w:r>
        <w:rPr>
          <w:spacing w:val="-5"/>
        </w:rPr>
        <w:t>业务模式是以收取合同现金流量为目标。</w:t>
      </w:r>
      <w:r>
        <w:rPr>
          <w:rFonts w:ascii="Arial" w:hAnsi="Arial" w:cs="Arial" w:eastAsia="Arial" w:hint="default"/>
          <w:spacing w:val="-5"/>
        </w:rPr>
        <w:t>B.</w:t>
      </w:r>
      <w:r>
        <w:rPr>
          <w:spacing w:val="-5"/>
        </w:rPr>
        <w:t>该金融资产的合同条款规定，在特定日期产生的现金流量，</w:t>
      </w:r>
      <w:r>
        <w:rPr>
          <w:spacing w:val="-30"/>
        </w:rPr>
        <w:t> </w:t>
      </w:r>
      <w:r>
        <w:rPr>
          <w:spacing w:val="-30"/>
        </w:rPr>
      </w:r>
      <w:r>
        <w:rPr>
          <w:spacing w:val="-2"/>
        </w:rPr>
        <w:t>仅为对本金和以未偿付本金金额为基础的利息的支付。此类金融资产按照公允价值进行初始计量，相</w:t>
      </w:r>
      <w:r>
        <w:rPr>
          <w:spacing w:val="-70"/>
        </w:rPr>
        <w:t> </w:t>
      </w:r>
      <w:r>
        <w:rPr>
          <w:spacing w:val="-70"/>
        </w:rPr>
      </w:r>
      <w:r>
        <w:rPr>
          <w:spacing w:val="-2"/>
        </w:rPr>
        <w:t>关交易费用计入初始确认金额；以摊余成本进行后续计量。除被指定为被套期项目的，按照实际利率</w:t>
      </w:r>
      <w:r>
        <w:rPr>
          <w:spacing w:val="-67"/>
        </w:rPr>
        <w:t> </w:t>
      </w:r>
      <w:r>
        <w:rPr>
          <w:spacing w:val="-67"/>
        </w:rPr>
      </w:r>
      <w:r>
        <w:rPr>
          <w:spacing w:val="-5"/>
        </w:rPr>
        <w:t>法摊销初始金额与到期金额之间的差额，其摊销、减值、汇兑损益以及终止确认时产生的利得或损失，</w:t>
      </w:r>
      <w:r>
        <w:rPr>
          <w:spacing w:val="-48"/>
        </w:rPr>
        <w:t> </w:t>
      </w:r>
      <w:r>
        <w:rPr>
          <w:spacing w:val="-48"/>
        </w:rPr>
      </w:r>
      <w:r>
        <w:rPr/>
        <w:t>计入当期损益。</w:t>
      </w:r>
    </w:p>
    <w:p>
      <w:pPr>
        <w:pStyle w:val="BodyText"/>
        <w:spacing w:line="331" w:lineRule="auto" w:before="33"/>
        <w:ind w:right="1128" w:firstLine="439"/>
        <w:jc w:val="both"/>
      </w:pPr>
      <w:r>
        <w:rPr>
          <w:spacing w:val="2"/>
        </w:rPr>
        <w:t>本公司将同时符合下列条件的金融资产分类为以公允价值计量且其变动计入其他综合收益的金</w:t>
      </w:r>
      <w:r>
        <w:rPr>
          <w:w w:val="100"/>
        </w:rPr>
        <w:t> </w:t>
      </w:r>
      <w:r>
        <w:rPr>
          <w:spacing w:val="-2"/>
        </w:rPr>
        <w:t>融资产：</w:t>
      </w:r>
      <w:r>
        <w:rPr>
          <w:rFonts w:ascii="Arial" w:hAnsi="Arial" w:cs="Arial" w:eastAsia="Arial" w:hint="default"/>
          <w:spacing w:val="-2"/>
        </w:rPr>
        <w:t>A.</w:t>
      </w:r>
      <w:r>
        <w:rPr>
          <w:spacing w:val="-2"/>
        </w:rPr>
        <w:t>管理该金融资产的业务模式既以收取合同现金流量为目标又以出售该金融资产为目标。</w:t>
      </w:r>
      <w:r>
        <w:rPr>
          <w:rFonts w:ascii="Arial" w:hAnsi="Arial" w:cs="Arial" w:eastAsia="Arial" w:hint="default"/>
          <w:spacing w:val="-2"/>
        </w:rPr>
        <w:t>B.</w:t>
      </w:r>
      <w:r>
        <w:rPr>
          <w:rFonts w:ascii="Arial" w:hAnsi="Arial" w:cs="Arial" w:eastAsia="Arial" w:hint="default"/>
          <w:spacing w:val="7"/>
        </w:rPr>
        <w:t> </w:t>
      </w:r>
      <w:r>
        <w:rPr>
          <w:spacing w:val="-2"/>
        </w:rPr>
        <w:t>该金融资产的合同条款规定，在特定日期产生的现金流量，仅为对本金和以未偿付本金金额为基础的</w:t>
      </w:r>
      <w:r>
        <w:rPr>
          <w:spacing w:val="-69"/>
        </w:rPr>
        <w:t> </w:t>
      </w:r>
      <w:r>
        <w:rPr>
          <w:spacing w:val="-69"/>
        </w:rPr>
      </w:r>
      <w:r>
        <w:rPr>
          <w:spacing w:val="-2"/>
        </w:rPr>
        <w:t>利息的支付。此类金融资产按照公允价值进行初始计量，相关交易费用计入初始确认金额。除被指定</w:t>
      </w:r>
      <w:r>
        <w:rPr>
          <w:spacing w:val="-68"/>
        </w:rPr>
        <w:t> </w:t>
      </w:r>
      <w:r>
        <w:rPr>
          <w:spacing w:val="-68"/>
        </w:rPr>
      </w:r>
      <w:r>
        <w:rPr>
          <w:spacing w:val="-2"/>
        </w:rPr>
        <w:t>为被套期项目的，此类金融资产，除信用减值损失或利得、汇兑损益和按照实际利率法计算的该金融</w:t>
      </w:r>
      <w:r>
        <w:rPr>
          <w:spacing w:val="-67"/>
        </w:rPr>
        <w:t> </w:t>
      </w:r>
      <w:r>
        <w:rPr>
          <w:spacing w:val="-67"/>
        </w:rPr>
      </w:r>
      <w:r>
        <w:rPr>
          <w:spacing w:val="-2"/>
        </w:rPr>
        <w:t>资产利息之外，所产生的其他利得或损失，均计入其他综合收益；金融资产终止确认时，之前计入其</w:t>
      </w:r>
      <w:r>
        <w:rPr>
          <w:spacing w:val="-71"/>
        </w:rPr>
        <w:t> </w:t>
      </w:r>
      <w:r>
        <w:rPr>
          <w:spacing w:val="-71"/>
        </w:rPr>
      </w:r>
      <w:r>
        <w:rPr/>
        <w:t>他综合收益的累计利得或损失应当从其他综合收益中转出，计入当期损益。</w:t>
      </w:r>
    </w:p>
    <w:p>
      <w:pPr>
        <w:pStyle w:val="BodyText"/>
        <w:spacing w:line="324" w:lineRule="auto" w:before="70"/>
        <w:ind w:right="1092" w:firstLine="439"/>
        <w:jc w:val="both"/>
      </w:pPr>
      <w:r>
        <w:rPr>
          <w:spacing w:val="-1"/>
        </w:rPr>
        <w:t>本公司按照实际利率法确认利息收入。利息收入根据金融资产账面余额乘以实际利率计算确定，</w:t>
      </w:r>
      <w:r>
        <w:rPr>
          <w:w w:val="100"/>
        </w:rPr>
        <w:t> </w:t>
      </w:r>
      <w:r>
        <w:rPr>
          <w:spacing w:val="-2"/>
        </w:rPr>
        <w:t>但下列情况除外：</w:t>
      </w:r>
      <w:r>
        <w:rPr>
          <w:rFonts w:ascii="Arial" w:hAnsi="Arial" w:cs="Arial" w:eastAsia="Arial" w:hint="default"/>
          <w:spacing w:val="-2"/>
        </w:rPr>
        <w:t>A.</w:t>
      </w:r>
      <w:r>
        <w:rPr>
          <w:spacing w:val="-2"/>
        </w:rPr>
        <w:t>对于购入或源生的已发生信用减值的金融资产，自初始确认起，按照该金融资产</w:t>
      </w:r>
      <w:r>
        <w:rPr>
          <w:spacing w:val="-58"/>
        </w:rPr>
        <w:t> </w:t>
      </w:r>
      <w:r>
        <w:rPr>
          <w:spacing w:val="-58"/>
        </w:rPr>
      </w:r>
      <w:r>
        <w:rPr>
          <w:spacing w:val="-2"/>
        </w:rPr>
        <w:t>的摊余成本和经信用调整的实际利率计算确定其利息收入。</w:t>
      </w:r>
      <w:r>
        <w:rPr>
          <w:rFonts w:ascii="Arial" w:hAnsi="Arial" w:cs="Arial" w:eastAsia="Arial" w:hint="default"/>
          <w:spacing w:val="-2"/>
        </w:rPr>
        <w:t>B.</w:t>
      </w:r>
      <w:r>
        <w:rPr>
          <w:spacing w:val="-2"/>
        </w:rPr>
        <w:t>对于购入或源生的未发生信用减值、但</w:t>
      </w:r>
      <w:r>
        <w:rPr>
          <w:spacing w:val="-57"/>
        </w:rPr>
        <w:t> </w:t>
      </w:r>
      <w:r>
        <w:rPr>
          <w:spacing w:val="-57"/>
        </w:rPr>
      </w:r>
      <w:r>
        <w:rPr>
          <w:spacing w:val="-2"/>
        </w:rPr>
        <w:t>在后续期间成为已发生信用减值的金融资产，在后续期间，按照该金融资产的摊余成本和实际利率计</w:t>
      </w:r>
      <w:r>
        <w:rPr>
          <w:spacing w:val="-70"/>
        </w:rPr>
        <w:t> </w:t>
      </w:r>
      <w:r>
        <w:rPr>
          <w:spacing w:val="-70"/>
        </w:rPr>
      </w:r>
      <w:r>
        <w:rPr/>
        <w:t>算确定其利息收入。</w:t>
      </w:r>
    </w:p>
    <w:p>
      <w:pPr>
        <w:pStyle w:val="BodyText"/>
        <w:spacing w:line="333" w:lineRule="auto" w:before="74"/>
        <w:ind w:right="1092" w:firstLine="439"/>
        <w:jc w:val="both"/>
      </w:pPr>
      <w:r>
        <w:rPr>
          <w:spacing w:val="-1"/>
        </w:rPr>
        <w:t>本公司将非交易性权益工具投资指定为以公允价值计量且其变动计入其他综合收益的金融资产。</w:t>
      </w:r>
      <w:r>
        <w:rPr>
          <w:w w:val="100"/>
        </w:rPr>
        <w:t> </w:t>
      </w:r>
      <w:r>
        <w:rPr>
          <w:spacing w:val="-2"/>
        </w:rPr>
        <w:t>该指定一经作出，不得撤销。本公司指定的以公允价值计量且其变动计入其他综合收益的非交易性权</w:t>
      </w:r>
      <w:r>
        <w:rPr>
          <w:spacing w:val="-70"/>
        </w:rPr>
        <w:t> </w:t>
      </w:r>
      <w:r>
        <w:rPr>
          <w:spacing w:val="-70"/>
        </w:rPr>
      </w:r>
      <w:r>
        <w:rPr>
          <w:spacing w:val="-2"/>
        </w:rPr>
        <w:t>益工具投资，按照公允价值进行初始计量，相关交易费用计入初始确认金额；除了获得股利（属于投</w:t>
      </w:r>
      <w:r>
        <w:rPr>
          <w:spacing w:val="-71"/>
        </w:rPr>
        <w:t> </w:t>
      </w:r>
      <w:r>
        <w:rPr>
          <w:spacing w:val="-71"/>
        </w:rPr>
      </w:r>
      <w:r>
        <w:rPr>
          <w:spacing w:val="-2"/>
        </w:rPr>
        <w:t>资成本收回部分的除外）计入当期损益外，其他相关的利得和损失（包括汇兑损益）均计入其他综合</w:t>
      </w:r>
      <w:r>
        <w:rPr>
          <w:spacing w:val="-69"/>
        </w:rPr>
        <w:t> </w:t>
      </w:r>
      <w:r>
        <w:rPr>
          <w:spacing w:val="-69"/>
        </w:rPr>
      </w:r>
      <w:r>
        <w:rPr>
          <w:spacing w:val="-2"/>
        </w:rPr>
        <w:t>收益，且后续不得转入当期损益。当其终止确认时，之前计入其他综合收益的累计利得或损失从其他</w:t>
      </w:r>
      <w:r>
        <w:rPr>
          <w:spacing w:val="-68"/>
        </w:rPr>
        <w:t> </w:t>
      </w:r>
      <w:r>
        <w:rPr>
          <w:spacing w:val="-68"/>
        </w:rPr>
      </w:r>
      <w:r>
        <w:rPr/>
        <w:t>综合收益中转出，计入留存收益。</w:t>
      </w:r>
    </w:p>
    <w:p>
      <w:pPr>
        <w:pStyle w:val="BodyText"/>
        <w:spacing w:line="333" w:lineRule="auto" w:before="65"/>
        <w:ind w:right="1090" w:firstLine="439"/>
        <w:jc w:val="both"/>
      </w:pPr>
      <w:r>
        <w:rPr>
          <w:spacing w:val="2"/>
        </w:rPr>
        <w:t>除上述分类为以摊余成本计量的金融资产和分类为以公允价值计量且其变动计入其他综合收益</w:t>
      </w:r>
      <w:r>
        <w:rPr>
          <w:w w:val="100"/>
        </w:rPr>
        <w:t> </w:t>
      </w:r>
      <w:r>
        <w:rPr>
          <w:spacing w:val="-1"/>
        </w:rPr>
        <w:t>的金融资产之外的金融资产。本公司将其分类为以公允价值计量且其变动计入当期损益的金融资产。</w:t>
      </w:r>
    </w:p>
    <w:p>
      <w:pPr>
        <w:spacing w:after="0" w:line="333"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333" w:lineRule="auto" w:before="173"/>
        <w:ind w:right="1131"/>
        <w:jc w:val="both"/>
      </w:pPr>
      <w:r>
        <w:rPr>
          <w:spacing w:val="-2"/>
        </w:rPr>
        <w:t>此类金融资产按照公允价值进行初始计量，相关交易费用直接计入当期损益。此类金融资产的利得或</w:t>
      </w:r>
      <w:r>
        <w:rPr>
          <w:spacing w:val="-70"/>
        </w:rPr>
        <w:t> </w:t>
      </w:r>
      <w:r>
        <w:rPr>
          <w:spacing w:val="-70"/>
        </w:rPr>
      </w:r>
      <w:r>
        <w:rPr/>
        <w:t>损失，计入当期损益。</w:t>
      </w:r>
    </w:p>
    <w:p>
      <w:pPr>
        <w:pStyle w:val="BodyText"/>
        <w:spacing w:line="333" w:lineRule="auto" w:before="24"/>
        <w:ind w:right="1132" w:firstLine="439"/>
        <w:jc w:val="both"/>
      </w:pPr>
      <w:r>
        <w:rPr>
          <w:spacing w:val="-2"/>
        </w:rPr>
        <w:t>本公司在非同一控制下的企业合并中确认的或有对价构成金融资产的，该金融资产分类为以公允</w:t>
      </w:r>
      <w:r>
        <w:rPr>
          <w:w w:val="100"/>
        </w:rPr>
        <w:t> </w:t>
      </w:r>
      <w:r>
        <w:rPr/>
        <w:t>价值计量且其变动计入当期损益的金融资产。</w:t>
      </w:r>
    </w:p>
    <w:p>
      <w:pPr>
        <w:pStyle w:val="BodyText"/>
        <w:spacing w:line="331" w:lineRule="auto" w:before="27"/>
        <w:ind w:left="592" w:right="1133"/>
        <w:jc w:val="left"/>
      </w:pPr>
      <w:r>
        <w:rPr/>
        <w:t>②金融资产转移的确认依据和计量方法</w:t>
      </w:r>
      <w:r>
        <w:rPr>
          <w:w w:val="100"/>
        </w:rPr>
        <w:t> </w:t>
      </w:r>
      <w:r>
        <w:rPr>
          <w:spacing w:val="-2"/>
        </w:rPr>
        <w:t>本公司将满足下列条件之一的金融资产予以终止确认：</w:t>
      </w:r>
      <w:r>
        <w:rPr>
          <w:rFonts w:ascii="Arial" w:hAnsi="Arial" w:cs="Arial" w:eastAsia="Arial" w:hint="default"/>
          <w:spacing w:val="-2"/>
        </w:rPr>
        <w:t>A.</w:t>
      </w:r>
      <w:r>
        <w:rPr>
          <w:spacing w:val="-2"/>
        </w:rPr>
        <w:t>收取该金融资产现金流量的合同权利终</w:t>
      </w:r>
    </w:p>
    <w:p>
      <w:pPr>
        <w:pStyle w:val="BodyText"/>
        <w:spacing w:line="324" w:lineRule="auto" w:before="4"/>
        <w:ind w:right="1131"/>
        <w:jc w:val="both"/>
      </w:pPr>
      <w:r>
        <w:rPr>
          <w:spacing w:val="-2"/>
        </w:rPr>
        <w:t>止；</w:t>
      </w:r>
      <w:r>
        <w:rPr>
          <w:rFonts w:ascii="Arial" w:hAnsi="Arial" w:cs="Arial" w:eastAsia="Arial" w:hint="default"/>
          <w:spacing w:val="-2"/>
        </w:rPr>
        <w:t>B.</w:t>
      </w:r>
      <w:r>
        <w:rPr>
          <w:spacing w:val="-2"/>
        </w:rPr>
        <w:t>金融资产发生转移，本公司转移了金融资产所有权上几乎所有风险和报酬；</w:t>
      </w:r>
      <w:r>
        <w:rPr>
          <w:rFonts w:ascii="Arial" w:hAnsi="Arial" w:cs="Arial" w:eastAsia="Arial" w:hint="default"/>
          <w:spacing w:val="-2"/>
        </w:rPr>
        <w:t>C.</w:t>
      </w:r>
      <w:r>
        <w:rPr>
          <w:spacing w:val="-2"/>
        </w:rPr>
        <w:t>金融资产发生转</w:t>
      </w:r>
      <w:r>
        <w:rPr>
          <w:spacing w:val="-56"/>
        </w:rPr>
        <w:t> </w:t>
      </w:r>
      <w:r>
        <w:rPr>
          <w:spacing w:val="-56"/>
        </w:rPr>
      </w:r>
      <w:r>
        <w:rPr>
          <w:spacing w:val="-2"/>
        </w:rPr>
        <w:t>移，本公司既没有转移也没有保留金融资产所有权上几乎所有风险和报酬，且未保留对该金融资产控</w:t>
      </w:r>
      <w:r>
        <w:rPr>
          <w:spacing w:val="-70"/>
        </w:rPr>
        <w:t> </w:t>
      </w:r>
      <w:r>
        <w:rPr>
          <w:spacing w:val="-70"/>
        </w:rPr>
      </w:r>
      <w:r>
        <w:rPr/>
        <w:t>制的。</w:t>
      </w:r>
    </w:p>
    <w:p>
      <w:pPr>
        <w:pStyle w:val="BodyText"/>
        <w:spacing w:line="333" w:lineRule="auto" w:before="36"/>
        <w:ind w:right="0" w:firstLine="439"/>
        <w:jc w:val="left"/>
      </w:pPr>
      <w:r>
        <w:rPr/>
        <w:t>金融资产整体转移满足终止确认条件的，将所转移金融资产的账面价值，与因转移而收到的对价</w:t>
      </w:r>
      <w:r>
        <w:rPr>
          <w:w w:val="100"/>
        </w:rPr>
        <w:t> </w:t>
      </w:r>
      <w:r>
        <w:rPr>
          <w:spacing w:val="-2"/>
        </w:rPr>
        <w:t>及原直接计入其他综合收益的公允价值变动累计额中对应终止确认部分的金额（涉及转移的金融资产</w:t>
      </w:r>
      <w:r>
        <w:rPr>
          <w:spacing w:val="-72"/>
        </w:rPr>
        <w:t> </w:t>
      </w:r>
      <w:r>
        <w:rPr>
          <w:spacing w:val="-72"/>
        </w:rPr>
      </w:r>
      <w:r>
        <w:rPr>
          <w:spacing w:val="-5"/>
        </w:rPr>
        <w:t>的合同条款规定，在特定日期产生的现金流量，仅为对本金和以未偿付本金金额为基础的利息的支付）</w:t>
      </w:r>
      <w:r>
        <w:rPr>
          <w:spacing w:val="-45"/>
        </w:rPr>
        <w:t> </w:t>
      </w:r>
      <w:r>
        <w:rPr>
          <w:spacing w:val="-45"/>
        </w:rPr>
      </w:r>
      <w:r>
        <w:rPr/>
        <w:t>之和的差额计入当期损益。</w:t>
      </w:r>
    </w:p>
    <w:p>
      <w:pPr>
        <w:pStyle w:val="BodyText"/>
        <w:spacing w:line="333" w:lineRule="auto" w:before="27"/>
        <w:ind w:right="1128" w:firstLine="439"/>
        <w:jc w:val="both"/>
      </w:pPr>
      <w:r>
        <w:rPr>
          <w:spacing w:val="-2"/>
        </w:rPr>
        <w:t>金融资产部分转移满足终止确认条件的，将所转移金融资产整体的账面价值，在终止确认部分和</w:t>
      </w:r>
      <w:r>
        <w:rPr>
          <w:w w:val="100"/>
        </w:rPr>
        <w:t> </w:t>
      </w:r>
      <w:r>
        <w:rPr>
          <w:spacing w:val="-2"/>
        </w:rPr>
        <w:t>未终止确认部分之间，按照各自的相对公允价值进行分摊，并将因转移而收到的对价及应分摊至终止</w:t>
      </w:r>
      <w:r>
        <w:rPr>
          <w:spacing w:val="-70"/>
        </w:rPr>
        <w:t> </w:t>
      </w:r>
      <w:r>
        <w:rPr>
          <w:spacing w:val="-70"/>
        </w:rPr>
      </w:r>
      <w:r>
        <w:rPr>
          <w:spacing w:val="-2"/>
        </w:rPr>
        <w:t>确认部分的原计入其他综合收益的公允价值变动累计额中对应终止确认部分的金额（涉及转移的金融</w:t>
      </w:r>
      <w:r>
        <w:rPr>
          <w:spacing w:val="-73"/>
        </w:rPr>
        <w:t> </w:t>
      </w:r>
      <w:r>
        <w:rPr>
          <w:spacing w:val="-73"/>
        </w:rPr>
      </w:r>
      <w:r>
        <w:rPr>
          <w:spacing w:val="-2"/>
        </w:rPr>
        <w:t>资产的合同条款规定，在特定日期产生的现金流量，仅为对本金和以未偿付本金金额为基础的利息的</w:t>
      </w:r>
      <w:r>
        <w:rPr>
          <w:spacing w:val="-68"/>
        </w:rPr>
        <w:t> </w:t>
      </w:r>
      <w:r>
        <w:rPr>
          <w:spacing w:val="-68"/>
        </w:rPr>
      </w:r>
      <w:r>
        <w:rPr/>
        <w:t>支付）之和，与分摊的前述金融资产整体账面价值的差额计入当期损益。</w:t>
      </w:r>
    </w:p>
    <w:p>
      <w:pPr>
        <w:pStyle w:val="BodyText"/>
        <w:spacing w:line="240" w:lineRule="auto" w:before="27"/>
        <w:ind w:left="592" w:right="1133"/>
        <w:jc w:val="left"/>
      </w:pPr>
      <w:r>
        <w:rPr/>
        <w:t>（</w:t>
      </w:r>
      <w:r>
        <w:rPr>
          <w:rFonts w:ascii="Arial" w:hAnsi="Arial" w:cs="Arial" w:eastAsia="Arial" w:hint="default"/>
        </w:rPr>
        <w:t>2</w:t>
      </w:r>
      <w:r>
        <w:rPr/>
        <w:t>）金融负债</w:t>
      </w:r>
    </w:p>
    <w:p>
      <w:pPr>
        <w:pStyle w:val="BodyText"/>
        <w:spacing w:line="367" w:lineRule="auto" w:before="97"/>
        <w:ind w:left="592" w:right="1133"/>
        <w:jc w:val="left"/>
      </w:pPr>
      <w:r>
        <w:rPr/>
        <w:t>①金融负债分类、确认依据和计量方法</w:t>
      </w:r>
      <w:r>
        <w:rPr>
          <w:w w:val="100"/>
        </w:rPr>
        <w:t> </w:t>
      </w:r>
      <w:r>
        <w:rPr>
          <w:spacing w:val="2"/>
        </w:rPr>
        <w:t>本公司的金融负债于初始确认时分类为以公允价值计量且其变动计入当期损益的金融负债和其</w:t>
      </w:r>
    </w:p>
    <w:p>
      <w:pPr>
        <w:pStyle w:val="BodyText"/>
        <w:spacing w:line="284" w:lineRule="exact"/>
        <w:ind w:right="0"/>
        <w:jc w:val="both"/>
      </w:pPr>
      <w:r>
        <w:rPr/>
        <w:t>他金融负债。</w:t>
      </w:r>
    </w:p>
    <w:p>
      <w:pPr>
        <w:pStyle w:val="BodyText"/>
        <w:spacing w:line="333" w:lineRule="auto" w:before="151"/>
        <w:ind w:right="1131" w:firstLine="439"/>
        <w:jc w:val="both"/>
      </w:pPr>
      <w:r>
        <w:rPr>
          <w:spacing w:val="-2"/>
        </w:rPr>
        <w:t>以公允价值计量且其变动计入当期损益的金融负债，包括交易性金融负债和初始确认时指定为以</w:t>
      </w:r>
      <w:r>
        <w:rPr>
          <w:w w:val="100"/>
        </w:rPr>
        <w:t> </w:t>
      </w:r>
      <w:r>
        <w:rPr>
          <w:spacing w:val="-2"/>
        </w:rPr>
        <w:t>公允价值计量且其变动计入当期损益的金融负债。按照公允价值进行后续计量，公允价值变动形成的</w:t>
      </w:r>
      <w:r>
        <w:rPr>
          <w:spacing w:val="-70"/>
        </w:rPr>
        <w:t> </w:t>
      </w:r>
      <w:r>
        <w:rPr>
          <w:spacing w:val="-70"/>
        </w:rPr>
      </w:r>
      <w:r>
        <w:rPr/>
        <w:t>利得或损失以及与该金融负债相关的股利和利息支出计入当期损益。</w:t>
      </w:r>
    </w:p>
    <w:p>
      <w:pPr>
        <w:pStyle w:val="BodyText"/>
        <w:spacing w:line="324" w:lineRule="auto" w:before="68"/>
        <w:ind w:right="1129" w:firstLine="439"/>
        <w:jc w:val="both"/>
      </w:pPr>
      <w:r>
        <w:rPr>
          <w:spacing w:val="-2"/>
        </w:rPr>
        <w:t>其他金融负债，采用实际利率法，按照摊余成本进行后续计量。除下列各项外，本公司将金融负</w:t>
      </w:r>
      <w:r>
        <w:rPr>
          <w:w w:val="100"/>
        </w:rPr>
        <w:t> </w:t>
      </w:r>
      <w:r>
        <w:rPr>
          <w:spacing w:val="-2"/>
        </w:rPr>
        <w:t>债分类为以摊余成本计量的金融负债：</w:t>
      </w:r>
      <w:r>
        <w:rPr>
          <w:rFonts w:ascii="Arial" w:hAnsi="Arial" w:cs="Arial" w:eastAsia="Arial" w:hint="default"/>
          <w:spacing w:val="-2"/>
        </w:rPr>
        <w:t>A.</w:t>
      </w:r>
      <w:r>
        <w:rPr>
          <w:spacing w:val="-2"/>
        </w:rPr>
        <w:t>以公允价值计量且其变动计入当期损益的金融负债，包括交</w:t>
      </w:r>
      <w:r>
        <w:rPr>
          <w:spacing w:val="-59"/>
        </w:rPr>
        <w:t> </w:t>
      </w:r>
      <w:r>
        <w:rPr>
          <w:spacing w:val="-59"/>
        </w:rPr>
      </w:r>
      <w:r>
        <w:rPr>
          <w:spacing w:val="-2"/>
        </w:rPr>
        <w:t>易性金融负债（含属于金融负债的衍生工具）和指定为以公允价值计量且其变动计入当期损益的金融</w:t>
      </w:r>
      <w:r>
        <w:rPr>
          <w:spacing w:val="-70"/>
        </w:rPr>
        <w:t> </w:t>
      </w:r>
      <w:r>
        <w:rPr>
          <w:spacing w:val="-70"/>
        </w:rPr>
      </w:r>
      <w:r>
        <w:rPr>
          <w:spacing w:val="-2"/>
        </w:rPr>
        <w:t>负债。</w:t>
      </w:r>
      <w:r>
        <w:rPr>
          <w:rFonts w:ascii="Arial" w:hAnsi="Arial" w:cs="Arial" w:eastAsia="Arial" w:hint="default"/>
          <w:spacing w:val="-2"/>
        </w:rPr>
        <w:t>B.</w:t>
      </w:r>
      <w:r>
        <w:rPr>
          <w:spacing w:val="-2"/>
        </w:rPr>
        <w:t>不符合终止确认条件的金融资产转移或继续涉入被转移金融资产所形成的金融负债。</w:t>
      </w:r>
      <w:r>
        <w:rPr>
          <w:rFonts w:ascii="Arial" w:hAnsi="Arial" w:cs="Arial" w:eastAsia="Arial" w:hint="default"/>
          <w:spacing w:val="-2"/>
        </w:rPr>
        <w:t>C.</w:t>
      </w:r>
      <w:r>
        <w:rPr>
          <w:spacing w:val="-2"/>
        </w:rPr>
        <w:t>不属</w:t>
      </w:r>
      <w:r>
        <w:rPr>
          <w:spacing w:val="-58"/>
        </w:rPr>
        <w:t> </w:t>
      </w:r>
      <w:r>
        <w:rPr/>
        <w:t>于以上</w:t>
      </w:r>
      <w:r>
        <w:rPr>
          <w:spacing w:val="-56"/>
        </w:rPr>
        <w:t> </w:t>
      </w:r>
      <w:r>
        <w:rPr>
          <w:rFonts w:ascii="Arial" w:hAnsi="Arial" w:cs="Arial" w:eastAsia="Arial" w:hint="default"/>
        </w:rPr>
        <w:t>A</w:t>
      </w:r>
      <w:r>
        <w:rPr>
          <w:rFonts w:ascii="Arial" w:hAnsi="Arial" w:cs="Arial" w:eastAsia="Arial" w:hint="default"/>
          <w:spacing w:val="-8"/>
        </w:rPr>
        <w:t> </w:t>
      </w:r>
      <w:r>
        <w:rPr/>
        <w:t>或</w:t>
      </w:r>
      <w:r>
        <w:rPr>
          <w:spacing w:val="-56"/>
        </w:rPr>
        <w:t> </w:t>
      </w:r>
      <w:r>
        <w:rPr>
          <w:rFonts w:ascii="Arial" w:hAnsi="Arial" w:cs="Arial" w:eastAsia="Arial" w:hint="default"/>
        </w:rPr>
        <w:t>B</w:t>
      </w:r>
      <w:r>
        <w:rPr>
          <w:rFonts w:ascii="Arial" w:hAnsi="Arial" w:cs="Arial" w:eastAsia="Arial" w:hint="default"/>
          <w:spacing w:val="-11"/>
        </w:rPr>
        <w:t> </w:t>
      </w:r>
      <w:r>
        <w:rPr/>
        <w:t>情形的财务担保合同，以及不属于以上</w:t>
      </w:r>
      <w:r>
        <w:rPr>
          <w:spacing w:val="-55"/>
        </w:rPr>
        <w:t> </w:t>
      </w:r>
      <w:r>
        <w:rPr>
          <w:rFonts w:ascii="Arial" w:hAnsi="Arial" w:cs="Arial" w:eastAsia="Arial" w:hint="default"/>
        </w:rPr>
        <w:t>A</w:t>
      </w:r>
      <w:r>
        <w:rPr>
          <w:rFonts w:ascii="Arial" w:hAnsi="Arial" w:cs="Arial" w:eastAsia="Arial" w:hint="default"/>
          <w:spacing w:val="-8"/>
        </w:rPr>
        <w:t> </w:t>
      </w:r>
      <w:r>
        <w:rPr/>
        <w:t>情形的以低于市场利率贷款的贷款承诺。</w:t>
      </w:r>
    </w:p>
    <w:p>
      <w:pPr>
        <w:pStyle w:val="BodyText"/>
        <w:spacing w:line="331" w:lineRule="auto" w:before="52"/>
        <w:ind w:right="1133" w:firstLine="439"/>
        <w:jc w:val="both"/>
      </w:pPr>
      <w:r>
        <w:rPr>
          <w:spacing w:val="-2"/>
        </w:rPr>
        <w:t>本公司将在非同一控制下的企业合并中作为购买方确认的或有对价形成金融负债的，按照以公允</w:t>
      </w:r>
      <w:r>
        <w:rPr>
          <w:w w:val="100"/>
        </w:rPr>
        <w:t> </w:t>
      </w:r>
      <w:r>
        <w:rPr/>
        <w:t>价值计量且其变动计入当期损益进行会计处理。</w:t>
      </w:r>
    </w:p>
    <w:p>
      <w:pPr>
        <w:pStyle w:val="BodyText"/>
        <w:spacing w:line="367" w:lineRule="auto" w:before="70"/>
        <w:ind w:left="592" w:right="1133"/>
        <w:jc w:val="left"/>
      </w:pPr>
      <w:r>
        <w:rPr/>
        <w:t>②金融负债终止确认条件</w:t>
      </w:r>
      <w:r>
        <w:rPr>
          <w:w w:val="100"/>
        </w:rPr>
        <w:t> </w:t>
      </w:r>
      <w:r>
        <w:rPr>
          <w:spacing w:val="-2"/>
        </w:rPr>
        <w:t>当金融负债的现时义务全部或部分已经解除时，终止确认该金融负债或义务已解除的部分。本公</w:t>
      </w:r>
    </w:p>
    <w:p>
      <w:pPr>
        <w:spacing w:after="0" w:line="367"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333" w:lineRule="auto" w:before="173"/>
        <w:ind w:right="1020"/>
        <w:jc w:val="both"/>
      </w:pPr>
      <w:r>
        <w:rPr/>
        <w:t>司与债权人之间签订协议，以承担新金融负债方式替换现存金融负债，且新金融负债与现存金融负债</w:t>
      </w:r>
      <w:r>
        <w:rPr>
          <w:w w:val="100"/>
        </w:rPr>
        <w:t> </w:t>
      </w:r>
      <w:r>
        <w:rPr/>
        <w:t>的合同条款实质上不同的，终止确认现存金融负债，并同时确认新金融负债。本公司对现存金融负债</w:t>
      </w:r>
      <w:r>
        <w:rPr>
          <w:w w:val="100"/>
        </w:rPr>
        <w:t> </w:t>
      </w:r>
      <w:r>
        <w:rPr/>
        <w:t>全部或部分的合同条款作出实质性修改的，终止确认现存金融负债或其一部分，同时将修改条款后的</w:t>
      </w:r>
      <w:r>
        <w:rPr>
          <w:w w:val="100"/>
        </w:rPr>
        <w:t> </w:t>
      </w:r>
      <w:r>
        <w:rPr>
          <w:spacing w:val="-5"/>
        </w:rPr>
        <w:t>金融负债确认为一项新金融负债。终止确认部分的账面价值与支付的对价之间的差额，计入当期损益。</w:t>
      </w:r>
    </w:p>
    <w:p>
      <w:pPr>
        <w:pStyle w:val="BodyText"/>
        <w:spacing w:line="348" w:lineRule="auto" w:before="65"/>
        <w:ind w:left="592" w:right="1133"/>
        <w:jc w:val="left"/>
      </w:pPr>
      <w:r>
        <w:rPr/>
        <w:t>（</w:t>
      </w:r>
      <w:r>
        <w:rPr>
          <w:rFonts w:ascii="Arial" w:hAnsi="Arial" w:cs="Arial" w:eastAsia="Arial" w:hint="default"/>
        </w:rPr>
        <w:t>3</w:t>
      </w:r>
      <w:r>
        <w:rPr/>
        <w:t>）金融资产和金融负债的公允价值确定方法</w:t>
      </w:r>
      <w:r>
        <w:rPr>
          <w:w w:val="100"/>
        </w:rPr>
        <w:t> </w:t>
      </w:r>
      <w:r>
        <w:rPr>
          <w:spacing w:val="-2"/>
        </w:rPr>
        <w:t>本公司以主要市场的价格计量金融资产和金融负债的公允价值，不存在主要市场的，以最有利市</w:t>
      </w:r>
    </w:p>
    <w:p>
      <w:pPr>
        <w:pStyle w:val="BodyText"/>
        <w:spacing w:line="333" w:lineRule="auto" w:before="11"/>
        <w:ind w:right="1126"/>
        <w:jc w:val="both"/>
      </w:pPr>
      <w:r>
        <w:rPr>
          <w:spacing w:val="-2"/>
        </w:rPr>
        <w:t>场的价格计量金融资产和金融负债的公允价值，并且采用当时适用并且有足够可利用数据和其他信息</w:t>
      </w:r>
      <w:r>
        <w:rPr>
          <w:spacing w:val="-73"/>
        </w:rPr>
        <w:t> </w:t>
      </w:r>
      <w:r>
        <w:rPr>
          <w:spacing w:val="-73"/>
        </w:rPr>
      </w:r>
      <w:r>
        <w:rPr>
          <w:spacing w:val="-2"/>
        </w:rPr>
        <w:t>支持的估值技术。公允价值计量所使用的输入值分为三个层次，即第一层次输入值是计量日能够取得</w:t>
      </w:r>
      <w:r>
        <w:rPr>
          <w:spacing w:val="-70"/>
        </w:rPr>
        <w:t> </w:t>
      </w:r>
      <w:r>
        <w:rPr>
          <w:spacing w:val="-70"/>
        </w:rPr>
      </w:r>
      <w:r>
        <w:rPr>
          <w:spacing w:val="-2"/>
        </w:rPr>
        <w:t>的相同资产或负债在活跃市场上未经调整的报价；第二层次输入值是除第一层次输入值外相关资产或</w:t>
      </w:r>
      <w:r>
        <w:rPr>
          <w:spacing w:val="-72"/>
        </w:rPr>
        <w:t> </w:t>
      </w:r>
      <w:r>
        <w:rPr>
          <w:spacing w:val="-72"/>
        </w:rPr>
      </w:r>
      <w:r>
        <w:rPr>
          <w:spacing w:val="-2"/>
        </w:rPr>
        <w:t>负债直接或间接可观察的输入值；第三层次输入值是相关资产或负债的不可观察输入值。本公司优先</w:t>
      </w:r>
      <w:r>
        <w:rPr>
          <w:spacing w:val="-70"/>
        </w:rPr>
        <w:t> </w:t>
      </w:r>
      <w:r>
        <w:rPr>
          <w:spacing w:val="-70"/>
        </w:rPr>
      </w:r>
      <w:r>
        <w:rPr>
          <w:spacing w:val="-2"/>
        </w:rPr>
        <w:t>使用第一层次输入值，最后再使用第三层次输入值。公允价值计量结果所属的层次，由对公允价值计</w:t>
      </w:r>
      <w:r>
        <w:rPr>
          <w:spacing w:val="-66"/>
        </w:rPr>
        <w:t> </w:t>
      </w:r>
      <w:r>
        <w:rPr>
          <w:spacing w:val="-66"/>
        </w:rPr>
      </w:r>
      <w:r>
        <w:rPr/>
        <w:t>量整体而言具有重大意义的输入值所属的最低层次决定。</w:t>
      </w:r>
    </w:p>
    <w:p>
      <w:pPr>
        <w:pStyle w:val="BodyText"/>
        <w:spacing w:line="333" w:lineRule="auto" w:before="65"/>
        <w:ind w:right="0" w:firstLine="439"/>
        <w:jc w:val="left"/>
      </w:pPr>
      <w:r>
        <w:rPr/>
        <w:t>本公司对权益工具的投资以公允价值计量。但在有限情况下，如果用以确定公允价值的近期信息</w:t>
      </w:r>
      <w:r>
        <w:rPr>
          <w:w w:val="100"/>
        </w:rPr>
        <w:t> </w:t>
      </w:r>
      <w:r>
        <w:rPr>
          <w:spacing w:val="-5"/>
        </w:rPr>
        <w:t>不足，或者公允价值的可能估计金额分布范围很广，而成本代表了该范围内对公允价值的最佳估计的，</w:t>
      </w:r>
      <w:r>
        <w:rPr>
          <w:spacing w:val="-45"/>
        </w:rPr>
        <w:t> </w:t>
      </w:r>
      <w:r>
        <w:rPr>
          <w:spacing w:val="-45"/>
        </w:rPr>
      </w:r>
      <w:r>
        <w:rPr/>
        <w:t>该成本可代表其在该分布范围内对公允价值的恰当估计。</w:t>
      </w:r>
    </w:p>
    <w:p>
      <w:pPr>
        <w:pStyle w:val="BodyText"/>
        <w:spacing w:line="348" w:lineRule="auto" w:before="68"/>
        <w:ind w:left="592" w:right="0"/>
        <w:jc w:val="left"/>
      </w:pPr>
      <w:r>
        <w:rPr/>
        <w:t>（</w:t>
      </w:r>
      <w:r>
        <w:rPr>
          <w:rFonts w:ascii="Arial" w:hAnsi="Arial" w:cs="Arial" w:eastAsia="Arial" w:hint="default"/>
        </w:rPr>
        <w:t>4</w:t>
      </w:r>
      <w:r>
        <w:rPr/>
        <w:t>）金融资产和金融负债的抵销</w:t>
      </w:r>
      <w:r>
        <w:rPr>
          <w:w w:val="100"/>
        </w:rPr>
        <w:t> </w:t>
      </w:r>
      <w:r>
        <w:rPr>
          <w:spacing w:val="-1"/>
        </w:rPr>
        <w:t>本公司的金融资产和金融负债在资产负债表内分别列示，不相互抵销。但同时满足下列条件时，</w:t>
      </w:r>
    </w:p>
    <w:p>
      <w:pPr>
        <w:pStyle w:val="BodyText"/>
        <w:spacing w:line="331" w:lineRule="auto" w:before="14"/>
        <w:ind w:right="1130"/>
        <w:jc w:val="both"/>
      </w:pPr>
      <w:r>
        <w:rPr>
          <w:spacing w:val="-2"/>
        </w:rPr>
        <w:t>以相互抵销后的净额在资产负债表内列示：①本公司具有抵销已确认金额的法定权利，且该种法定权</w:t>
      </w:r>
      <w:r>
        <w:rPr>
          <w:spacing w:val="-68"/>
        </w:rPr>
        <w:t> </w:t>
      </w:r>
      <w:r>
        <w:rPr>
          <w:spacing w:val="-68"/>
        </w:rPr>
      </w:r>
      <w:r>
        <w:rPr/>
        <w:t>利是当前可执行的；②本公司计划以净额结算，或同时变现该金融资产和清偿该金融负债。</w:t>
      </w:r>
    </w:p>
    <w:p>
      <w:pPr>
        <w:pStyle w:val="BodyText"/>
        <w:spacing w:line="348" w:lineRule="auto" w:before="70"/>
        <w:ind w:left="592" w:right="1133"/>
        <w:jc w:val="left"/>
      </w:pPr>
      <w:r>
        <w:rPr/>
        <w:t>（</w:t>
      </w:r>
      <w:r>
        <w:rPr>
          <w:rFonts w:ascii="Arial" w:hAnsi="Arial" w:cs="Arial" w:eastAsia="Arial" w:hint="default"/>
        </w:rPr>
        <w:t>5</w:t>
      </w:r>
      <w:r>
        <w:rPr/>
        <w:t>）金融负债与权益工具的区分及相关处理方法</w:t>
      </w:r>
      <w:r>
        <w:rPr>
          <w:w w:val="100"/>
        </w:rPr>
        <w:t> </w:t>
      </w:r>
      <w:r>
        <w:rPr>
          <w:spacing w:val="-2"/>
        </w:rPr>
        <w:t>本公司按照以下原则区分金融负债与权益工具：①如果本公司不能无条件地避免以交付现金或其</w:t>
      </w:r>
    </w:p>
    <w:p>
      <w:pPr>
        <w:pStyle w:val="BodyText"/>
        <w:spacing w:line="333" w:lineRule="auto" w:before="14"/>
        <w:ind w:right="1129"/>
        <w:jc w:val="both"/>
      </w:pPr>
      <w:r>
        <w:rPr>
          <w:spacing w:val="-2"/>
        </w:rPr>
        <w:t>他金融资产来履行一项合同义务，则该合同义务符合金融负债的定义。有些金融工具虽然没有明确地</w:t>
      </w:r>
      <w:r>
        <w:rPr>
          <w:spacing w:val="-70"/>
        </w:rPr>
        <w:t> </w:t>
      </w:r>
      <w:r>
        <w:rPr>
          <w:spacing w:val="-70"/>
        </w:rPr>
      </w:r>
      <w:r>
        <w:rPr>
          <w:spacing w:val="2"/>
        </w:rPr>
        <w:t>包含交付现金或其他金融资产义务的条款和条件，但有可能通过其他条款和条件间接地形成合同义</w:t>
      </w:r>
      <w:r>
        <w:rPr>
          <w:spacing w:val="-43"/>
        </w:rPr>
        <w:t> </w:t>
      </w:r>
      <w:r>
        <w:rPr>
          <w:spacing w:val="-43"/>
        </w:rPr>
      </w:r>
      <w:r>
        <w:rPr>
          <w:spacing w:val="-2"/>
        </w:rPr>
        <w:t>务。②如果一项金融工具须用或可用本公司自身权益工具进行结算，需要考虑用于结算该工具的本公</w:t>
      </w:r>
      <w:r>
        <w:rPr>
          <w:spacing w:val="-70"/>
        </w:rPr>
        <w:t> </w:t>
      </w:r>
      <w:r>
        <w:rPr>
          <w:spacing w:val="-70"/>
        </w:rPr>
      </w:r>
      <w:r>
        <w:rPr>
          <w:spacing w:val="-2"/>
        </w:rPr>
        <w:t>司自身权益工具，是作为现金或其他金融资产的替代品，还是为了使该工具持有方享有在发行方扣除</w:t>
      </w:r>
      <w:r>
        <w:rPr>
          <w:spacing w:val="-69"/>
        </w:rPr>
        <w:t> </w:t>
      </w:r>
      <w:r>
        <w:rPr>
          <w:spacing w:val="-69"/>
        </w:rPr>
      </w:r>
      <w:r>
        <w:rPr>
          <w:spacing w:val="-2"/>
        </w:rPr>
        <w:t>所有负债后的资产中的剩余权益。如果是前者，该工具是发行方的金融负债；如果是后者，该工具是</w:t>
      </w:r>
      <w:r>
        <w:rPr>
          <w:spacing w:val="-72"/>
        </w:rPr>
        <w:t> </w:t>
      </w:r>
      <w:r>
        <w:rPr>
          <w:spacing w:val="-72"/>
        </w:rPr>
      </w:r>
      <w:r>
        <w:rPr>
          <w:spacing w:val="-2"/>
        </w:rPr>
        <w:t>发行方的权益工具。在某些情况下，一项金融工具合同规定本公司须用或可用自身权益工具结算该金</w:t>
      </w:r>
      <w:r>
        <w:rPr>
          <w:spacing w:val="-70"/>
        </w:rPr>
        <w:t> </w:t>
      </w:r>
      <w:r>
        <w:rPr>
          <w:spacing w:val="-70"/>
        </w:rPr>
      </w:r>
      <w:r>
        <w:rPr>
          <w:spacing w:val="-2"/>
        </w:rPr>
        <w:t>融工具，其中合同权利或合同义务的金额等于可获取或需交付的自身权益工具的数量乘以其结算时的</w:t>
      </w:r>
      <w:r>
        <w:rPr>
          <w:spacing w:val="-73"/>
        </w:rPr>
        <w:t> </w:t>
      </w:r>
      <w:r>
        <w:rPr>
          <w:spacing w:val="-73"/>
        </w:rPr>
      </w:r>
      <w:r>
        <w:rPr>
          <w:spacing w:val="-2"/>
        </w:rPr>
        <w:t>公允价值，则无论该合同权利或义务的金额是固定的，还是完全或部分地基于除本公司自身权益工具</w:t>
      </w:r>
      <w:r>
        <w:rPr>
          <w:spacing w:val="-70"/>
        </w:rPr>
        <w:t> </w:t>
      </w:r>
      <w:r>
        <w:rPr>
          <w:spacing w:val="-70"/>
        </w:rPr>
      </w:r>
      <w:r>
        <w:rPr>
          <w:spacing w:val="-2"/>
        </w:rPr>
        <w:t>的市场价格以外的变量（例如利率、某种商品的价格或某项金融工具的价格）的变动而变动，该合同</w:t>
      </w:r>
      <w:r>
        <w:rPr>
          <w:spacing w:val="-70"/>
        </w:rPr>
        <w:t> </w:t>
      </w:r>
      <w:r>
        <w:rPr>
          <w:spacing w:val="-70"/>
        </w:rPr>
      </w:r>
      <w:r>
        <w:rPr/>
        <w:t>分类为金融负债。</w:t>
      </w:r>
    </w:p>
    <w:p>
      <w:pPr>
        <w:pStyle w:val="BodyText"/>
        <w:spacing w:line="333" w:lineRule="auto" w:before="65"/>
        <w:ind w:right="1130" w:firstLine="439"/>
        <w:jc w:val="both"/>
      </w:pPr>
      <w:r>
        <w:rPr>
          <w:spacing w:val="-2"/>
        </w:rPr>
        <w:t>本公司在合并报表中对金融工具（或其组成部分）进行分类时，考虑了集团成员和金融工具持有</w:t>
      </w:r>
      <w:r>
        <w:rPr>
          <w:w w:val="100"/>
        </w:rPr>
        <w:t> </w:t>
      </w:r>
      <w:r>
        <w:rPr>
          <w:spacing w:val="-2"/>
        </w:rPr>
        <w:t>方之间达成的所有条款和条件。如果集团作为一个整体由于该工具而承担了交付现金、其他金融资产</w:t>
      </w:r>
      <w:r>
        <w:rPr>
          <w:spacing w:val="-70"/>
        </w:rPr>
        <w:t> </w:t>
      </w:r>
      <w:r>
        <w:rPr>
          <w:spacing w:val="-70"/>
        </w:rPr>
      </w:r>
      <w:r>
        <w:rPr/>
        <w:t>或者以其他导致该工具成为金融负债的方式进行结算的义务，则该工具应当分类为金融负债。</w:t>
      </w:r>
    </w:p>
    <w:p>
      <w:pPr>
        <w:spacing w:after="0" w:line="333"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333" w:lineRule="auto" w:before="173"/>
        <w:ind w:right="1125" w:firstLine="439"/>
        <w:jc w:val="left"/>
      </w:pPr>
      <w:r>
        <w:rPr>
          <w:spacing w:val="-2"/>
          <w:w w:val="100"/>
        </w:rPr>
        <w:t>金融工具或其组成部分属于金融负债的，相关利息、股利（或股息）、利得或损失，以及赎回或</w:t>
      </w:r>
      <w:r>
        <w:rPr>
          <w:w w:val="100"/>
        </w:rPr>
        <w:t> </w:t>
      </w:r>
      <w:r>
        <w:rPr/>
        <w:t>再融资产生的利得或损失等，本公司计入当期损益。</w:t>
      </w:r>
    </w:p>
    <w:p>
      <w:pPr>
        <w:pStyle w:val="BodyText"/>
        <w:spacing w:line="333" w:lineRule="auto" w:before="65"/>
        <w:ind w:right="1125" w:firstLine="439"/>
        <w:jc w:val="left"/>
      </w:pPr>
      <w:r>
        <w:rPr>
          <w:spacing w:val="-2"/>
          <w:w w:val="100"/>
        </w:rPr>
        <w:t>金融工具或其组成部分属于权益工具的，其发行（含再融资）、回购、出售或注销时，本公司作</w:t>
      </w:r>
      <w:r>
        <w:rPr>
          <w:w w:val="100"/>
        </w:rPr>
        <w:t> </w:t>
      </w:r>
      <w:r>
        <w:rPr/>
        <w:t>为权益的变动处理，不确认权益工具的公允价值变动。</w:t>
      </w:r>
    </w:p>
    <w:p>
      <w:pPr>
        <w:pStyle w:val="BodyText"/>
        <w:tabs>
          <w:tab w:pos="1413" w:val="left" w:leader="none"/>
        </w:tabs>
        <w:spacing w:line="348" w:lineRule="auto" w:before="65"/>
        <w:ind w:left="592" w:right="1133" w:firstLine="2"/>
        <w:jc w:val="left"/>
      </w:pPr>
      <w:r>
        <w:rPr>
          <w:rFonts w:ascii="Arial" w:hAnsi="Arial" w:cs="Arial" w:eastAsia="Arial" w:hint="default"/>
          <w:b/>
          <w:bCs/>
          <w:spacing w:val="-1"/>
        </w:rPr>
        <w:t>11</w:t>
      </w:r>
      <w:r>
        <w:rPr>
          <w:rFonts w:ascii="宋体" w:hAnsi="宋体" w:cs="宋体" w:eastAsia="宋体" w:hint="default"/>
          <w:b/>
          <w:bCs/>
          <w:spacing w:val="-1"/>
        </w:rPr>
        <w:t>、</w:t>
        <w:tab/>
      </w:r>
      <w:r>
        <w:rPr>
          <w:rFonts w:ascii="宋体" w:hAnsi="宋体" w:cs="宋体" w:eastAsia="宋体" w:hint="default"/>
          <w:b/>
          <w:bCs/>
        </w:rPr>
        <w:t>应收票据</w:t>
      </w:r>
      <w:r>
        <w:rPr>
          <w:rFonts w:ascii="宋体" w:hAnsi="宋体" w:cs="宋体" w:eastAsia="宋体" w:hint="default"/>
          <w:b/>
          <w:bCs/>
          <w:w w:val="99"/>
        </w:rPr>
        <w:t> </w:t>
      </w:r>
      <w:r>
        <w:rPr>
          <w:spacing w:val="-2"/>
        </w:rPr>
        <w:t>基于应收票据的承兑人信用风险作为共同风险特征，将其划分为不同组合，并确定预期信用损失</w:t>
      </w:r>
    </w:p>
    <w:p>
      <w:pPr>
        <w:pStyle w:val="BodyText"/>
        <w:spacing w:line="240" w:lineRule="auto" w:before="11"/>
        <w:ind w:right="1133"/>
        <w:jc w:val="left"/>
      </w:pPr>
      <w:r>
        <w:rPr/>
        <w:t>会计估计政策：</w:t>
      </w:r>
    </w:p>
    <w:p>
      <w:pPr>
        <w:spacing w:line="240" w:lineRule="auto" w:before="11"/>
        <w:rPr>
          <w:rFonts w:ascii="宋体" w:hAnsi="宋体" w:cs="宋体" w:eastAsia="宋体" w:hint="default"/>
          <w:sz w:val="6"/>
          <w:szCs w:val="6"/>
        </w:rPr>
      </w:pPr>
    </w:p>
    <w:tbl>
      <w:tblPr>
        <w:tblW w:w="0" w:type="auto"/>
        <w:jc w:val="left"/>
        <w:tblInd w:w="580" w:type="dxa"/>
        <w:tblLayout w:type="fixed"/>
        <w:tblCellMar>
          <w:top w:w="0" w:type="dxa"/>
          <w:left w:w="0" w:type="dxa"/>
          <w:bottom w:w="0" w:type="dxa"/>
          <w:right w:w="0" w:type="dxa"/>
        </w:tblCellMar>
        <w:tblLook w:val="01E0"/>
      </w:tblPr>
      <w:tblGrid>
        <w:gridCol w:w="2677"/>
        <w:gridCol w:w="6063"/>
      </w:tblGrid>
      <w:tr>
        <w:trPr>
          <w:trHeight w:val="502" w:hRule="exact"/>
        </w:trPr>
        <w:tc>
          <w:tcPr>
            <w:tcW w:w="267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5"/>
              <w:ind w:left="907" w:right="0"/>
              <w:jc w:val="left"/>
              <w:rPr>
                <w:rFonts w:ascii="宋体" w:hAnsi="宋体" w:cs="宋体" w:eastAsia="宋体" w:hint="default"/>
                <w:sz w:val="22"/>
                <w:szCs w:val="22"/>
              </w:rPr>
            </w:pPr>
            <w:r>
              <w:rPr>
                <w:rFonts w:ascii="宋体" w:hAnsi="宋体" w:cs="宋体" w:eastAsia="宋体" w:hint="default"/>
                <w:sz w:val="22"/>
                <w:szCs w:val="22"/>
              </w:rPr>
              <w:t>组合分类</w:t>
            </w:r>
          </w:p>
        </w:tc>
        <w:tc>
          <w:tcPr>
            <w:tcW w:w="606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5"/>
              <w:ind w:left="1708" w:right="0"/>
              <w:jc w:val="left"/>
              <w:rPr>
                <w:rFonts w:ascii="宋体" w:hAnsi="宋体" w:cs="宋体" w:eastAsia="宋体" w:hint="default"/>
                <w:sz w:val="22"/>
                <w:szCs w:val="22"/>
              </w:rPr>
            </w:pPr>
            <w:r>
              <w:rPr>
                <w:rFonts w:ascii="宋体" w:hAnsi="宋体" w:cs="宋体" w:eastAsia="宋体" w:hint="default"/>
                <w:sz w:val="22"/>
                <w:szCs w:val="22"/>
              </w:rPr>
              <w:t>预期信用损失会计估计政策</w:t>
            </w:r>
          </w:p>
        </w:tc>
      </w:tr>
      <w:tr>
        <w:trPr>
          <w:trHeight w:val="890" w:hRule="exact"/>
        </w:trPr>
        <w:tc>
          <w:tcPr>
            <w:tcW w:w="26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24" w:right="0"/>
              <w:jc w:val="left"/>
              <w:rPr>
                <w:rFonts w:ascii="宋体" w:hAnsi="宋体" w:cs="宋体" w:eastAsia="宋体" w:hint="default"/>
                <w:sz w:val="22"/>
                <w:szCs w:val="22"/>
              </w:rPr>
            </w:pPr>
            <w:r>
              <w:rPr>
                <w:rFonts w:ascii="Arial" w:hAnsi="Arial" w:cs="Arial" w:eastAsia="Arial" w:hint="default"/>
                <w:sz w:val="22"/>
                <w:szCs w:val="22"/>
              </w:rPr>
              <w:t>1</w:t>
            </w:r>
            <w:r>
              <w:rPr>
                <w:rFonts w:ascii="宋体" w:hAnsi="宋体" w:cs="宋体" w:eastAsia="宋体" w:hint="default"/>
                <w:sz w:val="22"/>
                <w:szCs w:val="22"/>
              </w:rPr>
              <w:t>、银行承兑汇票组合</w:t>
            </w:r>
          </w:p>
        </w:tc>
        <w:tc>
          <w:tcPr>
            <w:tcW w:w="6063" w:type="dxa"/>
            <w:tcBorders>
              <w:top w:val="single" w:sz="4" w:space="0" w:color="000000"/>
              <w:left w:val="single" w:sz="4" w:space="0" w:color="000000"/>
              <w:bottom w:val="single" w:sz="4" w:space="0" w:color="000000"/>
              <w:right w:val="nil" w:sz="6" w:space="0" w:color="auto"/>
            </w:tcBorders>
          </w:tcPr>
          <w:p>
            <w:pPr>
              <w:pStyle w:val="TableParagraph"/>
              <w:spacing w:line="331" w:lineRule="auto" w:before="103"/>
              <w:ind w:left="105" w:right="104"/>
              <w:jc w:val="left"/>
              <w:rPr>
                <w:rFonts w:ascii="宋体" w:hAnsi="宋体" w:cs="宋体" w:eastAsia="宋体" w:hint="default"/>
                <w:sz w:val="22"/>
                <w:szCs w:val="22"/>
              </w:rPr>
            </w:pPr>
            <w:r>
              <w:rPr>
                <w:rFonts w:ascii="宋体" w:hAnsi="宋体" w:cs="宋体" w:eastAsia="宋体" w:hint="default"/>
                <w:spacing w:val="-5"/>
                <w:w w:val="100"/>
                <w:sz w:val="22"/>
                <w:szCs w:val="22"/>
              </w:rPr>
              <w:t>管理层评价该类款项具有较低的信用风险，一般不计提减值准</w:t>
            </w:r>
            <w:r>
              <w:rPr>
                <w:rFonts w:ascii="宋体" w:hAnsi="宋体" w:cs="宋体" w:eastAsia="宋体" w:hint="default"/>
                <w:spacing w:val="-97"/>
                <w:w w:val="100"/>
                <w:sz w:val="22"/>
                <w:szCs w:val="22"/>
              </w:rPr>
              <w:t> </w:t>
            </w:r>
            <w:r>
              <w:rPr>
                <w:rFonts w:ascii="宋体" w:hAnsi="宋体" w:cs="宋体" w:eastAsia="宋体" w:hint="default"/>
                <w:spacing w:val="-97"/>
                <w:w w:val="100"/>
                <w:sz w:val="22"/>
                <w:szCs w:val="22"/>
              </w:rPr>
            </w:r>
            <w:r>
              <w:rPr>
                <w:rFonts w:ascii="宋体" w:hAnsi="宋体" w:cs="宋体" w:eastAsia="宋体" w:hint="default"/>
                <w:sz w:val="22"/>
                <w:szCs w:val="22"/>
              </w:rPr>
              <w:t>备</w:t>
            </w:r>
          </w:p>
        </w:tc>
      </w:tr>
      <w:tr>
        <w:trPr>
          <w:trHeight w:val="499" w:hRule="exact"/>
        </w:trPr>
        <w:tc>
          <w:tcPr>
            <w:tcW w:w="267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3"/>
              <w:ind w:left="124" w:right="0"/>
              <w:jc w:val="left"/>
              <w:rPr>
                <w:rFonts w:ascii="宋体" w:hAnsi="宋体" w:cs="宋体" w:eastAsia="宋体" w:hint="default"/>
                <w:sz w:val="22"/>
                <w:szCs w:val="22"/>
              </w:rPr>
            </w:pPr>
            <w:r>
              <w:rPr>
                <w:rFonts w:ascii="Arial" w:hAnsi="Arial" w:cs="Arial" w:eastAsia="Arial" w:hint="default"/>
                <w:sz w:val="22"/>
                <w:szCs w:val="22"/>
              </w:rPr>
              <w:t>2</w:t>
            </w:r>
            <w:r>
              <w:rPr>
                <w:rFonts w:ascii="宋体" w:hAnsi="宋体" w:cs="宋体" w:eastAsia="宋体" w:hint="default"/>
                <w:sz w:val="22"/>
                <w:szCs w:val="22"/>
              </w:rPr>
              <w:t>、商业承兑汇票组合</w:t>
            </w:r>
          </w:p>
        </w:tc>
        <w:tc>
          <w:tcPr>
            <w:tcW w:w="606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3"/>
              <w:ind w:left="105" w:right="0"/>
              <w:jc w:val="left"/>
              <w:rPr>
                <w:rFonts w:ascii="宋体" w:hAnsi="宋体" w:cs="宋体" w:eastAsia="宋体" w:hint="default"/>
                <w:sz w:val="22"/>
                <w:szCs w:val="22"/>
              </w:rPr>
            </w:pPr>
            <w:r>
              <w:rPr>
                <w:rFonts w:ascii="宋体" w:hAnsi="宋体" w:cs="宋体" w:eastAsia="宋体" w:hint="default"/>
                <w:sz w:val="22"/>
                <w:szCs w:val="22"/>
              </w:rPr>
              <w:t>按照预期损失率计提减值准备</w:t>
            </w:r>
          </w:p>
        </w:tc>
      </w:tr>
    </w:tbl>
    <w:p>
      <w:pPr>
        <w:spacing w:line="240" w:lineRule="auto" w:before="5"/>
        <w:rPr>
          <w:rFonts w:ascii="宋体" w:hAnsi="宋体" w:cs="宋体" w:eastAsia="宋体" w:hint="default"/>
          <w:sz w:val="5"/>
          <w:szCs w:val="5"/>
        </w:rPr>
      </w:pPr>
    </w:p>
    <w:p>
      <w:pPr>
        <w:pStyle w:val="BodyText"/>
        <w:spacing w:line="333" w:lineRule="auto" w:before="32"/>
        <w:ind w:right="1131" w:firstLine="439"/>
        <w:jc w:val="both"/>
      </w:pPr>
      <w:r>
        <w:rPr>
          <w:spacing w:val="-2"/>
        </w:rPr>
        <w:t>本公司在资产负债表日计算应收票据预期信用损失，如果该预期信用损失大于当前应收票据减值</w:t>
      </w:r>
      <w:r>
        <w:rPr>
          <w:w w:val="100"/>
        </w:rPr>
        <w:t> </w:t>
      </w:r>
      <w:r>
        <w:rPr>
          <w:spacing w:val="-2"/>
          <w:w w:val="100"/>
        </w:rPr>
        <w:t>准备的账面金额，本公司将其差额确认为应收票据减值损失，借记“信用减值损失”，贷记“坏账准</w:t>
      </w:r>
      <w:r>
        <w:rPr>
          <w:spacing w:val="-101"/>
          <w:w w:val="100"/>
        </w:rPr>
        <w:t> </w:t>
      </w:r>
      <w:r>
        <w:rPr>
          <w:spacing w:val="-101"/>
          <w:w w:val="100"/>
        </w:rPr>
      </w:r>
      <w:r>
        <w:rPr>
          <w:spacing w:val="-5"/>
          <w:w w:val="100"/>
        </w:rPr>
        <w:t>备”。相反，本公司将差额确认为减值利得，做相反的会计记录。</w:t>
      </w:r>
    </w:p>
    <w:p>
      <w:pPr>
        <w:pStyle w:val="BodyText"/>
        <w:spacing w:line="333" w:lineRule="auto" w:before="68"/>
        <w:ind w:right="1130" w:firstLine="439"/>
        <w:jc w:val="both"/>
      </w:pPr>
      <w:r>
        <w:rPr>
          <w:spacing w:val="-2"/>
        </w:rPr>
        <w:t>本公司实际发生信用损失，认定相关应收票据无法收回，经批准予以核销的，根据批准的核销金</w:t>
      </w:r>
      <w:r>
        <w:rPr>
          <w:w w:val="100"/>
        </w:rPr>
        <w:t> </w:t>
      </w:r>
      <w:r>
        <w:rPr>
          <w:spacing w:val="-7"/>
          <w:w w:val="100"/>
        </w:rPr>
        <w:t>额，借记“坏账准备”，贷记“应收票据”。若核销金额大于已计提的损失准备，按其差额借记“信用</w:t>
      </w:r>
      <w:r>
        <w:rPr>
          <w:spacing w:val="-106"/>
          <w:w w:val="100"/>
        </w:rPr>
        <w:t> </w:t>
      </w:r>
      <w:r>
        <w:rPr>
          <w:spacing w:val="-106"/>
          <w:w w:val="100"/>
        </w:rPr>
      </w:r>
      <w:r>
        <w:rPr>
          <w:spacing w:val="-19"/>
          <w:w w:val="100"/>
        </w:rPr>
        <w:t>减值损失”。</w:t>
      </w:r>
    </w:p>
    <w:p>
      <w:pPr>
        <w:tabs>
          <w:tab w:pos="1413" w:val="left" w:leader="none"/>
        </w:tabs>
        <w:spacing w:line="348" w:lineRule="auto" w:before="65"/>
        <w:ind w:left="592" w:right="5052" w:firstLine="2"/>
        <w:jc w:val="left"/>
        <w:rPr>
          <w:rFonts w:ascii="宋体" w:hAnsi="宋体" w:cs="宋体" w:eastAsia="宋体" w:hint="default"/>
          <w:sz w:val="22"/>
          <w:szCs w:val="22"/>
        </w:rPr>
      </w:pPr>
      <w:r>
        <w:rPr>
          <w:rFonts w:ascii="Arial" w:hAnsi="Arial" w:cs="Arial" w:eastAsia="Arial" w:hint="default"/>
          <w:b/>
          <w:bCs/>
          <w:spacing w:val="-1"/>
          <w:sz w:val="22"/>
          <w:szCs w:val="22"/>
        </w:rPr>
        <w:t>12</w:t>
      </w:r>
      <w:r>
        <w:rPr>
          <w:rFonts w:ascii="宋体" w:hAnsi="宋体" w:cs="宋体" w:eastAsia="宋体" w:hint="default"/>
          <w:b/>
          <w:bCs/>
          <w:spacing w:val="-1"/>
          <w:sz w:val="22"/>
          <w:szCs w:val="22"/>
        </w:rPr>
        <w:t>、</w:t>
        <w:tab/>
      </w:r>
      <w:r>
        <w:rPr>
          <w:rFonts w:ascii="宋体" w:hAnsi="宋体" w:cs="宋体" w:eastAsia="宋体" w:hint="default"/>
          <w:b/>
          <w:bCs/>
          <w:sz w:val="22"/>
          <w:szCs w:val="22"/>
        </w:rPr>
        <w:t>应收账款</w:t>
      </w:r>
      <w:r>
        <w:rPr>
          <w:rFonts w:ascii="宋体" w:hAnsi="宋体" w:cs="宋体" w:eastAsia="宋体" w:hint="default"/>
          <w:b/>
          <w:bCs/>
          <w:w w:val="99"/>
          <w:sz w:val="22"/>
          <w:szCs w:val="22"/>
        </w:rPr>
        <w:t> </w:t>
      </w:r>
      <w:r>
        <w:rPr>
          <w:rFonts w:ascii="宋体" w:hAnsi="宋体" w:cs="宋体" w:eastAsia="宋体" w:hint="default"/>
          <w:spacing w:val="-1"/>
          <w:sz w:val="22"/>
          <w:szCs w:val="22"/>
        </w:rPr>
        <w:t>应收账款的预期信用损失的确定方法及会计处理方法。</w:t>
      </w:r>
    </w:p>
    <w:p>
      <w:pPr>
        <w:pStyle w:val="BodyText"/>
        <w:spacing w:line="348" w:lineRule="auto" w:before="52"/>
        <w:ind w:left="592" w:right="1133"/>
        <w:jc w:val="left"/>
      </w:pPr>
      <w:r>
        <w:rPr/>
        <w:t>（</w:t>
      </w:r>
      <w:r>
        <w:rPr>
          <w:rFonts w:ascii="Arial" w:hAnsi="Arial" w:cs="Arial" w:eastAsia="Arial" w:hint="default"/>
        </w:rPr>
        <w:t>1</w:t>
      </w:r>
      <w:r>
        <w:rPr/>
        <w:t>）损失准备的确认方法</w:t>
      </w:r>
      <w:r>
        <w:rPr>
          <w:w w:val="100"/>
        </w:rPr>
        <w:t> </w:t>
      </w:r>
      <w:r>
        <w:rPr>
          <w:spacing w:val="-2"/>
        </w:rPr>
        <w:t>本公司以预期信用损失为基础，对于应收款项，始终按照相当于整个存续期内预期信用损失的金</w:t>
      </w:r>
    </w:p>
    <w:p>
      <w:pPr>
        <w:pStyle w:val="BodyText"/>
        <w:spacing w:line="367" w:lineRule="auto" w:before="14"/>
        <w:ind w:left="592" w:right="1133" w:hanging="440"/>
        <w:jc w:val="left"/>
      </w:pPr>
      <w:r>
        <w:rPr/>
        <w:t>额计量其损失准备。</w:t>
      </w:r>
      <w:r>
        <w:rPr>
          <w:w w:val="100"/>
        </w:rPr>
        <w:t> </w:t>
      </w:r>
      <w:r>
        <w:rPr>
          <w:spacing w:val="-2"/>
        </w:rPr>
        <w:t>信用风险自初始确认后是否显著增加的判断。本公司通过比较金融工具在初始确认时所确定的预</w:t>
      </w:r>
    </w:p>
    <w:p>
      <w:pPr>
        <w:pStyle w:val="BodyText"/>
        <w:spacing w:line="328" w:lineRule="auto"/>
        <w:ind w:right="1090"/>
        <w:jc w:val="both"/>
      </w:pPr>
      <w:r>
        <w:rPr>
          <w:spacing w:val="-2"/>
        </w:rPr>
        <w:t>计存续期内的违约概率额该工具在资产负债表日所确定的预计存续期内的违约概率，来判定金融工具</w:t>
      </w:r>
      <w:r>
        <w:rPr>
          <w:spacing w:val="-73"/>
        </w:rPr>
        <w:t> </w:t>
      </w:r>
      <w:r>
        <w:rPr>
          <w:spacing w:val="-73"/>
        </w:rPr>
      </w:r>
      <w:r>
        <w:rPr>
          <w:spacing w:val="-1"/>
        </w:rPr>
        <w:t>信用风险是否显著增加。但是，如果本公司确定金融工具在资产负债表日只具有较低的信用风险的，</w:t>
      </w:r>
      <w:r>
        <w:rPr>
          <w:spacing w:val="-73"/>
        </w:rPr>
        <w:t> </w:t>
      </w:r>
      <w:r>
        <w:rPr>
          <w:spacing w:val="-73"/>
        </w:rPr>
      </w:r>
      <w:r>
        <w:rPr/>
        <w:t>可以假设该金融工具的信用风险自初始确认后并未显著增加。通常情况下，如果逾期超过 </w:t>
      </w:r>
      <w:r>
        <w:rPr>
          <w:rFonts w:ascii="Arial" w:hAnsi="Arial" w:cs="Arial" w:eastAsia="Arial" w:hint="default"/>
        </w:rPr>
        <w:t>30</w:t>
      </w:r>
      <w:r>
        <w:rPr>
          <w:rFonts w:ascii="Arial" w:hAnsi="Arial" w:cs="Arial" w:eastAsia="Arial" w:hint="default"/>
          <w:spacing w:val="-23"/>
        </w:rPr>
        <w:t> </w:t>
      </w:r>
      <w:r>
        <w:rPr/>
        <w:t>日，则</w:t>
      </w:r>
      <w:r>
        <w:rPr>
          <w:w w:val="100"/>
        </w:rPr>
        <w:t> </w:t>
      </w:r>
      <w:r>
        <w:rPr>
          <w:spacing w:val="-2"/>
        </w:rPr>
        <w:t>表明金融工具的信用风险已经显著增加。除非本公司在无须付出不必要的额外成本或努力的情况下即</w:t>
      </w:r>
      <w:r>
        <w:rPr>
          <w:spacing w:val="-73"/>
        </w:rPr>
        <w:t> </w:t>
      </w:r>
      <w:r>
        <w:rPr>
          <w:spacing w:val="-73"/>
        </w:rPr>
      </w:r>
      <w:r>
        <w:rPr/>
        <w:t>可获得合理且有依据的信息，证明即使逾期超过 </w:t>
      </w:r>
      <w:r>
        <w:rPr>
          <w:rFonts w:ascii="Arial" w:hAnsi="Arial" w:cs="Arial" w:eastAsia="Arial" w:hint="default"/>
        </w:rPr>
        <w:t>30</w:t>
      </w:r>
      <w:r>
        <w:rPr>
          <w:rFonts w:ascii="Arial" w:hAnsi="Arial" w:cs="Arial" w:eastAsia="Arial" w:hint="default"/>
          <w:spacing w:val="-22"/>
        </w:rPr>
        <w:t> </w:t>
      </w:r>
      <w:r>
        <w:rPr/>
        <w:t>日，信用风险自初始确认后仍未显著增加。在确</w:t>
      </w:r>
      <w:r>
        <w:rPr>
          <w:w w:val="100"/>
        </w:rPr>
        <w:t> </w:t>
      </w:r>
      <w:r>
        <w:rPr>
          <w:spacing w:val="-2"/>
        </w:rPr>
        <w:t>定信用风险自初始确认后是否显著增加时，本公司考虑无须付出不必要的额外成本或努力即可获得的</w:t>
      </w:r>
      <w:r>
        <w:rPr>
          <w:spacing w:val="-73"/>
        </w:rPr>
        <w:t> </w:t>
      </w:r>
      <w:r>
        <w:rPr>
          <w:spacing w:val="-73"/>
        </w:rPr>
      </w:r>
      <w:r>
        <w:rPr/>
        <w:t>合理且有依据的信息，包括前瞻性信息。</w:t>
      </w:r>
    </w:p>
    <w:p>
      <w:pPr>
        <w:pStyle w:val="BodyText"/>
        <w:spacing w:line="350" w:lineRule="auto" w:before="70"/>
        <w:ind w:left="592" w:right="1133"/>
        <w:jc w:val="left"/>
      </w:pPr>
      <w:r>
        <w:rPr/>
        <w:t>（</w:t>
      </w:r>
      <w:r>
        <w:rPr>
          <w:rFonts w:ascii="Arial" w:hAnsi="Arial" w:cs="Arial" w:eastAsia="Arial" w:hint="default"/>
        </w:rPr>
        <w:t>2</w:t>
      </w:r>
      <w:r>
        <w:rPr/>
        <w:t>）应收账款预期信用损失的评估</w:t>
      </w:r>
      <w:r>
        <w:rPr>
          <w:w w:val="100"/>
        </w:rPr>
        <w:t> </w:t>
      </w:r>
      <w:r>
        <w:rPr>
          <w:spacing w:val="-2"/>
        </w:rPr>
        <w:t>本公司对信用风险显著不同的金融资产单项评价信用风险，如：与对方存在争议或涉及诉讼、仲</w:t>
      </w:r>
    </w:p>
    <w:p>
      <w:pPr>
        <w:spacing w:after="0" w:line="35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333" w:lineRule="auto" w:before="173"/>
        <w:ind w:left="252" w:right="309"/>
        <w:jc w:val="left"/>
      </w:pPr>
      <w:r>
        <w:rPr>
          <w:spacing w:val="-5"/>
        </w:rPr>
        <w:t>裁的应收款项；已有明显迹象（如：债务人发生严重的财务困难、很可能倒闭或进行其他财务重组等）</w:t>
      </w:r>
      <w:r>
        <w:rPr>
          <w:spacing w:val="-42"/>
        </w:rPr>
        <w:t> </w:t>
      </w:r>
      <w:r>
        <w:rPr>
          <w:spacing w:val="-42"/>
        </w:rPr>
      </w:r>
      <w:r>
        <w:rPr/>
        <w:t>表明债务人很可能无法履行还款义务的应收账款等。</w:t>
      </w:r>
    </w:p>
    <w:p>
      <w:pPr>
        <w:pStyle w:val="BodyText"/>
        <w:spacing w:line="333" w:lineRule="auto" w:before="65"/>
        <w:ind w:left="252" w:right="309" w:firstLine="439"/>
        <w:jc w:val="left"/>
      </w:pPr>
      <w:r>
        <w:rPr>
          <w:spacing w:val="-2"/>
        </w:rPr>
        <w:t>除了单项评估信用风险的应收账款外，本公司按照交易对象关系、账龄为共同风险特征，对应收</w:t>
      </w:r>
      <w:r>
        <w:rPr>
          <w:w w:val="100"/>
        </w:rPr>
        <w:t> </w:t>
      </w:r>
      <w:r>
        <w:rPr/>
        <w:t>账款划分为不同组合，在组合的基础上评估信用风险是否显著增加。</w:t>
      </w:r>
    </w:p>
    <w:tbl>
      <w:tblPr>
        <w:tblW w:w="0" w:type="auto"/>
        <w:jc w:val="left"/>
        <w:tblInd w:w="116" w:type="dxa"/>
        <w:tblLayout w:type="fixed"/>
        <w:tblCellMar>
          <w:top w:w="0" w:type="dxa"/>
          <w:left w:w="0" w:type="dxa"/>
          <w:bottom w:w="0" w:type="dxa"/>
          <w:right w:w="0" w:type="dxa"/>
        </w:tblCellMar>
        <w:tblLook w:val="01E0"/>
      </w:tblPr>
      <w:tblGrid>
        <w:gridCol w:w="1966"/>
        <w:gridCol w:w="6774"/>
      </w:tblGrid>
      <w:tr>
        <w:trPr>
          <w:trHeight w:val="502" w:hRule="exact"/>
        </w:trPr>
        <w:tc>
          <w:tcPr>
            <w:tcW w:w="196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5"/>
              <w:ind w:left="550" w:right="0"/>
              <w:jc w:val="left"/>
              <w:rPr>
                <w:rFonts w:ascii="宋体" w:hAnsi="宋体" w:cs="宋体" w:eastAsia="宋体" w:hint="default"/>
                <w:sz w:val="22"/>
                <w:szCs w:val="22"/>
              </w:rPr>
            </w:pPr>
            <w:r>
              <w:rPr>
                <w:rFonts w:ascii="宋体" w:hAnsi="宋体" w:cs="宋体" w:eastAsia="宋体" w:hint="default"/>
                <w:sz w:val="22"/>
                <w:szCs w:val="22"/>
              </w:rPr>
              <w:t>组合分类</w:t>
            </w:r>
          </w:p>
        </w:tc>
        <w:tc>
          <w:tcPr>
            <w:tcW w:w="677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5"/>
              <w:ind w:left="2062" w:right="0"/>
              <w:jc w:val="left"/>
              <w:rPr>
                <w:rFonts w:ascii="宋体" w:hAnsi="宋体" w:cs="宋体" w:eastAsia="宋体" w:hint="default"/>
                <w:sz w:val="22"/>
                <w:szCs w:val="22"/>
              </w:rPr>
            </w:pPr>
            <w:r>
              <w:rPr>
                <w:rFonts w:ascii="宋体" w:hAnsi="宋体" w:cs="宋体" w:eastAsia="宋体" w:hint="default"/>
                <w:sz w:val="22"/>
                <w:szCs w:val="22"/>
              </w:rPr>
              <w:t>预期信用损失会计估计政策</w:t>
            </w:r>
          </w:p>
        </w:tc>
      </w:tr>
      <w:tr>
        <w:trPr>
          <w:trHeight w:val="490"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22" w:right="0"/>
              <w:jc w:val="left"/>
              <w:rPr>
                <w:rFonts w:ascii="宋体" w:hAnsi="宋体" w:cs="宋体" w:eastAsia="宋体" w:hint="default"/>
                <w:sz w:val="22"/>
                <w:szCs w:val="22"/>
              </w:rPr>
            </w:pPr>
            <w:r>
              <w:rPr>
                <w:rFonts w:ascii="Arial" w:hAnsi="Arial" w:cs="Arial" w:eastAsia="Arial" w:hint="default"/>
                <w:sz w:val="22"/>
                <w:szCs w:val="22"/>
              </w:rPr>
              <w:t>1</w:t>
            </w:r>
            <w:r>
              <w:rPr>
                <w:rFonts w:ascii="宋体" w:hAnsi="宋体" w:cs="宋体" w:eastAsia="宋体" w:hint="default"/>
                <w:sz w:val="22"/>
                <w:szCs w:val="22"/>
              </w:rPr>
              <w:t>、账龄组合</w:t>
            </w:r>
          </w:p>
        </w:tc>
        <w:tc>
          <w:tcPr>
            <w:tcW w:w="6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left="103" w:right="0"/>
              <w:jc w:val="left"/>
              <w:rPr>
                <w:rFonts w:ascii="宋体" w:hAnsi="宋体" w:cs="宋体" w:eastAsia="宋体" w:hint="default"/>
                <w:sz w:val="22"/>
                <w:szCs w:val="22"/>
              </w:rPr>
            </w:pPr>
            <w:r>
              <w:rPr>
                <w:rFonts w:ascii="宋体" w:hAnsi="宋体" w:cs="宋体" w:eastAsia="宋体" w:hint="default"/>
                <w:sz w:val="22"/>
                <w:szCs w:val="22"/>
              </w:rPr>
              <w:t>按照预期损失率计提减值准备</w:t>
            </w:r>
          </w:p>
        </w:tc>
      </w:tr>
      <w:tr>
        <w:trPr>
          <w:trHeight w:val="499" w:hRule="exact"/>
        </w:trPr>
        <w:tc>
          <w:tcPr>
            <w:tcW w:w="196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3"/>
              <w:ind w:left="122" w:right="0"/>
              <w:jc w:val="left"/>
              <w:rPr>
                <w:rFonts w:ascii="宋体" w:hAnsi="宋体" w:cs="宋体" w:eastAsia="宋体" w:hint="default"/>
                <w:sz w:val="22"/>
                <w:szCs w:val="22"/>
              </w:rPr>
            </w:pPr>
            <w:r>
              <w:rPr>
                <w:rFonts w:ascii="Arial" w:hAnsi="Arial" w:cs="Arial" w:eastAsia="Arial" w:hint="default"/>
                <w:sz w:val="22"/>
                <w:szCs w:val="22"/>
              </w:rPr>
              <w:t>2</w:t>
            </w:r>
            <w:r>
              <w:rPr>
                <w:rFonts w:ascii="宋体" w:hAnsi="宋体" w:cs="宋体" w:eastAsia="宋体" w:hint="default"/>
                <w:sz w:val="22"/>
                <w:szCs w:val="22"/>
              </w:rPr>
              <w:t>、关联方组合</w:t>
            </w:r>
          </w:p>
        </w:tc>
        <w:tc>
          <w:tcPr>
            <w:tcW w:w="677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3"/>
              <w:ind w:left="103" w:right="0"/>
              <w:jc w:val="left"/>
              <w:rPr>
                <w:rFonts w:ascii="宋体" w:hAnsi="宋体" w:cs="宋体" w:eastAsia="宋体" w:hint="default"/>
                <w:sz w:val="22"/>
                <w:szCs w:val="22"/>
              </w:rPr>
            </w:pPr>
            <w:r>
              <w:rPr>
                <w:rFonts w:ascii="宋体" w:hAnsi="宋体" w:cs="宋体" w:eastAsia="宋体" w:hint="default"/>
                <w:sz w:val="22"/>
                <w:szCs w:val="22"/>
              </w:rPr>
              <w:t>管理层评价该类款项具有较低的信用风险，一般不计提减值准备</w:t>
            </w:r>
          </w:p>
        </w:tc>
      </w:tr>
    </w:tbl>
    <w:p>
      <w:pPr>
        <w:spacing w:line="240" w:lineRule="auto" w:before="9"/>
        <w:rPr>
          <w:rFonts w:ascii="宋体" w:hAnsi="宋体" w:cs="宋体" w:eastAsia="宋体" w:hint="default"/>
          <w:sz w:val="5"/>
          <w:szCs w:val="5"/>
        </w:rPr>
      </w:pPr>
    </w:p>
    <w:p>
      <w:pPr>
        <w:pStyle w:val="BodyText"/>
        <w:spacing w:line="348" w:lineRule="auto" w:before="32"/>
        <w:ind w:left="692" w:right="309"/>
        <w:jc w:val="left"/>
      </w:pPr>
      <w:r>
        <w:rPr/>
        <w:t>（</w:t>
      </w:r>
      <w:r>
        <w:rPr>
          <w:rFonts w:ascii="Arial" w:hAnsi="Arial" w:cs="Arial" w:eastAsia="Arial" w:hint="default"/>
        </w:rPr>
        <w:t>3</w:t>
      </w:r>
      <w:r>
        <w:rPr/>
        <w:t>）应收账款预期信用损失的会计处理方法</w:t>
      </w:r>
      <w:r>
        <w:rPr>
          <w:w w:val="100"/>
        </w:rPr>
        <w:t> </w:t>
      </w:r>
      <w:r>
        <w:rPr>
          <w:spacing w:val="-2"/>
        </w:rPr>
        <w:t>预期信用损失计量。预期信用损失，是指以发生违约的风险为权重的金融工具信用损失的加权平</w:t>
      </w:r>
    </w:p>
    <w:p>
      <w:pPr>
        <w:pStyle w:val="BodyText"/>
        <w:spacing w:line="333" w:lineRule="auto" w:before="14"/>
        <w:ind w:left="252" w:right="309"/>
        <w:jc w:val="left"/>
      </w:pPr>
      <w:r>
        <w:rPr>
          <w:spacing w:val="-2"/>
        </w:rPr>
        <w:t>均值。信用损失，是指本公司按照原实际利率折现的、根据合同应收的所有合同现金流量与预期收取</w:t>
      </w:r>
      <w:r>
        <w:rPr>
          <w:spacing w:val="-70"/>
        </w:rPr>
        <w:t> </w:t>
      </w:r>
      <w:r>
        <w:rPr>
          <w:spacing w:val="-70"/>
        </w:rPr>
      </w:r>
      <w:r>
        <w:rPr/>
        <w:t>的所有现金流量之间的差额，即全部现金短缺的现值。</w:t>
      </w:r>
    </w:p>
    <w:p>
      <w:pPr>
        <w:pStyle w:val="BodyText"/>
        <w:spacing w:line="333" w:lineRule="auto" w:before="65"/>
        <w:ind w:left="252" w:right="1126" w:firstLine="439"/>
        <w:jc w:val="both"/>
      </w:pPr>
      <w:r>
        <w:rPr>
          <w:spacing w:val="-2"/>
        </w:rPr>
        <w:t>本公司在资产负债表日计算应收账款预期信用损失，如果该预期信用损失大于当前应收账款减值</w:t>
      </w:r>
      <w:r>
        <w:rPr>
          <w:w w:val="100"/>
        </w:rPr>
        <w:t> </w:t>
      </w:r>
      <w:r>
        <w:rPr>
          <w:spacing w:val="-2"/>
          <w:w w:val="100"/>
        </w:rPr>
        <w:t>准备的账面金额，本公司将其差额确认为应收账款减值损失，借记“信用减值损失”，贷记“坏账准</w:t>
      </w:r>
      <w:r>
        <w:rPr>
          <w:spacing w:val="-97"/>
          <w:w w:val="100"/>
        </w:rPr>
        <w:t> </w:t>
      </w:r>
      <w:r>
        <w:rPr>
          <w:spacing w:val="-97"/>
          <w:w w:val="100"/>
        </w:rPr>
      </w:r>
      <w:r>
        <w:rPr>
          <w:spacing w:val="-5"/>
          <w:w w:val="100"/>
        </w:rPr>
        <w:t>备”。相反，本公司将差额确认为减值利得，做相反的会计记录。</w:t>
      </w:r>
    </w:p>
    <w:p>
      <w:pPr>
        <w:pStyle w:val="BodyText"/>
        <w:spacing w:line="333" w:lineRule="auto" w:before="68"/>
        <w:ind w:left="252" w:right="1130" w:firstLine="439"/>
        <w:jc w:val="both"/>
      </w:pPr>
      <w:r>
        <w:rPr>
          <w:spacing w:val="-2"/>
        </w:rPr>
        <w:t>本公司实际发生信用损失，认定相关应收账款无法收回，经批准予以核销的，根据批准的核销金</w:t>
      </w:r>
      <w:r>
        <w:rPr>
          <w:w w:val="100"/>
        </w:rPr>
        <w:t> </w:t>
      </w:r>
      <w:r>
        <w:rPr>
          <w:spacing w:val="-7"/>
          <w:w w:val="100"/>
        </w:rPr>
        <w:t>额，借记“坏账准备”，贷记“应收账款”。若核销金额大于已计提的损失准备，按其差额借记“信用</w:t>
      </w:r>
      <w:r>
        <w:rPr>
          <w:spacing w:val="-106"/>
          <w:w w:val="100"/>
        </w:rPr>
        <w:t> </w:t>
      </w:r>
      <w:r>
        <w:rPr>
          <w:spacing w:val="-106"/>
          <w:w w:val="100"/>
        </w:rPr>
      </w:r>
      <w:r>
        <w:rPr>
          <w:spacing w:val="-19"/>
          <w:w w:val="100"/>
        </w:rPr>
        <w:t>减值损失”。</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8"/>
          <w:szCs w:val="28"/>
        </w:rPr>
      </w:pPr>
    </w:p>
    <w:p>
      <w:pPr>
        <w:tabs>
          <w:tab w:pos="1513" w:val="left" w:leader="none"/>
        </w:tabs>
        <w:spacing w:line="348" w:lineRule="auto" w:before="0"/>
        <w:ind w:left="692" w:right="4831" w:firstLine="2"/>
        <w:jc w:val="left"/>
        <w:rPr>
          <w:rFonts w:ascii="宋体" w:hAnsi="宋体" w:cs="宋体" w:eastAsia="宋体" w:hint="default"/>
          <w:sz w:val="22"/>
          <w:szCs w:val="22"/>
        </w:rPr>
      </w:pPr>
      <w:r>
        <w:rPr>
          <w:rFonts w:ascii="Arial" w:hAnsi="Arial" w:cs="Arial" w:eastAsia="Arial" w:hint="default"/>
          <w:b/>
          <w:bCs/>
          <w:spacing w:val="-1"/>
          <w:sz w:val="22"/>
          <w:szCs w:val="22"/>
        </w:rPr>
        <w:t>13</w:t>
      </w:r>
      <w:r>
        <w:rPr>
          <w:rFonts w:ascii="宋体" w:hAnsi="宋体" w:cs="宋体" w:eastAsia="宋体" w:hint="default"/>
          <w:b/>
          <w:bCs/>
          <w:spacing w:val="-1"/>
          <w:sz w:val="22"/>
          <w:szCs w:val="22"/>
        </w:rPr>
        <w:t>、</w:t>
        <w:tab/>
      </w:r>
      <w:r>
        <w:rPr>
          <w:rFonts w:ascii="宋体" w:hAnsi="宋体" w:cs="宋体" w:eastAsia="宋体" w:hint="default"/>
          <w:b/>
          <w:bCs/>
          <w:sz w:val="22"/>
          <w:szCs w:val="22"/>
        </w:rPr>
        <w:t>其他应收款</w:t>
      </w:r>
      <w:r>
        <w:rPr>
          <w:rFonts w:ascii="宋体" w:hAnsi="宋体" w:cs="宋体" w:eastAsia="宋体" w:hint="default"/>
          <w:b/>
          <w:bCs/>
          <w:w w:val="99"/>
          <w:sz w:val="22"/>
          <w:szCs w:val="22"/>
        </w:rPr>
        <w:t> </w:t>
      </w:r>
      <w:r>
        <w:rPr>
          <w:rFonts w:ascii="宋体" w:hAnsi="宋体" w:cs="宋体" w:eastAsia="宋体" w:hint="default"/>
          <w:spacing w:val="-1"/>
          <w:sz w:val="22"/>
          <w:szCs w:val="22"/>
        </w:rPr>
        <w:t>其他应收款的预期信用损失的确定方法及会计处理方法。</w:t>
      </w:r>
    </w:p>
    <w:p>
      <w:pPr>
        <w:pStyle w:val="BodyText"/>
        <w:spacing w:line="328" w:lineRule="auto" w:before="52"/>
        <w:ind w:left="252" w:right="1131" w:firstLine="439"/>
        <w:jc w:val="both"/>
      </w:pPr>
      <w:r>
        <w:rPr>
          <w:spacing w:val="2"/>
        </w:rPr>
        <w:t>本公司按照下列情形计量其他应收款损失准备：①信用风险自初始确认后未显著增加的金融资</w:t>
      </w:r>
      <w:r>
        <w:rPr>
          <w:w w:val="100"/>
        </w:rPr>
        <w:t> </w:t>
      </w:r>
      <w:r>
        <w:rPr/>
        <w:t>产，本公司按照未来 </w:t>
      </w:r>
      <w:r>
        <w:rPr>
          <w:rFonts w:ascii="Arial" w:hAnsi="Arial" w:cs="Arial" w:eastAsia="Arial" w:hint="default"/>
        </w:rPr>
        <w:t>12</w:t>
      </w:r>
      <w:r>
        <w:rPr>
          <w:rFonts w:ascii="Arial" w:hAnsi="Arial" w:cs="Arial" w:eastAsia="Arial" w:hint="default"/>
          <w:spacing w:val="-25"/>
        </w:rPr>
        <w:t> </w:t>
      </w:r>
      <w:r>
        <w:rPr/>
        <w:t>个月的预期信用损失的金额计量损失准备；②信用风险自初始确认后已显著</w:t>
      </w:r>
      <w:r>
        <w:rPr>
          <w:w w:val="100"/>
        </w:rPr>
        <w:t> </w:t>
      </w:r>
      <w:r>
        <w:rPr>
          <w:spacing w:val="-2"/>
        </w:rPr>
        <w:t>增加的金融资产，本公司按照相当于该金融工具整个存续期内预期信用损失的金额计量损失准备；③</w:t>
      </w:r>
      <w:r>
        <w:rPr>
          <w:spacing w:val="-70"/>
        </w:rPr>
        <w:t> </w:t>
      </w:r>
      <w:r>
        <w:rPr>
          <w:spacing w:val="-70"/>
        </w:rPr>
      </w:r>
      <w:r>
        <w:rPr>
          <w:spacing w:val="-2"/>
        </w:rPr>
        <w:t>购买或源生已发生信用减值的金融资产，本公司按照相当于整个存续期内预期信用损失的金额计量损</w:t>
      </w:r>
      <w:r>
        <w:rPr>
          <w:spacing w:val="-73"/>
        </w:rPr>
        <w:t> </w:t>
      </w:r>
      <w:r>
        <w:rPr>
          <w:spacing w:val="-73"/>
        </w:rPr>
      </w:r>
      <w:r>
        <w:rPr/>
        <w:t>失准备。</w:t>
      </w:r>
    </w:p>
    <w:p>
      <w:pPr>
        <w:pStyle w:val="BodyText"/>
        <w:spacing w:line="333" w:lineRule="auto" w:before="72"/>
        <w:ind w:left="252" w:right="1092" w:firstLine="439"/>
        <w:jc w:val="both"/>
      </w:pPr>
      <w:r>
        <w:rPr>
          <w:spacing w:val="-1"/>
        </w:rPr>
        <w:t>本公司对信用风险显著不同的金融资产单项评价信用风险，如：应收履约保证金、质量保证金、</w:t>
      </w:r>
      <w:r>
        <w:rPr>
          <w:w w:val="100"/>
        </w:rPr>
        <w:t> </w:t>
      </w:r>
      <w:r>
        <w:rPr>
          <w:spacing w:val="-2"/>
        </w:rPr>
        <w:t>安全保证金、农民工保证金、信用保证金等；与对方存在争议或涉及诉讼、仲裁的应收款项；已有明</w:t>
      </w:r>
      <w:r>
        <w:rPr>
          <w:spacing w:val="-72"/>
        </w:rPr>
        <w:t> </w:t>
      </w:r>
      <w:r>
        <w:rPr>
          <w:spacing w:val="-72"/>
        </w:rPr>
      </w:r>
      <w:r>
        <w:rPr>
          <w:spacing w:val="-2"/>
        </w:rPr>
        <w:t>显迹象表明债务人很可能无法履行还款义务的应收款项等。除了单项评估信用风险的金融资产外，本</w:t>
      </w:r>
      <w:r>
        <w:rPr>
          <w:spacing w:val="-70"/>
        </w:rPr>
        <w:t> </w:t>
      </w:r>
      <w:r>
        <w:rPr>
          <w:spacing w:val="-70"/>
        </w:rPr>
      </w:r>
      <w:r>
        <w:rPr>
          <w:spacing w:val="-2"/>
        </w:rPr>
        <w:t>公司基于其他应收款交易对象关系、款项性质等共同风险特征将其他应收款划分为不同的组合，并确</w:t>
      </w:r>
      <w:r>
        <w:rPr>
          <w:spacing w:val="-69"/>
        </w:rPr>
        <w:t> </w:t>
      </w:r>
      <w:r>
        <w:rPr>
          <w:spacing w:val="-69"/>
        </w:rPr>
      </w:r>
      <w:r>
        <w:rPr/>
        <w:t>定预期信用损失会计估计政策：</w:t>
      </w:r>
    </w:p>
    <w:tbl>
      <w:tblPr>
        <w:tblW w:w="0" w:type="auto"/>
        <w:jc w:val="left"/>
        <w:tblInd w:w="694" w:type="dxa"/>
        <w:tblLayout w:type="fixed"/>
        <w:tblCellMar>
          <w:top w:w="0" w:type="dxa"/>
          <w:left w:w="0" w:type="dxa"/>
          <w:bottom w:w="0" w:type="dxa"/>
          <w:right w:w="0" w:type="dxa"/>
        </w:tblCellMar>
        <w:tblLook w:val="01E0"/>
      </w:tblPr>
      <w:tblGrid>
        <w:gridCol w:w="4191"/>
        <w:gridCol w:w="4549"/>
      </w:tblGrid>
      <w:tr>
        <w:trPr>
          <w:trHeight w:val="511" w:hRule="exact"/>
        </w:trPr>
        <w:tc>
          <w:tcPr>
            <w:tcW w:w="4191"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03"/>
              <w:ind w:left="23" w:right="0"/>
              <w:jc w:val="center"/>
              <w:rPr>
                <w:rFonts w:ascii="宋体" w:hAnsi="宋体" w:cs="宋体" w:eastAsia="宋体" w:hint="default"/>
                <w:sz w:val="22"/>
                <w:szCs w:val="22"/>
              </w:rPr>
            </w:pPr>
            <w:r>
              <w:rPr>
                <w:rFonts w:ascii="宋体" w:hAnsi="宋体" w:cs="宋体" w:eastAsia="宋体" w:hint="default"/>
                <w:sz w:val="22"/>
                <w:szCs w:val="22"/>
              </w:rPr>
              <w:t>组合分类</w:t>
            </w:r>
          </w:p>
        </w:tc>
        <w:tc>
          <w:tcPr>
            <w:tcW w:w="4549"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03"/>
              <w:ind w:left="950" w:right="0"/>
              <w:jc w:val="left"/>
              <w:rPr>
                <w:rFonts w:ascii="宋体" w:hAnsi="宋体" w:cs="宋体" w:eastAsia="宋体" w:hint="default"/>
                <w:sz w:val="22"/>
                <w:szCs w:val="22"/>
              </w:rPr>
            </w:pPr>
            <w:r>
              <w:rPr>
                <w:rFonts w:ascii="宋体" w:hAnsi="宋体" w:cs="宋体" w:eastAsia="宋体" w:hint="default"/>
                <w:sz w:val="22"/>
                <w:szCs w:val="22"/>
              </w:rPr>
              <w:t>预期信用损失会计估计政策</w:t>
            </w:r>
          </w:p>
        </w:tc>
      </w:tr>
    </w:tbl>
    <w:p>
      <w:pPr>
        <w:spacing w:after="0" w:line="240" w:lineRule="auto"/>
        <w:jc w:val="left"/>
        <w:rPr>
          <w:rFonts w:ascii="宋体" w:hAnsi="宋体" w:cs="宋体" w:eastAsia="宋体" w:hint="default"/>
          <w:sz w:val="22"/>
          <w:szCs w:val="22"/>
        </w:rPr>
        <w:sectPr>
          <w:pgSz w:w="11910" w:h="16840"/>
          <w:pgMar w:header="745" w:footer="979" w:top="1060" w:bottom="1160" w:left="880" w:right="0"/>
        </w:sectPr>
      </w:pPr>
    </w:p>
    <w:p>
      <w:pPr>
        <w:spacing w:line="240" w:lineRule="auto" w:before="6"/>
        <w:rPr>
          <w:rFonts w:ascii="宋体" w:hAnsi="宋体" w:cs="宋体" w:eastAsia="宋体" w:hint="default"/>
          <w:sz w:val="28"/>
          <w:szCs w:val="28"/>
        </w:rPr>
      </w:pPr>
    </w:p>
    <w:tbl>
      <w:tblPr>
        <w:tblW w:w="0" w:type="auto"/>
        <w:jc w:val="left"/>
        <w:tblInd w:w="580" w:type="dxa"/>
        <w:tblLayout w:type="fixed"/>
        <w:tblCellMar>
          <w:top w:w="0" w:type="dxa"/>
          <w:left w:w="0" w:type="dxa"/>
          <w:bottom w:w="0" w:type="dxa"/>
          <w:right w:w="0" w:type="dxa"/>
        </w:tblCellMar>
        <w:tblLook w:val="01E0"/>
      </w:tblPr>
      <w:tblGrid>
        <w:gridCol w:w="4191"/>
        <w:gridCol w:w="4549"/>
      </w:tblGrid>
      <w:tr>
        <w:trPr>
          <w:trHeight w:val="502" w:hRule="exact"/>
        </w:trPr>
        <w:tc>
          <w:tcPr>
            <w:tcW w:w="419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6"/>
              <w:ind w:left="23" w:right="0"/>
              <w:jc w:val="center"/>
              <w:rPr>
                <w:rFonts w:ascii="宋体" w:hAnsi="宋体" w:cs="宋体" w:eastAsia="宋体" w:hint="default"/>
                <w:sz w:val="22"/>
                <w:szCs w:val="22"/>
              </w:rPr>
            </w:pPr>
            <w:r>
              <w:rPr>
                <w:rFonts w:ascii="宋体" w:hAnsi="宋体" w:cs="宋体" w:eastAsia="宋体" w:hint="default"/>
                <w:sz w:val="22"/>
                <w:szCs w:val="22"/>
              </w:rPr>
              <w:t>组合分类</w:t>
            </w:r>
          </w:p>
        </w:tc>
        <w:tc>
          <w:tcPr>
            <w:tcW w:w="454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6"/>
              <w:ind w:left="950" w:right="0"/>
              <w:jc w:val="left"/>
              <w:rPr>
                <w:rFonts w:ascii="宋体" w:hAnsi="宋体" w:cs="宋体" w:eastAsia="宋体" w:hint="default"/>
                <w:sz w:val="22"/>
                <w:szCs w:val="22"/>
              </w:rPr>
            </w:pPr>
            <w:r>
              <w:rPr>
                <w:rFonts w:ascii="宋体" w:hAnsi="宋体" w:cs="宋体" w:eastAsia="宋体" w:hint="default"/>
                <w:sz w:val="22"/>
                <w:szCs w:val="22"/>
              </w:rPr>
              <w:t>预期信用损失会计估计政策</w:t>
            </w:r>
          </w:p>
        </w:tc>
      </w:tr>
      <w:tr>
        <w:trPr>
          <w:trHeight w:val="490" w:hRule="exact"/>
        </w:trPr>
        <w:tc>
          <w:tcPr>
            <w:tcW w:w="4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24" w:right="0"/>
              <w:jc w:val="left"/>
              <w:rPr>
                <w:rFonts w:ascii="宋体" w:hAnsi="宋体" w:cs="宋体" w:eastAsia="宋体" w:hint="default"/>
                <w:sz w:val="22"/>
                <w:szCs w:val="22"/>
              </w:rPr>
            </w:pPr>
            <w:r>
              <w:rPr>
                <w:rFonts w:ascii="Arial" w:hAnsi="Arial" w:cs="Arial" w:eastAsia="Arial" w:hint="default"/>
                <w:sz w:val="22"/>
                <w:szCs w:val="22"/>
              </w:rPr>
              <w:t>1</w:t>
            </w:r>
            <w:r>
              <w:rPr>
                <w:rFonts w:ascii="宋体" w:hAnsi="宋体" w:cs="宋体" w:eastAsia="宋体" w:hint="default"/>
                <w:sz w:val="22"/>
                <w:szCs w:val="22"/>
              </w:rPr>
              <w:t>、账龄组合</w:t>
            </w:r>
          </w:p>
        </w:tc>
        <w:tc>
          <w:tcPr>
            <w:tcW w:w="45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left="105" w:right="0"/>
              <w:jc w:val="left"/>
              <w:rPr>
                <w:rFonts w:ascii="宋体" w:hAnsi="宋体" w:cs="宋体" w:eastAsia="宋体" w:hint="default"/>
                <w:sz w:val="22"/>
                <w:szCs w:val="22"/>
              </w:rPr>
            </w:pPr>
            <w:r>
              <w:rPr>
                <w:rFonts w:ascii="宋体" w:hAnsi="宋体" w:cs="宋体" w:eastAsia="宋体" w:hint="default"/>
                <w:sz w:val="22"/>
                <w:szCs w:val="22"/>
              </w:rPr>
              <w:t>按照预期损失率计提减值准备</w:t>
            </w:r>
          </w:p>
        </w:tc>
      </w:tr>
      <w:tr>
        <w:trPr>
          <w:trHeight w:val="499" w:hRule="exact"/>
        </w:trPr>
        <w:tc>
          <w:tcPr>
            <w:tcW w:w="419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3"/>
              <w:ind w:left="124" w:right="0"/>
              <w:jc w:val="left"/>
              <w:rPr>
                <w:rFonts w:ascii="宋体" w:hAnsi="宋体" w:cs="宋体" w:eastAsia="宋体" w:hint="default"/>
                <w:sz w:val="22"/>
                <w:szCs w:val="22"/>
              </w:rPr>
            </w:pPr>
            <w:r>
              <w:rPr>
                <w:rFonts w:ascii="Arial" w:hAnsi="Arial" w:cs="Arial" w:eastAsia="Arial" w:hint="default"/>
                <w:sz w:val="22"/>
                <w:szCs w:val="22"/>
              </w:rPr>
              <w:t>2</w:t>
            </w:r>
            <w:r>
              <w:rPr>
                <w:rFonts w:ascii="宋体" w:hAnsi="宋体" w:cs="宋体" w:eastAsia="宋体" w:hint="default"/>
                <w:sz w:val="22"/>
                <w:szCs w:val="22"/>
              </w:rPr>
              <w:t>、关联方组合</w:t>
            </w:r>
          </w:p>
        </w:tc>
        <w:tc>
          <w:tcPr>
            <w:tcW w:w="454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3"/>
              <w:ind w:left="105" w:right="0"/>
              <w:jc w:val="left"/>
              <w:rPr>
                <w:rFonts w:ascii="宋体" w:hAnsi="宋体" w:cs="宋体" w:eastAsia="宋体" w:hint="default"/>
                <w:sz w:val="22"/>
                <w:szCs w:val="22"/>
              </w:rPr>
            </w:pPr>
            <w:r>
              <w:rPr>
                <w:rFonts w:ascii="宋体" w:hAnsi="宋体" w:cs="宋体" w:eastAsia="宋体" w:hint="default"/>
                <w:sz w:val="22"/>
                <w:szCs w:val="22"/>
              </w:rPr>
              <w:t>管理层评价该类款项具有较低的信用风险</w:t>
            </w:r>
          </w:p>
        </w:tc>
      </w:tr>
    </w:tbl>
    <w:p>
      <w:pPr>
        <w:spacing w:line="240" w:lineRule="auto" w:before="5"/>
        <w:rPr>
          <w:rFonts w:ascii="宋体" w:hAnsi="宋体" w:cs="宋体" w:eastAsia="宋体" w:hint="default"/>
          <w:sz w:val="5"/>
          <w:szCs w:val="5"/>
        </w:rPr>
      </w:pPr>
    </w:p>
    <w:p>
      <w:pPr>
        <w:pStyle w:val="BodyText"/>
        <w:spacing w:line="333" w:lineRule="auto" w:before="32"/>
        <w:ind w:right="1133" w:firstLine="439"/>
        <w:jc w:val="both"/>
      </w:pPr>
      <w:r>
        <w:rPr>
          <w:spacing w:val="-2"/>
        </w:rPr>
        <w:t>本公司在资产负债表日计算其他应收款预期信用损失，如果该预期信用损失大于当前其他应收款</w:t>
      </w:r>
      <w:r>
        <w:rPr>
          <w:w w:val="100"/>
        </w:rPr>
        <w:t> </w:t>
      </w:r>
      <w:r>
        <w:rPr>
          <w:spacing w:val="-7"/>
          <w:w w:val="100"/>
        </w:rPr>
        <w:t>减值准备的账面金额，本公司将其差额确认为其他应收款减值损失，借记“信用减值损失”，贷记“坏</w:t>
      </w:r>
      <w:r>
        <w:rPr>
          <w:spacing w:val="-105"/>
          <w:w w:val="100"/>
        </w:rPr>
        <w:t> </w:t>
      </w:r>
      <w:r>
        <w:rPr>
          <w:spacing w:val="-105"/>
          <w:w w:val="100"/>
        </w:rPr>
      </w:r>
      <w:r>
        <w:rPr>
          <w:spacing w:val="-5"/>
          <w:w w:val="100"/>
        </w:rPr>
        <w:t>账准备”。相反，本公司将差额确认为减值利得，做相反的会计记录。</w:t>
      </w:r>
    </w:p>
    <w:p>
      <w:pPr>
        <w:pStyle w:val="BodyText"/>
        <w:spacing w:line="333" w:lineRule="auto" w:before="68"/>
        <w:ind w:right="1128" w:firstLine="439"/>
        <w:jc w:val="both"/>
      </w:pPr>
      <w:r>
        <w:rPr>
          <w:spacing w:val="-2"/>
        </w:rPr>
        <w:t>本公司实际发生信用损失，认定相关其他应收款无法收回，经批准予以核销的，根据批准的核销</w:t>
      </w:r>
      <w:r>
        <w:rPr>
          <w:w w:val="100"/>
        </w:rPr>
        <w:t> </w:t>
      </w:r>
      <w:r>
        <w:rPr>
          <w:spacing w:val="-12"/>
          <w:w w:val="100"/>
        </w:rPr>
        <w:t>金额，借记“坏账准备”，贷记“应收利息”、“应收股利”或“其他应收款”。若核销金额大于已计提</w:t>
      </w:r>
      <w:r>
        <w:rPr>
          <w:spacing w:val="-89"/>
          <w:w w:val="100"/>
        </w:rPr>
        <w:t> </w:t>
      </w:r>
      <w:r>
        <w:rPr>
          <w:spacing w:val="-89"/>
          <w:w w:val="100"/>
        </w:rPr>
      </w:r>
      <w:r>
        <w:rPr>
          <w:spacing w:val="-7"/>
          <w:w w:val="100"/>
        </w:rPr>
        <w:t>的损失准备，按期差额借记“信用减值损失”。</w:t>
      </w:r>
    </w:p>
    <w:p>
      <w:pPr>
        <w:pStyle w:val="BodyText"/>
        <w:tabs>
          <w:tab w:pos="1413" w:val="left" w:leader="none"/>
        </w:tabs>
        <w:spacing w:line="348" w:lineRule="auto" w:before="65"/>
        <w:ind w:left="592" w:right="1092" w:firstLine="2"/>
        <w:jc w:val="left"/>
      </w:pPr>
      <w:r>
        <w:rPr>
          <w:rFonts w:ascii="Arial" w:hAnsi="Arial" w:cs="Arial" w:eastAsia="Arial" w:hint="default"/>
          <w:b/>
          <w:bCs/>
          <w:spacing w:val="-1"/>
        </w:rPr>
        <w:t>14</w:t>
      </w:r>
      <w:r>
        <w:rPr>
          <w:rFonts w:ascii="宋体" w:hAnsi="宋体" w:cs="宋体" w:eastAsia="宋体" w:hint="default"/>
          <w:b/>
          <w:bCs/>
          <w:spacing w:val="-1"/>
        </w:rPr>
        <w:t>、</w:t>
        <w:tab/>
      </w:r>
      <w:r>
        <w:rPr>
          <w:rFonts w:ascii="宋体" w:hAnsi="宋体" w:cs="宋体" w:eastAsia="宋体" w:hint="default"/>
          <w:b/>
          <w:bCs/>
        </w:rPr>
        <w:t>存货</w:t>
      </w:r>
      <w:r>
        <w:rPr>
          <w:rFonts w:ascii="宋体" w:hAnsi="宋体" w:cs="宋体" w:eastAsia="宋体" w:hint="default"/>
          <w:b/>
          <w:bCs/>
          <w:w w:val="99"/>
        </w:rPr>
        <w:t> </w:t>
      </w:r>
      <w:r>
        <w:rPr>
          <w:spacing w:val="-1"/>
        </w:rPr>
        <w:t>本公司存货主要包括工程施工、原材料、包装物、低值易耗品、在产品、库存商品、发出商品、</w:t>
      </w:r>
    </w:p>
    <w:p>
      <w:pPr>
        <w:pStyle w:val="BodyText"/>
        <w:spacing w:line="240" w:lineRule="auto" w:before="11"/>
        <w:ind w:right="1133"/>
        <w:jc w:val="left"/>
      </w:pPr>
      <w:r>
        <w:rPr/>
        <w:t>劳务成本等。</w:t>
      </w:r>
    </w:p>
    <w:p>
      <w:pPr>
        <w:pStyle w:val="BodyText"/>
        <w:spacing w:line="331" w:lineRule="auto" w:before="153"/>
        <w:ind w:right="1130" w:firstLine="439"/>
        <w:jc w:val="both"/>
      </w:pPr>
      <w:r>
        <w:rPr>
          <w:spacing w:val="-2"/>
        </w:rPr>
        <w:t>存货实行永续盘存制，存货在取得时按实际成本计价；领用或发出存货，采用个别计价法确定其</w:t>
      </w:r>
      <w:r>
        <w:rPr>
          <w:w w:val="100"/>
        </w:rPr>
        <w:t> </w:t>
      </w:r>
      <w:r>
        <w:rPr/>
        <w:t>实际成本。低值易耗品和包装物采用一次转销法进行摊销。</w:t>
      </w:r>
    </w:p>
    <w:p>
      <w:pPr>
        <w:pStyle w:val="BodyText"/>
        <w:spacing w:line="333" w:lineRule="auto" w:before="70"/>
        <w:ind w:right="1130" w:firstLine="439"/>
        <w:jc w:val="both"/>
      </w:pPr>
      <w:r>
        <w:rPr>
          <w:spacing w:val="-2"/>
        </w:rPr>
        <w:t>库存商品、在产品和用于出售的材料等直接用于出售的商品存货，其可变现净值按该存货的估计</w:t>
      </w:r>
      <w:r>
        <w:rPr>
          <w:w w:val="100"/>
        </w:rPr>
        <w:t> </w:t>
      </w:r>
      <w:r>
        <w:rPr>
          <w:spacing w:val="-2"/>
        </w:rPr>
        <w:t>售价减去估计的销售费用和相关税费后的金额确定；用于生产而持有的材料存货，其可变现净值按所</w:t>
      </w:r>
      <w:r>
        <w:rPr>
          <w:spacing w:val="-69"/>
        </w:rPr>
        <w:t> </w:t>
      </w:r>
      <w:r>
        <w:rPr>
          <w:spacing w:val="-69"/>
        </w:rPr>
      </w:r>
      <w:r>
        <w:rPr>
          <w:spacing w:val="-2"/>
        </w:rPr>
        <w:t>生产的产成品的估计售价减去至完工时估计将要发生的成本、估计的销售费用和相关税费后的金额确</w:t>
      </w:r>
      <w:r>
        <w:rPr>
          <w:spacing w:val="-73"/>
        </w:rPr>
        <w:t> </w:t>
      </w:r>
      <w:r>
        <w:rPr>
          <w:spacing w:val="-73"/>
        </w:rPr>
      </w:r>
      <w:r>
        <w:rPr/>
        <w:t>定。</w:t>
      </w:r>
    </w:p>
    <w:p>
      <w:pPr>
        <w:pStyle w:val="BodyText"/>
        <w:tabs>
          <w:tab w:pos="1413" w:val="left" w:leader="none"/>
        </w:tabs>
        <w:spacing w:line="357" w:lineRule="auto" w:before="65"/>
        <w:ind w:left="592" w:right="1133" w:firstLine="2"/>
        <w:jc w:val="left"/>
      </w:pPr>
      <w:r>
        <w:rPr>
          <w:rFonts w:ascii="Arial" w:hAnsi="Arial" w:cs="Arial" w:eastAsia="Arial" w:hint="default"/>
          <w:b/>
          <w:bCs/>
          <w:spacing w:val="-1"/>
        </w:rPr>
        <w:t>15</w:t>
      </w:r>
      <w:r>
        <w:rPr>
          <w:rFonts w:ascii="宋体" w:hAnsi="宋体" w:cs="宋体" w:eastAsia="宋体" w:hint="default"/>
          <w:b/>
          <w:bCs/>
          <w:spacing w:val="-1"/>
        </w:rPr>
        <w:t>、</w:t>
        <w:tab/>
      </w:r>
      <w:r>
        <w:rPr>
          <w:rFonts w:ascii="宋体" w:hAnsi="宋体" w:cs="宋体" w:eastAsia="宋体" w:hint="default"/>
          <w:b/>
          <w:bCs/>
        </w:rPr>
        <w:t>长期股权投资</w:t>
      </w:r>
      <w:r>
        <w:rPr>
          <w:rFonts w:ascii="宋体" w:hAnsi="宋体" w:cs="宋体" w:eastAsia="宋体" w:hint="default"/>
          <w:b/>
          <w:bCs/>
          <w:w w:val="99"/>
        </w:rPr>
        <w:t> </w:t>
      </w:r>
      <w:r>
        <w:rPr/>
        <w:t>本公司长期股权投资主要是对子公司的投资、对联营企业的投资和对合营企业的投资。</w:t>
      </w:r>
      <w:r>
        <w:rPr>
          <w:w w:val="100"/>
        </w:rPr>
        <w:t> </w:t>
      </w:r>
      <w:r>
        <w:rPr>
          <w:spacing w:val="-2"/>
        </w:rPr>
        <w:t>本公司对共同控制的判断依据是所有参与方或参与方组合集体控制该安排，并且该安排相关活动</w:t>
      </w:r>
    </w:p>
    <w:p>
      <w:pPr>
        <w:pStyle w:val="BodyText"/>
        <w:spacing w:line="367" w:lineRule="auto" w:before="2"/>
        <w:ind w:left="592" w:right="1122" w:hanging="440"/>
        <w:jc w:val="left"/>
      </w:pPr>
      <w:r>
        <w:rPr/>
        <w:t>的政策必须经过这些集体控制该安排的参与方一致同意。</w:t>
      </w:r>
      <w:r>
        <w:rPr>
          <w:w w:val="100"/>
        </w:rPr>
        <w:t> </w:t>
      </w:r>
      <w:r>
        <w:rPr/>
        <w:t>本公司直接或通过子公司间接拥有被投资单位</w:t>
      </w:r>
      <w:r>
        <w:rPr>
          <w:spacing w:val="-48"/>
        </w:rPr>
        <w:t> </w:t>
      </w:r>
      <w:r>
        <w:rPr>
          <w:rFonts w:ascii="Arial" w:hAnsi="Arial" w:cs="Arial" w:eastAsia="Arial" w:hint="default"/>
        </w:rPr>
        <w:t>20</w:t>
      </w:r>
      <w:r>
        <w:rPr/>
        <w:t>％（含）以上但低于</w:t>
      </w:r>
      <w:r>
        <w:rPr>
          <w:spacing w:val="-49"/>
        </w:rPr>
        <w:t> </w:t>
      </w:r>
      <w:r>
        <w:rPr>
          <w:rFonts w:ascii="Arial" w:hAnsi="Arial" w:cs="Arial" w:eastAsia="Arial" w:hint="default"/>
        </w:rPr>
        <w:t>50</w:t>
      </w:r>
      <w:r>
        <w:rPr/>
        <w:t>％的表决权时，通常认</w:t>
      </w:r>
    </w:p>
    <w:p>
      <w:pPr>
        <w:pStyle w:val="BodyText"/>
        <w:spacing w:line="269" w:lineRule="exact"/>
        <w:ind w:right="0"/>
        <w:jc w:val="both"/>
      </w:pPr>
      <w:r>
        <w:rPr>
          <w:spacing w:val="-4"/>
        </w:rPr>
        <w:t>为对被投资单位具有重大影响。持有被投资单位</w:t>
      </w:r>
      <w:r>
        <w:rPr>
          <w:spacing w:val="19"/>
        </w:rPr>
        <w:t> </w:t>
      </w:r>
      <w:r>
        <w:rPr>
          <w:rFonts w:ascii="Arial" w:hAnsi="Arial" w:cs="Arial" w:eastAsia="Arial" w:hint="default"/>
          <w:spacing w:val="-4"/>
        </w:rPr>
        <w:t>20%</w:t>
      </w:r>
      <w:r>
        <w:rPr>
          <w:spacing w:val="-4"/>
        </w:rPr>
        <w:t>以下表决权的，还需要综合考虑在被投资单位的</w:t>
      </w:r>
    </w:p>
    <w:p>
      <w:pPr>
        <w:pStyle w:val="BodyText"/>
        <w:spacing w:line="333" w:lineRule="auto" w:before="97"/>
        <w:ind w:right="1131"/>
        <w:jc w:val="both"/>
      </w:pPr>
      <w:r>
        <w:rPr>
          <w:spacing w:val="-2"/>
        </w:rPr>
        <w:t>董事会或类似权力机构中派有代表、或参与被投资单位财务和经营政策制定过程、或与被投资单位之</w:t>
      </w:r>
      <w:r>
        <w:rPr>
          <w:spacing w:val="-70"/>
        </w:rPr>
        <w:t> </w:t>
      </w:r>
      <w:r>
        <w:rPr>
          <w:spacing w:val="-70"/>
        </w:rPr>
      </w:r>
      <w:r>
        <w:rPr>
          <w:spacing w:val="-2"/>
        </w:rPr>
        <w:t>间发生重要交易、或向被投资单位派出管理人员、或向被投资单位提供关键技术资料等事实和情况判</w:t>
      </w:r>
      <w:r>
        <w:rPr>
          <w:spacing w:val="-70"/>
        </w:rPr>
        <w:t> </w:t>
      </w:r>
      <w:r>
        <w:rPr>
          <w:spacing w:val="-70"/>
        </w:rPr>
      </w:r>
      <w:r>
        <w:rPr/>
        <w:t>断对被投资单位具有重大影响。</w:t>
      </w:r>
    </w:p>
    <w:p>
      <w:pPr>
        <w:pStyle w:val="BodyText"/>
        <w:spacing w:line="333" w:lineRule="auto" w:before="68"/>
        <w:ind w:right="0" w:firstLine="439"/>
        <w:jc w:val="left"/>
      </w:pPr>
      <w:r>
        <w:rPr>
          <w:spacing w:val="-5"/>
        </w:rPr>
        <w:t>对被投资单位形成控制的，为本公司的子公司。通过同一控制下的企业合并取得的长期股权投资，</w:t>
      </w:r>
      <w:r>
        <w:rPr>
          <w:w w:val="100"/>
        </w:rPr>
        <w:t> </w:t>
      </w:r>
      <w:r>
        <w:rPr>
          <w:spacing w:val="2"/>
        </w:rPr>
        <w:t>在合并日按照取得被合并方在最终控制方合并报表中净资产的账面价值的份额作为长期股权投资的</w:t>
      </w:r>
      <w:r>
        <w:rPr>
          <w:spacing w:val="-43"/>
        </w:rPr>
        <w:t> </w:t>
      </w:r>
      <w:r>
        <w:rPr>
          <w:spacing w:val="-43"/>
        </w:rPr>
      </w:r>
      <w:r>
        <w:rPr/>
        <w:t>初始投资成本。被合并方在合并日的净资产账面价值为负数的，长期股权投资成本按零确定。</w:t>
      </w:r>
    </w:p>
    <w:p>
      <w:pPr>
        <w:pStyle w:val="BodyText"/>
        <w:spacing w:line="333" w:lineRule="auto" w:before="65"/>
        <w:ind w:right="1133" w:firstLine="439"/>
        <w:jc w:val="left"/>
      </w:pPr>
      <w:r>
        <w:rPr>
          <w:spacing w:val="-2"/>
        </w:rPr>
        <w:t>通过多次交易分步取得同一控制下被投资单位的股权，最终形成企业合并的，应在取得控制权的</w:t>
      </w:r>
      <w:r>
        <w:rPr>
          <w:w w:val="100"/>
        </w:rPr>
        <w:t> </w:t>
      </w:r>
      <w:r>
        <w:rPr>
          <w:spacing w:val="-2"/>
        </w:rPr>
        <w:t>报告期，补充披露在母公司财务报表中的长期股权投资的处理方法。例如：通过多次交易分步取得同</w:t>
      </w:r>
    </w:p>
    <w:p>
      <w:pPr>
        <w:spacing w:after="0" w:line="333"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333" w:lineRule="auto" w:before="173"/>
        <w:ind w:right="1131"/>
        <w:jc w:val="both"/>
      </w:pPr>
      <w:r>
        <w:rPr>
          <w:spacing w:val="-2"/>
        </w:rPr>
        <w:t>一控制下被投资单位的股权，最终形成企业合并，属于一揽子交易的，本公司将各项交易作为一项取</w:t>
      </w:r>
      <w:r>
        <w:rPr>
          <w:spacing w:val="-70"/>
        </w:rPr>
        <w:t> </w:t>
      </w:r>
      <w:r>
        <w:rPr>
          <w:spacing w:val="-70"/>
        </w:rPr>
      </w:r>
      <w:r>
        <w:rPr>
          <w:spacing w:val="-2"/>
        </w:rPr>
        <w:t>得控制权的交易进行会计处理。不属于一览交易的，在合并日，根据合并后享有被合并方净资产在最</w:t>
      </w:r>
      <w:r>
        <w:rPr>
          <w:spacing w:val="-71"/>
        </w:rPr>
        <w:t> </w:t>
      </w:r>
      <w:r>
        <w:rPr>
          <w:spacing w:val="-71"/>
        </w:rPr>
      </w:r>
      <w:r>
        <w:rPr>
          <w:spacing w:val="-2"/>
        </w:rPr>
        <w:t>终控制方合并财务报表中的账面价值的份额作为长期股权投资的的初始投资成本。初始投资成本与达</w:t>
      </w:r>
      <w:r>
        <w:rPr>
          <w:spacing w:val="-73"/>
        </w:rPr>
        <w:t> </w:t>
      </w:r>
      <w:r>
        <w:rPr>
          <w:spacing w:val="-73"/>
        </w:rPr>
      </w:r>
      <w:r>
        <w:rPr>
          <w:spacing w:val="-2"/>
        </w:rPr>
        <w:t>到合并前的长期股权投资账面价值加上合并日进一步取得股份新支付对价的账面价值之和的差额，调</w:t>
      </w:r>
      <w:r>
        <w:rPr>
          <w:spacing w:val="-71"/>
        </w:rPr>
        <w:t> </w:t>
      </w:r>
      <w:r>
        <w:rPr>
          <w:spacing w:val="-71"/>
        </w:rPr>
      </w:r>
      <w:r>
        <w:rPr/>
        <w:t>整资本公积，资本公积不足冲减的，冲减留存收益。</w:t>
      </w:r>
    </w:p>
    <w:p>
      <w:pPr>
        <w:pStyle w:val="BodyText"/>
        <w:spacing w:line="367" w:lineRule="auto" w:before="65"/>
        <w:ind w:left="592" w:right="1133"/>
        <w:jc w:val="left"/>
      </w:pPr>
      <w:r>
        <w:rPr/>
        <w:t>通过非同一控制下的企业合并取得的长期股权投资，以合并成本作为初始投资成本。</w:t>
      </w:r>
      <w:r>
        <w:rPr>
          <w:w w:val="100"/>
        </w:rPr>
        <w:t> </w:t>
      </w:r>
      <w:r>
        <w:rPr>
          <w:spacing w:val="-2"/>
        </w:rPr>
        <w:t>通过多次交易分步取得非同一控制下被投资单位的股权，最终形成企业合并的，应在取得控制权</w:t>
      </w:r>
    </w:p>
    <w:p>
      <w:pPr>
        <w:pStyle w:val="BodyText"/>
        <w:spacing w:line="333" w:lineRule="auto"/>
        <w:ind w:right="1128"/>
        <w:jc w:val="both"/>
      </w:pPr>
      <w:r>
        <w:rPr>
          <w:spacing w:val="-2"/>
        </w:rPr>
        <w:t>的报告期，补充披露在母公司财务报表中的长期股权投资成本处理方法。例如：通过多次交易分步取</w:t>
      </w:r>
      <w:r>
        <w:rPr>
          <w:spacing w:val="-67"/>
        </w:rPr>
        <w:t> </w:t>
      </w:r>
      <w:r>
        <w:rPr>
          <w:spacing w:val="-67"/>
        </w:rPr>
      </w:r>
      <w:r>
        <w:rPr>
          <w:spacing w:val="-2"/>
        </w:rPr>
        <w:t>得非同一控制下被投资单位的股权，最终形成企业合并，属于一揽子交易的，本公司将各项交易作为</w:t>
      </w:r>
      <w:r>
        <w:rPr>
          <w:spacing w:val="-67"/>
        </w:rPr>
        <w:t> </w:t>
      </w:r>
      <w:r>
        <w:rPr>
          <w:spacing w:val="-67"/>
        </w:rPr>
      </w:r>
      <w:r>
        <w:rPr>
          <w:spacing w:val="-2"/>
        </w:rPr>
        <w:t>一项取得控制权的交易进行会计处理。不属于一览交易的，按照原持有的股权投资账面价值加上新增</w:t>
      </w:r>
      <w:r>
        <w:rPr>
          <w:spacing w:val="-70"/>
        </w:rPr>
        <w:t> </w:t>
      </w:r>
      <w:r>
        <w:rPr>
          <w:spacing w:val="-70"/>
        </w:rPr>
      </w:r>
      <w:r>
        <w:rPr>
          <w:spacing w:val="-2"/>
        </w:rPr>
        <w:t>投资成本之和，作为改按成本法核算的初始投资成本。购买日之前持有的股权采用权益法核算的，原</w:t>
      </w:r>
      <w:r>
        <w:rPr>
          <w:spacing w:val="-67"/>
        </w:rPr>
        <w:t> </w:t>
      </w:r>
      <w:r>
        <w:rPr>
          <w:spacing w:val="-67"/>
        </w:rPr>
      </w:r>
      <w:r>
        <w:rPr>
          <w:spacing w:val="-2"/>
        </w:rPr>
        <w:t>权益法核算的相关其他综合收益暂不做调整，在处置该项投资时采用与被投资单位直接处置相关资产</w:t>
      </w:r>
      <w:r>
        <w:rPr>
          <w:spacing w:val="-73"/>
        </w:rPr>
        <w:t> </w:t>
      </w:r>
      <w:r>
        <w:rPr>
          <w:spacing w:val="-73"/>
        </w:rPr>
      </w:r>
      <w:r>
        <w:rPr>
          <w:spacing w:val="2"/>
        </w:rPr>
        <w:t>或负债相同的基础进行会计处理。购买日之前持有的股权在可供出售金融资产中采用公允价值核算</w:t>
      </w:r>
      <w:r>
        <w:rPr>
          <w:spacing w:val="-43"/>
        </w:rPr>
        <w:t> </w:t>
      </w:r>
      <w:r>
        <w:rPr>
          <w:spacing w:val="-43"/>
        </w:rPr>
      </w:r>
      <w:r>
        <w:rPr/>
        <w:t>的，原计入其他综合收益的累计公允价值变动在合并日转入当期投资损益。</w:t>
      </w:r>
    </w:p>
    <w:p>
      <w:pPr>
        <w:pStyle w:val="BodyText"/>
        <w:spacing w:line="333" w:lineRule="auto" w:before="65"/>
        <w:ind w:right="1127" w:firstLine="439"/>
        <w:jc w:val="both"/>
      </w:pPr>
      <w:r>
        <w:rPr>
          <w:spacing w:val="-2"/>
        </w:rPr>
        <w:t>除上述通过企业合并取得的长期股权投资外，以支付现金取得的长期股权投资，按照实际支付的</w:t>
      </w:r>
      <w:r>
        <w:rPr>
          <w:w w:val="100"/>
        </w:rPr>
        <w:t> </w:t>
      </w:r>
      <w:r>
        <w:rPr>
          <w:spacing w:val="-2"/>
        </w:rPr>
        <w:t>购买价款作为投资成本；以发行权益性证券取得的长期股权投资，按照发行权益性证券的公允价值作</w:t>
      </w:r>
      <w:r>
        <w:rPr>
          <w:spacing w:val="-70"/>
        </w:rPr>
        <w:t> </w:t>
      </w:r>
      <w:r>
        <w:rPr>
          <w:spacing w:val="-70"/>
        </w:rPr>
      </w:r>
      <w:r>
        <w:rPr>
          <w:spacing w:val="-2"/>
        </w:rPr>
        <w:t>为投资成本；投资者投入的长期股权投资，按照投资合同或协议约定的价值作为投资成本；公司如有</w:t>
      </w:r>
      <w:r>
        <w:rPr>
          <w:spacing w:val="-66"/>
        </w:rPr>
        <w:t> </w:t>
      </w:r>
      <w:r>
        <w:rPr>
          <w:spacing w:val="-66"/>
        </w:rPr>
      </w:r>
      <w:r>
        <w:rPr>
          <w:spacing w:val="-2"/>
        </w:rPr>
        <w:t>以债务重组、非货币性资产交换等方式取得的长期股权投资，应根据相关企业会计准则的规定并结合</w:t>
      </w:r>
      <w:r>
        <w:rPr>
          <w:spacing w:val="-70"/>
        </w:rPr>
        <w:t> </w:t>
      </w:r>
      <w:r>
        <w:rPr>
          <w:spacing w:val="-70"/>
        </w:rPr>
      </w:r>
      <w:r>
        <w:rPr/>
        <w:t>公司的实际情况披露确定投资成本的方法。</w:t>
      </w:r>
    </w:p>
    <w:p>
      <w:pPr>
        <w:pStyle w:val="BodyText"/>
        <w:spacing w:line="333" w:lineRule="auto" w:before="65"/>
        <w:ind w:left="592" w:right="1133"/>
        <w:jc w:val="left"/>
      </w:pPr>
      <w:r>
        <w:rPr/>
        <w:t>本公司对子公司投资采用成本法核算，对合营企业及联营企业投资采用权益法核算。</w:t>
      </w:r>
      <w:r>
        <w:rPr>
          <w:w w:val="100"/>
        </w:rPr>
        <w:t> </w:t>
      </w:r>
      <w:r>
        <w:rPr>
          <w:spacing w:val="-2"/>
        </w:rPr>
        <w:t>后续计量采用成本法核算的长期股权投资，在追加投资时，按照追加投资支付的成本额公允价值</w:t>
      </w:r>
    </w:p>
    <w:p>
      <w:pPr>
        <w:pStyle w:val="BodyText"/>
        <w:spacing w:line="331" w:lineRule="auto" w:before="27"/>
        <w:ind w:right="1090"/>
        <w:jc w:val="both"/>
      </w:pPr>
      <w:r>
        <w:rPr>
          <w:spacing w:val="-1"/>
        </w:rPr>
        <w:t>及发生的相关交易费用增加长期股权投资成本的账面价值。被投资单位宣告分派的现金股利或利润，</w:t>
      </w:r>
      <w:r>
        <w:rPr>
          <w:spacing w:val="-73"/>
        </w:rPr>
        <w:t> </w:t>
      </w:r>
      <w:r>
        <w:rPr>
          <w:spacing w:val="-73"/>
        </w:rPr>
      </w:r>
      <w:r>
        <w:rPr/>
        <w:t>按照应享有的金额确认为当期投资收益。</w:t>
      </w:r>
    </w:p>
    <w:p>
      <w:pPr>
        <w:pStyle w:val="BodyText"/>
        <w:spacing w:line="333" w:lineRule="auto" w:before="29"/>
        <w:ind w:right="1131" w:firstLine="439"/>
        <w:jc w:val="both"/>
      </w:pPr>
      <w:r>
        <w:rPr>
          <w:spacing w:val="-2"/>
        </w:rPr>
        <w:t>后续计量采用权益法核算的长期股权投资，随着被他投资单位所有者权益的变动相应调整增加或</w:t>
      </w:r>
      <w:r>
        <w:rPr>
          <w:w w:val="100"/>
        </w:rPr>
        <w:t> </w:t>
      </w:r>
      <w:r>
        <w:rPr>
          <w:spacing w:val="-2"/>
        </w:rPr>
        <w:t>减少长期股权投资的账面价值。其中在确认应享有被投资单位净损益的份额时，以取得投资时被投资</w:t>
      </w:r>
      <w:r>
        <w:rPr>
          <w:spacing w:val="-70"/>
        </w:rPr>
        <w:t> </w:t>
      </w:r>
      <w:r>
        <w:rPr>
          <w:spacing w:val="-70"/>
        </w:rPr>
      </w:r>
      <w:r>
        <w:rPr>
          <w:spacing w:val="-2"/>
        </w:rPr>
        <w:t>单位各项可辨认资产等的公允价值为基础，按照本公司的会计政策及会计期间，并抵销与联营企业及</w:t>
      </w:r>
      <w:r>
        <w:rPr>
          <w:spacing w:val="-70"/>
        </w:rPr>
        <w:t> </w:t>
      </w:r>
      <w:r>
        <w:rPr>
          <w:spacing w:val="-70"/>
        </w:rPr>
      </w:r>
      <w:r>
        <w:rPr>
          <w:spacing w:val="-2"/>
        </w:rPr>
        <w:t>合营企业之间发生的内部交易损益按照持股比例计算归属于投资企业的部分，对被投资单位的净利润</w:t>
      </w:r>
      <w:r>
        <w:rPr>
          <w:spacing w:val="-73"/>
        </w:rPr>
        <w:t> </w:t>
      </w:r>
      <w:r>
        <w:rPr>
          <w:spacing w:val="-73"/>
        </w:rPr>
      </w:r>
      <w:r>
        <w:rPr/>
        <w:t>进行调整后确认。</w:t>
      </w:r>
    </w:p>
    <w:p>
      <w:pPr>
        <w:pStyle w:val="BodyText"/>
        <w:spacing w:line="333" w:lineRule="auto" w:before="24"/>
        <w:ind w:right="1130" w:firstLine="439"/>
        <w:jc w:val="both"/>
      </w:pPr>
      <w:r>
        <w:rPr>
          <w:spacing w:val="-2"/>
        </w:rPr>
        <w:t>处置长期股权投资，其账面价值与实际取得价款的差额，计入当期投资收益。采用权益法核算的</w:t>
      </w:r>
      <w:r>
        <w:rPr>
          <w:w w:val="100"/>
        </w:rPr>
        <w:t> </w:t>
      </w:r>
      <w:r>
        <w:rPr>
          <w:spacing w:val="-2"/>
        </w:rPr>
        <w:t>长期股权投资，因被投资单位除净损益以外所有者权益的其他变动而计入所有者权益的，处置该项投</w:t>
      </w:r>
      <w:r>
        <w:rPr>
          <w:spacing w:val="-70"/>
        </w:rPr>
        <w:t> </w:t>
      </w:r>
      <w:r>
        <w:rPr>
          <w:spacing w:val="-70"/>
        </w:rPr>
      </w:r>
      <w:r>
        <w:rPr/>
        <w:t>资时将原计入所有者权益的部分按相应比例转入当期投资损益。</w:t>
      </w:r>
    </w:p>
    <w:p>
      <w:pPr>
        <w:pStyle w:val="BodyText"/>
        <w:spacing w:line="333" w:lineRule="auto" w:before="24"/>
        <w:ind w:right="1133" w:firstLine="439"/>
        <w:jc w:val="both"/>
      </w:pPr>
      <w:r>
        <w:rPr>
          <w:spacing w:val="-2"/>
        </w:rPr>
        <w:t>因处置部分股权投资等原因丧失了对被投资单位的共同控制或重大影响的，处置后的剩余股权改</w:t>
      </w:r>
      <w:r>
        <w:rPr>
          <w:w w:val="100"/>
        </w:rPr>
        <w:t> </w:t>
      </w:r>
      <w:r>
        <w:rPr>
          <w:spacing w:val="-2"/>
        </w:rPr>
        <w:t>按可供出售金融资产核算，剩余股权在丧失共同控制或重大影响之日的公允价值与账面价值之间的差</w:t>
      </w:r>
    </w:p>
    <w:p>
      <w:pPr>
        <w:spacing w:after="0" w:line="333"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333" w:lineRule="auto" w:before="173"/>
        <w:ind w:right="1133"/>
        <w:jc w:val="left"/>
      </w:pPr>
      <w:r>
        <w:rPr>
          <w:spacing w:val="-2"/>
        </w:rPr>
        <w:t>额计入当期损益。原股权投资因采用权益法核算而确认的其他综合收益，在终止采用权益法核算时采</w:t>
      </w:r>
      <w:r>
        <w:rPr>
          <w:spacing w:val="-70"/>
        </w:rPr>
        <w:t> </w:t>
      </w:r>
      <w:r>
        <w:rPr>
          <w:spacing w:val="-70"/>
        </w:rPr>
      </w:r>
      <w:r>
        <w:rPr/>
        <w:t>用与被投资单位直接处置相关资产或负债相同的基础进行会计处理。</w:t>
      </w:r>
    </w:p>
    <w:p>
      <w:pPr>
        <w:pStyle w:val="BodyText"/>
        <w:spacing w:line="333" w:lineRule="auto" w:before="24"/>
        <w:ind w:right="1088" w:firstLine="439"/>
        <w:jc w:val="both"/>
      </w:pPr>
      <w:r>
        <w:rPr>
          <w:spacing w:val="-2"/>
        </w:rPr>
        <w:t>因处置部分长期股权投资丧失了对被投资单位控制的，处置后的剩余股权能够对被投资单位实施</w:t>
      </w:r>
      <w:r>
        <w:rPr>
          <w:w w:val="100"/>
        </w:rPr>
        <w:t> </w:t>
      </w:r>
      <w:r>
        <w:rPr>
          <w:spacing w:val="-1"/>
        </w:rPr>
        <w:t>共同控制或施加重大影响的，改按权益法核算，处置股权账面价值和处置对价的差额计入投资收益，</w:t>
      </w:r>
      <w:r>
        <w:rPr>
          <w:spacing w:val="-71"/>
        </w:rPr>
        <w:t> </w:t>
      </w:r>
      <w:r>
        <w:rPr>
          <w:spacing w:val="-71"/>
        </w:rPr>
      </w:r>
      <w:r>
        <w:rPr>
          <w:spacing w:val="-2"/>
        </w:rPr>
        <w:t>并对该剩余股权视同自取得时即采用权益法核算进行调整；处置后的剩余股权不能对被投资单位实施</w:t>
      </w:r>
      <w:r>
        <w:rPr>
          <w:spacing w:val="-73"/>
        </w:rPr>
        <w:t> </w:t>
      </w:r>
      <w:r>
        <w:rPr>
          <w:spacing w:val="-73"/>
        </w:rPr>
      </w:r>
      <w:r>
        <w:rPr>
          <w:spacing w:val="-2"/>
        </w:rPr>
        <w:t>共同控制或施加重大影响的，改按可供出售金融资产的有关规定进行会计处理，处置股权账面价值和</w:t>
      </w:r>
      <w:r>
        <w:rPr>
          <w:spacing w:val="-70"/>
        </w:rPr>
        <w:t> </w:t>
      </w:r>
      <w:r>
        <w:rPr>
          <w:spacing w:val="-70"/>
        </w:rPr>
      </w:r>
      <w:r>
        <w:rPr>
          <w:spacing w:val="-2"/>
        </w:rPr>
        <w:t>处置对价的差额计入投资收益，剩余股权在丧失控制之日的公允价值与账面价值间的差额计入当期投</w:t>
      </w:r>
      <w:r>
        <w:rPr>
          <w:spacing w:val="-73"/>
        </w:rPr>
        <w:t> </w:t>
      </w:r>
      <w:r>
        <w:rPr>
          <w:spacing w:val="-73"/>
        </w:rPr>
      </w:r>
      <w:r>
        <w:rPr/>
        <w:t>资损益。</w:t>
      </w:r>
    </w:p>
    <w:p>
      <w:pPr>
        <w:pStyle w:val="BodyText"/>
        <w:spacing w:line="328" w:lineRule="auto" w:before="25"/>
        <w:ind w:right="0" w:firstLine="439"/>
        <w:jc w:val="left"/>
      </w:pPr>
      <w:r>
        <w:rPr/>
        <w:t>本公司对于分步处置股权至丧失控股权的各项交易不属于一揽子交易的，对每一项交易分别进行</w:t>
      </w:r>
      <w:r>
        <w:rPr>
          <w:w w:val="100"/>
        </w:rPr>
        <w:t> </w:t>
      </w:r>
      <w:r>
        <w:rPr>
          <w:spacing w:val="-3"/>
        </w:rPr>
        <w:t>会计处理。属于</w:t>
      </w:r>
      <w:r>
        <w:rPr>
          <w:rFonts w:ascii="Arial" w:hAnsi="Arial" w:cs="Arial" w:eastAsia="Arial" w:hint="default"/>
          <w:spacing w:val="-3"/>
        </w:rPr>
        <w:t>“</w:t>
      </w:r>
      <w:r>
        <w:rPr>
          <w:spacing w:val="-3"/>
        </w:rPr>
        <w:t>一揽子交易</w:t>
      </w:r>
      <w:r>
        <w:rPr>
          <w:rFonts w:ascii="Arial" w:hAnsi="Arial" w:cs="Arial" w:eastAsia="Arial" w:hint="default"/>
          <w:spacing w:val="-3"/>
        </w:rPr>
        <w:t>”</w:t>
      </w:r>
      <w:r>
        <w:rPr>
          <w:spacing w:val="-3"/>
        </w:rPr>
        <w:t>的，将各项交易作为一项处置子公司并丧失控制权的交易进行会计处理，</w:t>
      </w:r>
      <w:r>
        <w:rPr>
          <w:spacing w:val="-57"/>
        </w:rPr>
        <w:t> </w:t>
      </w:r>
      <w:r>
        <w:rPr>
          <w:spacing w:val="-57"/>
        </w:rPr>
      </w:r>
      <w:r>
        <w:rPr/>
        <w:t>但是，在丧失控制权之前每一次交易处置价款与所处置的股权对应的长期股权投资账面价值之间的差</w:t>
      </w:r>
      <w:r>
        <w:rPr>
          <w:w w:val="100"/>
        </w:rPr>
        <w:t> </w:t>
      </w:r>
      <w:r>
        <w:rPr/>
        <w:t>额，确认为其他综合收益，到丧失控制权时再一并转入丧失控制权的当期损益。</w:t>
      </w:r>
    </w:p>
    <w:p>
      <w:pPr>
        <w:tabs>
          <w:tab w:pos="1413" w:val="left" w:leader="none"/>
        </w:tabs>
        <w:spacing w:line="348" w:lineRule="auto" w:before="31"/>
        <w:ind w:left="592" w:right="4171" w:firstLine="2"/>
        <w:jc w:val="left"/>
        <w:rPr>
          <w:rFonts w:ascii="宋体" w:hAnsi="宋体" w:cs="宋体" w:eastAsia="宋体" w:hint="default"/>
          <w:sz w:val="22"/>
          <w:szCs w:val="22"/>
        </w:rPr>
      </w:pPr>
      <w:r>
        <w:rPr>
          <w:rFonts w:ascii="Arial" w:hAnsi="Arial" w:cs="Arial" w:eastAsia="Arial" w:hint="default"/>
          <w:b/>
          <w:bCs/>
          <w:spacing w:val="-1"/>
          <w:sz w:val="22"/>
          <w:szCs w:val="22"/>
        </w:rPr>
        <w:t>16</w:t>
      </w:r>
      <w:r>
        <w:rPr>
          <w:rFonts w:ascii="宋体" w:hAnsi="宋体" w:cs="宋体" w:eastAsia="宋体" w:hint="default"/>
          <w:b/>
          <w:bCs/>
          <w:spacing w:val="-1"/>
          <w:sz w:val="22"/>
          <w:szCs w:val="22"/>
        </w:rPr>
        <w:t>、</w:t>
        <w:tab/>
      </w:r>
      <w:r>
        <w:rPr>
          <w:rFonts w:ascii="宋体" w:hAnsi="宋体" w:cs="宋体" w:eastAsia="宋体" w:hint="default"/>
          <w:b/>
          <w:bCs/>
          <w:sz w:val="22"/>
          <w:szCs w:val="22"/>
        </w:rPr>
        <w:t>投资性房地产</w:t>
      </w:r>
      <w:r>
        <w:rPr>
          <w:rFonts w:ascii="宋体" w:hAnsi="宋体" w:cs="宋体" w:eastAsia="宋体" w:hint="default"/>
          <w:b/>
          <w:bCs/>
          <w:w w:val="99"/>
          <w:sz w:val="22"/>
          <w:szCs w:val="22"/>
        </w:rPr>
        <w:t> </w:t>
      </w:r>
      <w:r>
        <w:rPr>
          <w:rFonts w:ascii="宋体" w:hAnsi="宋体" w:cs="宋体" w:eastAsia="宋体" w:hint="default"/>
          <w:spacing w:val="-1"/>
          <w:sz w:val="22"/>
          <w:szCs w:val="22"/>
        </w:rPr>
        <w:t>本公司投资性房地产包括已出租的建筑物。采用成本模式计量。</w:t>
      </w:r>
    </w:p>
    <w:p>
      <w:pPr>
        <w:pStyle w:val="BodyText"/>
        <w:spacing w:line="331" w:lineRule="auto" w:before="52"/>
        <w:ind w:right="1133" w:firstLine="439"/>
        <w:jc w:val="left"/>
      </w:pPr>
      <w:r>
        <w:rPr>
          <w:spacing w:val="-2"/>
        </w:rPr>
        <w:t>本公司投资性房地产采用平均年限法计提折旧或摊销。各类投资性房地产的预计使用寿命、净残</w:t>
      </w:r>
      <w:r>
        <w:rPr>
          <w:w w:val="100"/>
        </w:rPr>
        <w:t> </w:t>
      </w:r>
      <w:r>
        <w:rPr/>
        <w:t>值率及年折旧</w:t>
      </w:r>
      <w:r>
        <w:rPr>
          <w:rFonts w:ascii="Arial" w:hAnsi="Arial" w:cs="Arial" w:eastAsia="Arial" w:hint="default"/>
        </w:rPr>
        <w:t>(</w:t>
      </w:r>
      <w:r>
        <w:rPr/>
        <w:t>摊销</w:t>
      </w:r>
      <w:r>
        <w:rPr>
          <w:rFonts w:ascii="Arial" w:hAnsi="Arial" w:cs="Arial" w:eastAsia="Arial" w:hint="default"/>
        </w:rPr>
        <w:t>)</w:t>
      </w:r>
      <w:r>
        <w:rPr/>
        <w:t>率与固定资产、无形资产相同。</w:t>
      </w:r>
    </w:p>
    <w:p>
      <w:pPr>
        <w:pStyle w:val="BodyText"/>
        <w:tabs>
          <w:tab w:pos="1413" w:val="left" w:leader="none"/>
        </w:tabs>
        <w:spacing w:line="348" w:lineRule="auto" w:before="45"/>
        <w:ind w:left="592" w:right="1092" w:firstLine="2"/>
        <w:jc w:val="left"/>
      </w:pPr>
      <w:r>
        <w:rPr>
          <w:rFonts w:ascii="Arial" w:hAnsi="Arial" w:cs="Arial" w:eastAsia="Arial" w:hint="default"/>
          <w:b/>
          <w:bCs/>
          <w:spacing w:val="-1"/>
        </w:rPr>
        <w:t>17</w:t>
      </w:r>
      <w:r>
        <w:rPr>
          <w:rFonts w:ascii="宋体" w:hAnsi="宋体" w:cs="宋体" w:eastAsia="宋体" w:hint="default"/>
          <w:b/>
          <w:bCs/>
          <w:spacing w:val="-1"/>
        </w:rPr>
        <w:t>、</w:t>
        <w:tab/>
      </w:r>
      <w:r>
        <w:rPr>
          <w:rFonts w:ascii="宋体" w:hAnsi="宋体" w:cs="宋体" w:eastAsia="宋体" w:hint="default"/>
          <w:b/>
          <w:bCs/>
        </w:rPr>
        <w:t>固定资产</w:t>
      </w:r>
      <w:r>
        <w:rPr>
          <w:rFonts w:ascii="宋体" w:hAnsi="宋体" w:cs="宋体" w:eastAsia="宋体" w:hint="default"/>
          <w:b/>
          <w:bCs/>
          <w:w w:val="99"/>
        </w:rPr>
        <w:t> </w:t>
      </w:r>
      <w:r>
        <w:rPr>
          <w:spacing w:val="-1"/>
        </w:rPr>
        <w:t>本公司固定资产是指同时具有以下特征，即为生产商品、提供劳务、出租或经营管理而持有的，</w:t>
      </w:r>
    </w:p>
    <w:p>
      <w:pPr>
        <w:pStyle w:val="BodyText"/>
        <w:spacing w:line="367" w:lineRule="auto" w:before="14"/>
        <w:ind w:left="592" w:right="1133" w:hanging="440"/>
        <w:jc w:val="left"/>
      </w:pPr>
      <w:r>
        <w:rPr/>
        <w:t>使用年限超过一年，单位价值较高的有形资产。</w:t>
      </w:r>
      <w:r>
        <w:rPr>
          <w:w w:val="100"/>
        </w:rPr>
        <w:t> </w:t>
      </w:r>
      <w:r>
        <w:rPr>
          <w:spacing w:val="-2"/>
        </w:rPr>
        <w:t>固定资产在与其有关的经济利益很可能流入本公司、且其成本能够可靠计量时予以确认。本公司</w:t>
      </w:r>
    </w:p>
    <w:p>
      <w:pPr>
        <w:pStyle w:val="BodyText"/>
        <w:spacing w:line="367" w:lineRule="auto"/>
        <w:ind w:left="592" w:right="1133" w:hanging="440"/>
        <w:jc w:val="left"/>
      </w:pPr>
      <w:r>
        <w:rPr/>
        <w:t>固定资产包括房屋及建筑物、机器设备、运输工具、办公设备等。</w:t>
      </w:r>
      <w:r>
        <w:rPr>
          <w:w w:val="100"/>
        </w:rPr>
        <w:t> </w:t>
      </w:r>
      <w:r>
        <w:rPr>
          <w:spacing w:val="2"/>
        </w:rPr>
        <w:t>除已提足折旧仍继续使用的固定资产和单独计价入账的土地外，本公司对所有固定资产计提折</w:t>
      </w:r>
    </w:p>
    <w:p>
      <w:pPr>
        <w:pStyle w:val="BodyText"/>
        <w:spacing w:line="284" w:lineRule="exact"/>
        <w:ind w:right="1133"/>
        <w:jc w:val="left"/>
      </w:pPr>
      <w:r>
        <w:rPr/>
        <w:t>旧。计提折旧时采用平均年限法。本公司固定资产的分类折旧年限、预计净残值率、折旧率如下：</w:t>
      </w:r>
    </w:p>
    <w:p>
      <w:pPr>
        <w:spacing w:line="240" w:lineRule="auto" w:before="11"/>
        <w:rPr>
          <w:rFonts w:ascii="宋体" w:hAnsi="宋体" w:cs="宋体" w:eastAsia="宋体" w:hint="default"/>
          <w:sz w:val="6"/>
          <w:szCs w:val="6"/>
        </w:rPr>
      </w:pPr>
    </w:p>
    <w:tbl>
      <w:tblPr>
        <w:tblW w:w="0" w:type="auto"/>
        <w:jc w:val="left"/>
        <w:tblInd w:w="683" w:type="dxa"/>
        <w:tblLayout w:type="fixed"/>
        <w:tblCellMar>
          <w:top w:w="0" w:type="dxa"/>
          <w:left w:w="0" w:type="dxa"/>
          <w:bottom w:w="0" w:type="dxa"/>
          <w:right w:w="0" w:type="dxa"/>
        </w:tblCellMar>
        <w:tblLook w:val="01E0"/>
      </w:tblPr>
      <w:tblGrid>
        <w:gridCol w:w="722"/>
        <w:gridCol w:w="2693"/>
        <w:gridCol w:w="1419"/>
        <w:gridCol w:w="1418"/>
        <w:gridCol w:w="2283"/>
      </w:tblGrid>
      <w:tr>
        <w:trPr>
          <w:trHeight w:val="500" w:hRule="exact"/>
        </w:trPr>
        <w:tc>
          <w:tcPr>
            <w:tcW w:w="7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2"/>
              <w:ind w:left="19"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69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left="4"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4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left="4" w:right="0"/>
              <w:jc w:val="center"/>
              <w:rPr>
                <w:rFonts w:ascii="Arial" w:hAnsi="Arial" w:cs="Arial" w:eastAsia="Arial" w:hint="default"/>
                <w:sz w:val="18"/>
                <w:szCs w:val="18"/>
              </w:rPr>
            </w:pPr>
            <w:r>
              <w:rPr>
                <w:rFonts w:ascii="宋体" w:hAnsi="宋体" w:cs="宋体" w:eastAsia="宋体" w:hint="default"/>
                <w:b/>
                <w:bCs/>
                <w:sz w:val="18"/>
                <w:szCs w:val="18"/>
              </w:rPr>
              <w:t>折旧年限</w:t>
            </w:r>
            <w:r>
              <w:rPr>
                <w:rFonts w:ascii="Arial" w:hAnsi="Arial" w:cs="Arial" w:eastAsia="Arial" w:hint="default"/>
                <w:b/>
                <w:bCs/>
                <w:sz w:val="18"/>
                <w:szCs w:val="18"/>
              </w:rPr>
              <w:t>(</w:t>
            </w:r>
            <w:r>
              <w:rPr>
                <w:rFonts w:ascii="宋体" w:hAnsi="宋体" w:cs="宋体" w:eastAsia="宋体" w:hint="default"/>
                <w:b/>
                <w:bCs/>
                <w:sz w:val="18"/>
                <w:szCs w:val="18"/>
              </w:rPr>
              <w:t>年</w:t>
            </w:r>
            <w:r>
              <w:rPr>
                <w:rFonts w:ascii="Arial" w:hAnsi="Arial" w:cs="Arial" w:eastAsia="Arial" w:hint="default"/>
                <w:b/>
                <w:bCs/>
                <w:sz w:val="18"/>
                <w:szCs w:val="18"/>
              </w:rPr>
              <w:t>)</w:t>
            </w:r>
            <w:r>
              <w:rPr>
                <w:rFonts w:ascii="Arial" w:hAnsi="Arial" w:cs="Arial" w:eastAsia="Arial" w:hint="default"/>
                <w:sz w:val="18"/>
                <w:szCs w:val="18"/>
              </w:rPr>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right="0"/>
              <w:jc w:val="center"/>
              <w:rPr>
                <w:rFonts w:ascii="Arial" w:hAnsi="Arial" w:cs="Arial" w:eastAsia="Arial" w:hint="default"/>
                <w:sz w:val="18"/>
                <w:szCs w:val="18"/>
              </w:rPr>
            </w:pPr>
            <w:r>
              <w:rPr>
                <w:rFonts w:ascii="宋体" w:hAnsi="宋体" w:cs="宋体" w:eastAsia="宋体" w:hint="default"/>
                <w:b/>
                <w:bCs/>
                <w:sz w:val="18"/>
                <w:szCs w:val="18"/>
              </w:rPr>
              <w:t>预计残值率</w:t>
            </w:r>
            <w:r>
              <w:rPr>
                <w:rFonts w:ascii="Arial" w:hAnsi="Arial" w:cs="Arial" w:eastAsia="Arial" w:hint="default"/>
                <w:b/>
                <w:bCs/>
                <w:sz w:val="18"/>
                <w:szCs w:val="18"/>
              </w:rPr>
              <w:t>(%)</w:t>
            </w:r>
            <w:r>
              <w:rPr>
                <w:rFonts w:ascii="Arial" w:hAnsi="Arial" w:cs="Arial" w:eastAsia="Arial" w:hint="default"/>
                <w:sz w:val="18"/>
                <w:szCs w:val="18"/>
              </w:rPr>
            </w:r>
          </w:p>
        </w:tc>
        <w:tc>
          <w:tcPr>
            <w:tcW w:w="228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left="638" w:right="0"/>
              <w:jc w:val="left"/>
              <w:rPr>
                <w:rFonts w:ascii="Arial" w:hAnsi="Arial" w:cs="Arial" w:eastAsia="Arial" w:hint="default"/>
                <w:sz w:val="18"/>
                <w:szCs w:val="18"/>
              </w:rPr>
            </w:pPr>
            <w:r>
              <w:rPr>
                <w:rFonts w:ascii="宋体" w:hAnsi="宋体" w:cs="宋体" w:eastAsia="宋体" w:hint="default"/>
                <w:b/>
                <w:bCs/>
                <w:sz w:val="18"/>
                <w:szCs w:val="18"/>
              </w:rPr>
              <w:t>年折旧率</w:t>
            </w:r>
            <w:r>
              <w:rPr>
                <w:rFonts w:ascii="Arial" w:hAnsi="Arial" w:cs="Arial" w:eastAsia="Arial" w:hint="default"/>
                <w:b/>
                <w:bCs/>
                <w:sz w:val="18"/>
                <w:szCs w:val="18"/>
              </w:rPr>
              <w:t>(%)</w:t>
            </w:r>
            <w:r>
              <w:rPr>
                <w:rFonts w:ascii="Arial" w:hAnsi="Arial" w:cs="Arial" w:eastAsia="Arial" w:hint="default"/>
                <w:sz w:val="18"/>
                <w:szCs w:val="18"/>
              </w:rPr>
            </w:r>
          </w:p>
        </w:tc>
      </w:tr>
      <w:tr>
        <w:trPr>
          <w:trHeight w:val="485" w:hRule="exact"/>
        </w:trPr>
        <w:tc>
          <w:tcPr>
            <w:tcW w:w="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3" w:right="0"/>
              <w:jc w:val="center"/>
              <w:rPr>
                <w:rFonts w:ascii="Arial" w:hAnsi="Arial" w:cs="Arial" w:eastAsia="Arial" w:hint="default"/>
                <w:sz w:val="18"/>
                <w:szCs w:val="18"/>
              </w:rPr>
            </w:pPr>
            <w:r>
              <w:rPr>
                <w:rFonts w:ascii="Arial"/>
                <w:w w:val="99"/>
                <w:sz w:val="18"/>
              </w:rPr>
              <w:t>1</w:t>
            </w:r>
            <w:r>
              <w:rPr>
                <w:rFonts w:ascii="Arial"/>
                <w:sz w:val="18"/>
              </w:rPr>
            </w:r>
          </w:p>
        </w:tc>
        <w:tc>
          <w:tcPr>
            <w:tcW w:w="26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6" w:right="0"/>
              <w:jc w:val="center"/>
              <w:rPr>
                <w:rFonts w:ascii="Arial" w:hAnsi="Arial" w:cs="Arial" w:eastAsia="Arial" w:hint="default"/>
                <w:sz w:val="18"/>
                <w:szCs w:val="18"/>
              </w:rPr>
            </w:pPr>
            <w:r>
              <w:rPr>
                <w:rFonts w:ascii="Arial"/>
                <w:sz w:val="18"/>
              </w:rPr>
              <w:t>40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Arial" w:hAnsi="Arial" w:cs="Arial" w:eastAsia="Arial" w:hint="default"/>
                <w:sz w:val="18"/>
                <w:szCs w:val="18"/>
              </w:rPr>
            </w:pPr>
            <w:r>
              <w:rPr>
                <w:rFonts w:ascii="Arial"/>
                <w:w w:val="99"/>
                <w:sz w:val="18"/>
              </w:rPr>
              <w:t>0</w:t>
            </w:r>
            <w:r>
              <w:rPr>
                <w:rFonts w:ascii="Arial"/>
                <w:sz w:val="18"/>
              </w:rPr>
            </w:r>
          </w:p>
        </w:tc>
        <w:tc>
          <w:tcPr>
            <w:tcW w:w="228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
              <w:jc w:val="right"/>
              <w:rPr>
                <w:rFonts w:ascii="Arial" w:hAnsi="Arial" w:cs="Arial" w:eastAsia="Arial" w:hint="default"/>
                <w:sz w:val="18"/>
                <w:szCs w:val="18"/>
              </w:rPr>
            </w:pPr>
            <w:r>
              <w:rPr>
                <w:rFonts w:ascii="Arial"/>
                <w:w w:val="95"/>
                <w:sz w:val="18"/>
              </w:rPr>
              <w:t>2.50</w:t>
            </w:r>
            <w:r>
              <w:rPr>
                <w:rFonts w:ascii="Arial"/>
                <w:sz w:val="18"/>
              </w:rPr>
            </w:r>
          </w:p>
        </w:tc>
      </w:tr>
      <w:tr>
        <w:trPr>
          <w:trHeight w:val="485" w:hRule="exact"/>
        </w:trPr>
        <w:tc>
          <w:tcPr>
            <w:tcW w:w="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3" w:right="0"/>
              <w:jc w:val="center"/>
              <w:rPr>
                <w:rFonts w:ascii="Arial" w:hAnsi="Arial" w:cs="Arial" w:eastAsia="Arial" w:hint="default"/>
                <w:sz w:val="18"/>
                <w:szCs w:val="18"/>
              </w:rPr>
            </w:pPr>
            <w:r>
              <w:rPr>
                <w:rFonts w:ascii="Arial"/>
                <w:w w:val="99"/>
                <w:sz w:val="18"/>
              </w:rPr>
              <w:t>2</w:t>
            </w:r>
            <w:r>
              <w:rPr>
                <w:rFonts w:ascii="Arial"/>
                <w:sz w:val="18"/>
              </w:rPr>
            </w:r>
          </w:p>
        </w:tc>
        <w:tc>
          <w:tcPr>
            <w:tcW w:w="26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2" w:right="0"/>
              <w:jc w:val="left"/>
              <w:rPr>
                <w:rFonts w:ascii="宋体" w:hAnsi="宋体" w:cs="宋体" w:eastAsia="宋体" w:hint="default"/>
                <w:sz w:val="18"/>
                <w:szCs w:val="18"/>
              </w:rPr>
            </w:pPr>
            <w:r>
              <w:rPr>
                <w:rFonts w:ascii="宋体" w:hAnsi="宋体" w:cs="宋体" w:eastAsia="宋体" w:hint="default"/>
                <w:sz w:val="18"/>
                <w:szCs w:val="18"/>
              </w:rPr>
              <w:t>供电、供水、供汽设施设备</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6" w:right="0"/>
              <w:jc w:val="center"/>
              <w:rPr>
                <w:rFonts w:ascii="Arial" w:hAnsi="Arial" w:cs="Arial" w:eastAsia="Arial" w:hint="default"/>
                <w:sz w:val="18"/>
                <w:szCs w:val="18"/>
              </w:rPr>
            </w:pPr>
            <w:r>
              <w:rPr>
                <w:rFonts w:ascii="Arial"/>
                <w:sz w:val="18"/>
              </w:rPr>
              <w:t>10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Arial" w:hAnsi="Arial" w:cs="Arial" w:eastAsia="Arial" w:hint="default"/>
                <w:sz w:val="18"/>
                <w:szCs w:val="18"/>
              </w:rPr>
            </w:pPr>
            <w:r>
              <w:rPr>
                <w:rFonts w:ascii="Arial"/>
                <w:w w:val="99"/>
                <w:sz w:val="18"/>
              </w:rPr>
              <w:t>4</w:t>
            </w:r>
            <w:r>
              <w:rPr>
                <w:rFonts w:ascii="Arial"/>
                <w:sz w:val="18"/>
              </w:rPr>
            </w:r>
          </w:p>
        </w:tc>
        <w:tc>
          <w:tcPr>
            <w:tcW w:w="228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
              <w:jc w:val="right"/>
              <w:rPr>
                <w:rFonts w:ascii="Arial" w:hAnsi="Arial" w:cs="Arial" w:eastAsia="Arial" w:hint="default"/>
                <w:sz w:val="18"/>
                <w:szCs w:val="18"/>
              </w:rPr>
            </w:pPr>
            <w:r>
              <w:rPr>
                <w:rFonts w:ascii="Arial"/>
                <w:w w:val="95"/>
                <w:sz w:val="18"/>
              </w:rPr>
              <w:t>9.60</w:t>
            </w:r>
            <w:r>
              <w:rPr>
                <w:rFonts w:ascii="Arial"/>
                <w:sz w:val="18"/>
              </w:rPr>
            </w:r>
          </w:p>
        </w:tc>
      </w:tr>
      <w:tr>
        <w:trPr>
          <w:trHeight w:val="485" w:hRule="exact"/>
        </w:trPr>
        <w:tc>
          <w:tcPr>
            <w:tcW w:w="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3" w:right="0"/>
              <w:jc w:val="center"/>
              <w:rPr>
                <w:rFonts w:ascii="Arial" w:hAnsi="Arial" w:cs="Arial" w:eastAsia="Arial" w:hint="default"/>
                <w:sz w:val="18"/>
                <w:szCs w:val="18"/>
              </w:rPr>
            </w:pPr>
            <w:r>
              <w:rPr>
                <w:rFonts w:ascii="Arial"/>
                <w:w w:val="99"/>
                <w:sz w:val="18"/>
              </w:rPr>
              <w:t>3</w:t>
            </w:r>
            <w:r>
              <w:rPr>
                <w:rFonts w:ascii="Arial"/>
                <w:sz w:val="18"/>
              </w:rPr>
            </w:r>
          </w:p>
        </w:tc>
        <w:tc>
          <w:tcPr>
            <w:tcW w:w="26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Arial" w:hAnsi="Arial" w:cs="Arial" w:eastAsia="Arial" w:hint="default"/>
                <w:sz w:val="18"/>
                <w:szCs w:val="18"/>
              </w:rPr>
            </w:pPr>
            <w:r>
              <w:rPr>
                <w:rFonts w:ascii="Arial"/>
                <w:w w:val="99"/>
                <w:sz w:val="18"/>
              </w:rPr>
              <w:t>8</w:t>
            </w:r>
            <w:r>
              <w:rPr>
                <w:rFonts w:ascii="Arial"/>
                <w:sz w:val="18"/>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Arial" w:hAnsi="Arial" w:cs="Arial" w:eastAsia="Arial" w:hint="default"/>
                <w:sz w:val="18"/>
                <w:szCs w:val="18"/>
              </w:rPr>
            </w:pPr>
            <w:r>
              <w:rPr>
                <w:rFonts w:ascii="Arial"/>
                <w:w w:val="99"/>
                <w:sz w:val="18"/>
              </w:rPr>
              <w:t>4</w:t>
            </w:r>
            <w:r>
              <w:rPr>
                <w:rFonts w:ascii="Arial"/>
                <w:sz w:val="18"/>
              </w:rPr>
            </w:r>
          </w:p>
        </w:tc>
        <w:tc>
          <w:tcPr>
            <w:tcW w:w="228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
              <w:jc w:val="right"/>
              <w:rPr>
                <w:rFonts w:ascii="Arial" w:hAnsi="Arial" w:cs="Arial" w:eastAsia="Arial" w:hint="default"/>
                <w:sz w:val="18"/>
                <w:szCs w:val="18"/>
              </w:rPr>
            </w:pPr>
            <w:r>
              <w:rPr>
                <w:rFonts w:ascii="Arial"/>
                <w:w w:val="95"/>
                <w:sz w:val="18"/>
              </w:rPr>
              <w:t>12.00</w:t>
            </w:r>
            <w:r>
              <w:rPr>
                <w:rFonts w:ascii="Arial"/>
                <w:sz w:val="18"/>
              </w:rPr>
            </w:r>
          </w:p>
        </w:tc>
      </w:tr>
      <w:tr>
        <w:trPr>
          <w:trHeight w:val="485" w:hRule="exact"/>
        </w:trPr>
        <w:tc>
          <w:tcPr>
            <w:tcW w:w="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3" w:right="0"/>
              <w:jc w:val="center"/>
              <w:rPr>
                <w:rFonts w:ascii="Arial" w:hAnsi="Arial" w:cs="Arial" w:eastAsia="Arial" w:hint="default"/>
                <w:sz w:val="18"/>
                <w:szCs w:val="18"/>
              </w:rPr>
            </w:pPr>
            <w:r>
              <w:rPr>
                <w:rFonts w:ascii="Arial"/>
                <w:w w:val="99"/>
                <w:sz w:val="18"/>
              </w:rPr>
              <w:t>4</w:t>
            </w:r>
            <w:r>
              <w:rPr>
                <w:rFonts w:ascii="Arial"/>
                <w:sz w:val="18"/>
              </w:rPr>
            </w:r>
          </w:p>
        </w:tc>
        <w:tc>
          <w:tcPr>
            <w:tcW w:w="26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2" w:right="0"/>
              <w:jc w:val="left"/>
              <w:rPr>
                <w:rFonts w:ascii="宋体" w:hAnsi="宋体" w:cs="宋体" w:eastAsia="宋体" w:hint="default"/>
                <w:sz w:val="18"/>
                <w:szCs w:val="18"/>
              </w:rPr>
            </w:pPr>
            <w:r>
              <w:rPr>
                <w:rFonts w:ascii="宋体" w:hAnsi="宋体" w:cs="宋体" w:eastAsia="宋体" w:hint="default"/>
                <w:sz w:val="18"/>
                <w:szCs w:val="18"/>
              </w:rPr>
              <w:t>装卸机械设备</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6" w:right="0"/>
              <w:jc w:val="center"/>
              <w:rPr>
                <w:rFonts w:ascii="Arial" w:hAnsi="Arial" w:cs="Arial" w:eastAsia="Arial" w:hint="default"/>
                <w:sz w:val="18"/>
                <w:szCs w:val="18"/>
              </w:rPr>
            </w:pPr>
            <w:r>
              <w:rPr>
                <w:rFonts w:ascii="Arial"/>
                <w:sz w:val="18"/>
              </w:rPr>
              <w:t>10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Arial" w:hAnsi="Arial" w:cs="Arial" w:eastAsia="Arial" w:hint="default"/>
                <w:sz w:val="18"/>
                <w:szCs w:val="18"/>
              </w:rPr>
            </w:pPr>
            <w:r>
              <w:rPr>
                <w:rFonts w:ascii="Arial"/>
                <w:w w:val="99"/>
                <w:sz w:val="18"/>
              </w:rPr>
              <w:t>4</w:t>
            </w:r>
            <w:r>
              <w:rPr>
                <w:rFonts w:ascii="Arial"/>
                <w:sz w:val="18"/>
              </w:rPr>
            </w:r>
          </w:p>
        </w:tc>
        <w:tc>
          <w:tcPr>
            <w:tcW w:w="228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
              <w:jc w:val="right"/>
              <w:rPr>
                <w:rFonts w:ascii="Arial" w:hAnsi="Arial" w:cs="Arial" w:eastAsia="Arial" w:hint="default"/>
                <w:sz w:val="18"/>
                <w:szCs w:val="18"/>
              </w:rPr>
            </w:pPr>
            <w:r>
              <w:rPr>
                <w:rFonts w:ascii="Arial"/>
                <w:w w:val="95"/>
                <w:sz w:val="18"/>
              </w:rPr>
              <w:t>9.60</w:t>
            </w:r>
            <w:r>
              <w:rPr>
                <w:rFonts w:ascii="Arial"/>
                <w:sz w:val="18"/>
              </w:rPr>
            </w:r>
          </w:p>
        </w:tc>
      </w:tr>
      <w:tr>
        <w:trPr>
          <w:trHeight w:val="485" w:hRule="exact"/>
        </w:trPr>
        <w:tc>
          <w:tcPr>
            <w:tcW w:w="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3" w:right="0"/>
              <w:jc w:val="center"/>
              <w:rPr>
                <w:rFonts w:ascii="Arial" w:hAnsi="Arial" w:cs="Arial" w:eastAsia="Arial" w:hint="default"/>
                <w:sz w:val="18"/>
                <w:szCs w:val="18"/>
              </w:rPr>
            </w:pPr>
            <w:r>
              <w:rPr>
                <w:rFonts w:ascii="Arial"/>
                <w:w w:val="99"/>
                <w:sz w:val="18"/>
              </w:rPr>
              <w:t>5</w:t>
            </w:r>
            <w:r>
              <w:rPr>
                <w:rFonts w:ascii="Arial"/>
                <w:sz w:val="18"/>
              </w:rPr>
            </w:r>
          </w:p>
        </w:tc>
        <w:tc>
          <w:tcPr>
            <w:tcW w:w="26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6" w:right="0"/>
              <w:jc w:val="center"/>
              <w:rPr>
                <w:rFonts w:ascii="Arial" w:hAnsi="Arial" w:cs="Arial" w:eastAsia="Arial" w:hint="default"/>
                <w:sz w:val="18"/>
                <w:szCs w:val="18"/>
              </w:rPr>
            </w:pPr>
            <w:r>
              <w:rPr>
                <w:rFonts w:ascii="Arial"/>
                <w:sz w:val="18"/>
              </w:rPr>
              <w:t>10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Arial" w:hAnsi="Arial" w:cs="Arial" w:eastAsia="Arial" w:hint="default"/>
                <w:sz w:val="18"/>
                <w:szCs w:val="18"/>
              </w:rPr>
            </w:pPr>
            <w:r>
              <w:rPr>
                <w:rFonts w:ascii="Arial"/>
                <w:w w:val="99"/>
                <w:sz w:val="18"/>
              </w:rPr>
              <w:t>4</w:t>
            </w:r>
            <w:r>
              <w:rPr>
                <w:rFonts w:ascii="Arial"/>
                <w:sz w:val="18"/>
              </w:rPr>
            </w:r>
          </w:p>
        </w:tc>
        <w:tc>
          <w:tcPr>
            <w:tcW w:w="228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
              <w:jc w:val="right"/>
              <w:rPr>
                <w:rFonts w:ascii="Arial" w:hAnsi="Arial" w:cs="Arial" w:eastAsia="Arial" w:hint="default"/>
                <w:sz w:val="18"/>
                <w:szCs w:val="18"/>
              </w:rPr>
            </w:pPr>
            <w:r>
              <w:rPr>
                <w:rFonts w:ascii="Arial"/>
                <w:w w:val="95"/>
                <w:sz w:val="18"/>
              </w:rPr>
              <w:t>9.60</w:t>
            </w:r>
            <w:r>
              <w:rPr>
                <w:rFonts w:ascii="Arial"/>
                <w:sz w:val="18"/>
              </w:rPr>
            </w:r>
          </w:p>
        </w:tc>
      </w:tr>
      <w:tr>
        <w:trPr>
          <w:trHeight w:val="485" w:hRule="exact"/>
        </w:trPr>
        <w:tc>
          <w:tcPr>
            <w:tcW w:w="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3" w:right="0"/>
              <w:jc w:val="center"/>
              <w:rPr>
                <w:rFonts w:ascii="Arial" w:hAnsi="Arial" w:cs="Arial" w:eastAsia="Arial" w:hint="default"/>
                <w:sz w:val="18"/>
                <w:szCs w:val="18"/>
              </w:rPr>
            </w:pPr>
            <w:r>
              <w:rPr>
                <w:rFonts w:ascii="Arial"/>
                <w:w w:val="99"/>
                <w:sz w:val="18"/>
              </w:rPr>
              <w:t>6</w:t>
            </w:r>
            <w:r>
              <w:rPr>
                <w:rFonts w:ascii="Arial"/>
                <w:sz w:val="18"/>
              </w:rPr>
            </w:r>
          </w:p>
        </w:tc>
        <w:tc>
          <w:tcPr>
            <w:tcW w:w="26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2" w:right="0"/>
              <w:jc w:val="left"/>
              <w:rPr>
                <w:rFonts w:ascii="宋体" w:hAnsi="宋体" w:cs="宋体" w:eastAsia="宋体" w:hint="default"/>
                <w:sz w:val="18"/>
                <w:szCs w:val="18"/>
              </w:rPr>
            </w:pPr>
            <w:r>
              <w:rPr>
                <w:rFonts w:ascii="宋体" w:hAnsi="宋体" w:cs="宋体" w:eastAsia="宋体" w:hint="default"/>
                <w:sz w:val="18"/>
                <w:szCs w:val="18"/>
              </w:rPr>
              <w:t>通讯及导航设施设备</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Arial" w:hAnsi="Arial" w:cs="Arial" w:eastAsia="Arial" w:hint="default"/>
                <w:sz w:val="18"/>
                <w:szCs w:val="18"/>
              </w:rPr>
            </w:pPr>
            <w:r>
              <w:rPr>
                <w:rFonts w:ascii="Arial"/>
                <w:w w:val="99"/>
                <w:sz w:val="18"/>
              </w:rPr>
              <w:t>5</w:t>
            </w:r>
            <w:r>
              <w:rPr>
                <w:rFonts w:ascii="Arial"/>
                <w:sz w:val="18"/>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Arial" w:hAnsi="Arial" w:cs="Arial" w:eastAsia="Arial" w:hint="default"/>
                <w:sz w:val="18"/>
                <w:szCs w:val="18"/>
              </w:rPr>
            </w:pPr>
            <w:r>
              <w:rPr>
                <w:rFonts w:ascii="Arial"/>
                <w:w w:val="99"/>
                <w:sz w:val="18"/>
              </w:rPr>
              <w:t>4</w:t>
            </w:r>
            <w:r>
              <w:rPr>
                <w:rFonts w:ascii="Arial"/>
                <w:sz w:val="18"/>
              </w:rPr>
            </w:r>
          </w:p>
        </w:tc>
        <w:tc>
          <w:tcPr>
            <w:tcW w:w="228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
              <w:jc w:val="right"/>
              <w:rPr>
                <w:rFonts w:ascii="Arial" w:hAnsi="Arial" w:cs="Arial" w:eastAsia="Arial" w:hint="default"/>
                <w:sz w:val="18"/>
                <w:szCs w:val="18"/>
              </w:rPr>
            </w:pPr>
            <w:r>
              <w:rPr>
                <w:rFonts w:ascii="Arial"/>
                <w:w w:val="95"/>
                <w:sz w:val="18"/>
              </w:rPr>
              <w:t>19.20</w:t>
            </w:r>
            <w:r>
              <w:rPr>
                <w:rFonts w:ascii="Arial"/>
                <w:sz w:val="18"/>
              </w:rPr>
            </w:r>
          </w:p>
        </w:tc>
      </w:tr>
      <w:tr>
        <w:trPr>
          <w:trHeight w:val="485" w:hRule="exact"/>
        </w:trPr>
        <w:tc>
          <w:tcPr>
            <w:tcW w:w="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3" w:right="0"/>
              <w:jc w:val="center"/>
              <w:rPr>
                <w:rFonts w:ascii="Arial" w:hAnsi="Arial" w:cs="Arial" w:eastAsia="Arial" w:hint="default"/>
                <w:sz w:val="18"/>
                <w:szCs w:val="18"/>
              </w:rPr>
            </w:pPr>
            <w:r>
              <w:rPr>
                <w:rFonts w:ascii="Arial"/>
                <w:w w:val="99"/>
                <w:sz w:val="18"/>
              </w:rPr>
              <w:t>7</w:t>
            </w:r>
            <w:r>
              <w:rPr>
                <w:rFonts w:ascii="Arial"/>
                <w:sz w:val="18"/>
              </w:rPr>
            </w:r>
          </w:p>
        </w:tc>
        <w:tc>
          <w:tcPr>
            <w:tcW w:w="26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left="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left="6" w:right="0"/>
              <w:jc w:val="center"/>
              <w:rPr>
                <w:rFonts w:ascii="Arial" w:hAnsi="Arial" w:cs="Arial" w:eastAsia="Arial" w:hint="default"/>
                <w:sz w:val="18"/>
                <w:szCs w:val="18"/>
              </w:rPr>
            </w:pPr>
            <w:r>
              <w:rPr>
                <w:rFonts w:ascii="Arial" w:hAnsi="Arial" w:cs="Arial" w:eastAsia="Arial" w:hint="default"/>
                <w:sz w:val="18"/>
                <w:szCs w:val="18"/>
              </w:rPr>
              <w:t>3</w:t>
            </w:r>
            <w:r>
              <w:rPr>
                <w:rFonts w:ascii="宋体" w:hAnsi="宋体" w:cs="宋体" w:eastAsia="宋体" w:hint="default"/>
                <w:sz w:val="18"/>
                <w:szCs w:val="18"/>
              </w:rPr>
              <w:t>、</w:t>
            </w:r>
            <w:r>
              <w:rPr>
                <w:rFonts w:ascii="Arial" w:hAnsi="Arial" w:cs="Arial" w:eastAsia="Arial" w:hint="default"/>
                <w:sz w:val="18"/>
                <w:szCs w:val="18"/>
              </w:rPr>
              <w:t>5</w:t>
            </w:r>
            <w:r>
              <w:rPr>
                <w:rFonts w:ascii="宋体" w:hAnsi="宋体" w:cs="宋体" w:eastAsia="宋体" w:hint="default"/>
                <w:sz w:val="18"/>
                <w:szCs w:val="18"/>
              </w:rPr>
              <w:t>、</w:t>
            </w:r>
            <w:r>
              <w:rPr>
                <w:rFonts w:ascii="Arial" w:hAnsi="Arial" w:cs="Arial" w:eastAsia="Arial" w:hint="default"/>
                <w:sz w:val="18"/>
                <w:szCs w:val="18"/>
              </w:rPr>
              <w:t>10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Arial" w:hAnsi="Arial" w:cs="Arial" w:eastAsia="Arial" w:hint="default"/>
                <w:sz w:val="18"/>
                <w:szCs w:val="18"/>
              </w:rPr>
            </w:pPr>
            <w:r>
              <w:rPr>
                <w:rFonts w:ascii="Arial"/>
                <w:w w:val="99"/>
                <w:sz w:val="18"/>
              </w:rPr>
              <w:t>4</w:t>
            </w:r>
            <w:r>
              <w:rPr>
                <w:rFonts w:ascii="Arial"/>
                <w:sz w:val="18"/>
              </w:rPr>
            </w:r>
          </w:p>
        </w:tc>
        <w:tc>
          <w:tcPr>
            <w:tcW w:w="228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right="-2"/>
              <w:jc w:val="right"/>
              <w:rPr>
                <w:rFonts w:ascii="Arial" w:hAnsi="Arial" w:cs="Arial" w:eastAsia="Arial" w:hint="default"/>
                <w:sz w:val="18"/>
                <w:szCs w:val="18"/>
              </w:rPr>
            </w:pPr>
            <w:r>
              <w:rPr>
                <w:rFonts w:ascii="Arial" w:hAnsi="Arial" w:cs="Arial" w:eastAsia="Arial" w:hint="default"/>
                <w:spacing w:val="-1"/>
                <w:sz w:val="18"/>
                <w:szCs w:val="18"/>
              </w:rPr>
              <w:t>32.00</w:t>
            </w:r>
            <w:r>
              <w:rPr>
                <w:rFonts w:ascii="宋体" w:hAnsi="宋体" w:cs="宋体" w:eastAsia="宋体" w:hint="default"/>
                <w:spacing w:val="-1"/>
                <w:sz w:val="18"/>
                <w:szCs w:val="18"/>
              </w:rPr>
              <w:t>、</w:t>
            </w:r>
            <w:r>
              <w:rPr>
                <w:rFonts w:ascii="Arial" w:hAnsi="Arial" w:cs="Arial" w:eastAsia="Arial" w:hint="default"/>
                <w:spacing w:val="-1"/>
                <w:sz w:val="18"/>
                <w:szCs w:val="18"/>
              </w:rPr>
              <w:t>19.20</w:t>
            </w:r>
            <w:r>
              <w:rPr>
                <w:rFonts w:ascii="宋体" w:hAnsi="宋体" w:cs="宋体" w:eastAsia="宋体" w:hint="default"/>
                <w:spacing w:val="-1"/>
                <w:sz w:val="18"/>
                <w:szCs w:val="18"/>
              </w:rPr>
              <w:t>、</w:t>
            </w:r>
            <w:r>
              <w:rPr>
                <w:rFonts w:ascii="Arial" w:hAnsi="Arial" w:cs="Arial" w:eastAsia="Arial" w:hint="default"/>
                <w:spacing w:val="-1"/>
                <w:sz w:val="18"/>
                <w:szCs w:val="18"/>
              </w:rPr>
              <w:t>9.60</w:t>
            </w:r>
          </w:p>
        </w:tc>
      </w:tr>
      <w:tr>
        <w:trPr>
          <w:trHeight w:val="499" w:hRule="exact"/>
        </w:trPr>
        <w:tc>
          <w:tcPr>
            <w:tcW w:w="7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3" w:right="0"/>
              <w:jc w:val="center"/>
              <w:rPr>
                <w:rFonts w:ascii="Arial" w:hAnsi="Arial" w:cs="Arial" w:eastAsia="Arial" w:hint="default"/>
                <w:sz w:val="18"/>
                <w:szCs w:val="18"/>
              </w:rPr>
            </w:pPr>
            <w:r>
              <w:rPr>
                <w:rFonts w:ascii="Arial"/>
                <w:w w:val="99"/>
                <w:sz w:val="18"/>
              </w:rPr>
              <w:t>8</w:t>
            </w:r>
            <w:r>
              <w:rPr>
                <w:rFonts w:ascii="Arial"/>
                <w:sz w:val="18"/>
              </w:rPr>
            </w:r>
          </w:p>
        </w:tc>
        <w:tc>
          <w:tcPr>
            <w:tcW w:w="269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9"/>
              <w:ind w:left="2" w:right="0"/>
              <w:jc w:val="left"/>
              <w:rPr>
                <w:rFonts w:ascii="宋体" w:hAnsi="宋体" w:cs="宋体" w:eastAsia="宋体" w:hint="default"/>
                <w:sz w:val="18"/>
                <w:szCs w:val="18"/>
              </w:rPr>
            </w:pPr>
            <w:r>
              <w:rPr>
                <w:rFonts w:ascii="宋体" w:hAnsi="宋体" w:cs="宋体" w:eastAsia="宋体" w:hint="default"/>
                <w:sz w:val="18"/>
                <w:szCs w:val="18"/>
              </w:rPr>
              <w:t>专用设施设备</w:t>
            </w:r>
          </w:p>
        </w:tc>
        <w:tc>
          <w:tcPr>
            <w:tcW w:w="14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9"/>
              <w:ind w:left="4" w:right="0"/>
              <w:jc w:val="center"/>
              <w:rPr>
                <w:rFonts w:ascii="Arial" w:hAnsi="Arial" w:cs="Arial" w:eastAsia="Arial" w:hint="default"/>
                <w:sz w:val="18"/>
                <w:szCs w:val="18"/>
              </w:rPr>
            </w:pPr>
            <w:r>
              <w:rPr>
                <w:rFonts w:ascii="Arial" w:hAnsi="Arial" w:cs="Arial" w:eastAsia="Arial" w:hint="default"/>
                <w:sz w:val="18"/>
                <w:szCs w:val="18"/>
              </w:rPr>
              <w:t>10</w:t>
            </w:r>
            <w:r>
              <w:rPr>
                <w:rFonts w:ascii="宋体" w:hAnsi="宋体" w:cs="宋体" w:eastAsia="宋体" w:hint="default"/>
                <w:sz w:val="18"/>
                <w:szCs w:val="18"/>
              </w:rPr>
              <w:t>、</w:t>
            </w:r>
            <w:r>
              <w:rPr>
                <w:rFonts w:ascii="Arial" w:hAnsi="Arial" w:cs="Arial" w:eastAsia="Arial" w:hint="default"/>
                <w:sz w:val="18"/>
                <w:szCs w:val="18"/>
              </w:rPr>
              <w:t>20</w:t>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Arial" w:hAnsi="Arial" w:cs="Arial" w:eastAsia="Arial" w:hint="default"/>
                <w:sz w:val="18"/>
                <w:szCs w:val="18"/>
              </w:rPr>
            </w:pPr>
            <w:r>
              <w:rPr>
                <w:rFonts w:ascii="Arial"/>
                <w:w w:val="99"/>
                <w:sz w:val="18"/>
              </w:rPr>
              <w:t>4</w:t>
            </w:r>
            <w:r>
              <w:rPr>
                <w:rFonts w:ascii="Arial"/>
                <w:sz w:val="18"/>
              </w:rPr>
            </w:r>
          </w:p>
        </w:tc>
        <w:tc>
          <w:tcPr>
            <w:tcW w:w="228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49"/>
              <w:ind w:right="-2"/>
              <w:jc w:val="right"/>
              <w:rPr>
                <w:rFonts w:ascii="Arial" w:hAnsi="Arial" w:cs="Arial" w:eastAsia="Arial" w:hint="default"/>
                <w:sz w:val="18"/>
                <w:szCs w:val="18"/>
              </w:rPr>
            </w:pPr>
            <w:r>
              <w:rPr>
                <w:rFonts w:ascii="Arial" w:hAnsi="Arial" w:cs="Arial" w:eastAsia="Arial" w:hint="default"/>
                <w:spacing w:val="-1"/>
                <w:sz w:val="18"/>
                <w:szCs w:val="18"/>
              </w:rPr>
              <w:t>9.60</w:t>
            </w:r>
            <w:r>
              <w:rPr>
                <w:rFonts w:ascii="宋体" w:hAnsi="宋体" w:cs="宋体" w:eastAsia="宋体" w:hint="default"/>
                <w:spacing w:val="-1"/>
                <w:sz w:val="18"/>
                <w:szCs w:val="18"/>
              </w:rPr>
              <w:t>、</w:t>
            </w:r>
            <w:r>
              <w:rPr>
                <w:rFonts w:ascii="Arial" w:hAnsi="Arial" w:cs="Arial" w:eastAsia="Arial" w:hint="default"/>
                <w:spacing w:val="-1"/>
                <w:sz w:val="18"/>
                <w:szCs w:val="18"/>
              </w:rPr>
              <w:t>4.80</w:t>
            </w:r>
          </w:p>
        </w:tc>
      </w:tr>
    </w:tbl>
    <w:p>
      <w:pPr>
        <w:spacing w:after="0" w:line="240" w:lineRule="auto"/>
        <w:jc w:val="right"/>
        <w:rPr>
          <w:rFonts w:ascii="Arial" w:hAnsi="Arial" w:cs="Arial" w:eastAsia="Arial" w:hint="default"/>
          <w:sz w:val="18"/>
          <w:szCs w:val="18"/>
        </w:rPr>
        <w:sectPr>
          <w:footerReference w:type="default" r:id="rId17"/>
          <w:pgSz w:w="11910" w:h="16840"/>
          <w:pgMar w:footer="979" w:header="745" w:top="1060" w:bottom="1160" w:left="980" w:right="0"/>
          <w:pgNumType w:start="110"/>
        </w:sectPr>
      </w:pPr>
    </w:p>
    <w:p>
      <w:pPr>
        <w:spacing w:line="240" w:lineRule="auto" w:before="0"/>
        <w:rPr>
          <w:rFonts w:ascii="宋体" w:hAnsi="宋体" w:cs="宋体" w:eastAsia="宋体" w:hint="default"/>
          <w:sz w:val="20"/>
          <w:szCs w:val="20"/>
        </w:rPr>
      </w:pPr>
    </w:p>
    <w:p>
      <w:pPr>
        <w:pStyle w:val="BodyText"/>
        <w:spacing w:line="333" w:lineRule="auto" w:before="173"/>
        <w:ind w:right="1128" w:firstLine="439"/>
        <w:jc w:val="both"/>
      </w:pPr>
      <w:r>
        <w:rPr>
          <w:spacing w:val="-2"/>
        </w:rPr>
        <w:t>本公司于每年年度终了，对固定资产的预计使用寿命、预计净残值和折旧方法进行复核，如发生</w:t>
      </w:r>
      <w:r>
        <w:rPr>
          <w:w w:val="100"/>
        </w:rPr>
        <w:t> </w:t>
      </w:r>
      <w:r>
        <w:rPr/>
        <w:t>改变，则作为会计估计变更处理。</w:t>
      </w:r>
    </w:p>
    <w:p>
      <w:pPr>
        <w:pStyle w:val="BodyText"/>
        <w:spacing w:line="333" w:lineRule="auto" w:before="65"/>
        <w:ind w:right="1092" w:firstLine="439"/>
        <w:jc w:val="both"/>
      </w:pPr>
      <w:r>
        <w:rPr>
          <w:spacing w:val="-1"/>
        </w:rPr>
        <w:t>本公司融资租入的固定资产包括房屋及建筑物、机器设备、电子设备、运输设备、办公设备等，</w:t>
      </w:r>
      <w:r>
        <w:rPr>
          <w:w w:val="100"/>
        </w:rPr>
        <w:t> </w:t>
      </w:r>
      <w:r>
        <w:rPr>
          <w:spacing w:val="2"/>
        </w:rPr>
        <w:t>将其确认为融资租入固定资产的依据是融资租赁为实质上转移了与资产所有权有关的全部风险和报</w:t>
      </w:r>
      <w:r>
        <w:rPr>
          <w:spacing w:val="-36"/>
        </w:rPr>
        <w:t> </w:t>
      </w:r>
      <w:r>
        <w:rPr>
          <w:spacing w:val="-36"/>
        </w:rPr>
      </w:r>
      <w:r>
        <w:rPr/>
        <w:t>酬的租赁，其所有权最终可能转移，也可能不转移。</w:t>
      </w:r>
    </w:p>
    <w:p>
      <w:pPr>
        <w:pStyle w:val="BodyText"/>
        <w:spacing w:line="331" w:lineRule="auto" w:before="68"/>
        <w:ind w:right="1142" w:firstLine="439"/>
        <w:jc w:val="both"/>
      </w:pPr>
      <w:r>
        <w:rPr>
          <w:spacing w:val="2"/>
        </w:rPr>
        <w:t>融资租入固定资产以租赁资产的公允价值与最低租赁付款额的现值两者中的较低者作为租入资</w:t>
      </w:r>
      <w:r>
        <w:rPr>
          <w:w w:val="100"/>
        </w:rPr>
        <w:t> </w:t>
      </w:r>
      <w:r>
        <w:rPr/>
        <w:t>产的入账价值。租入资产的入账价值与最低租赁付款额之间的差额作为未确认融资费用。</w:t>
      </w:r>
    </w:p>
    <w:p>
      <w:pPr>
        <w:pStyle w:val="BodyText"/>
        <w:spacing w:line="333" w:lineRule="auto" w:before="70"/>
        <w:ind w:right="1131" w:firstLine="439"/>
        <w:jc w:val="both"/>
      </w:pPr>
      <w:r>
        <w:rPr>
          <w:spacing w:val="-2"/>
        </w:rPr>
        <w:t>融资租入的固定资产采用与自有固定资产相一致的折旧政策。能够合理确定租赁期届满时将取得</w:t>
      </w:r>
      <w:r>
        <w:rPr>
          <w:w w:val="100"/>
        </w:rPr>
        <w:t> </w:t>
      </w:r>
      <w:r>
        <w:rPr>
          <w:spacing w:val="-2"/>
        </w:rPr>
        <w:t>租入资产所有权的，租入固定资产在其预计使用寿命内计提折旧；否则，租入固定资产在租赁期与该</w:t>
      </w:r>
      <w:r>
        <w:rPr>
          <w:spacing w:val="-71"/>
        </w:rPr>
        <w:t> </w:t>
      </w:r>
      <w:r>
        <w:rPr>
          <w:spacing w:val="-71"/>
        </w:rPr>
      </w:r>
      <w:r>
        <w:rPr/>
        <w:t>资产预计使用寿命两者中较短的期间内计提折旧。</w:t>
      </w:r>
    </w:p>
    <w:p>
      <w:pPr>
        <w:pStyle w:val="BodyText"/>
        <w:tabs>
          <w:tab w:pos="1413" w:val="left" w:leader="none"/>
        </w:tabs>
        <w:spacing w:line="316" w:lineRule="auto" w:before="65"/>
        <w:ind w:left="592" w:right="1133" w:firstLine="2"/>
        <w:jc w:val="left"/>
      </w:pPr>
      <w:r>
        <w:rPr>
          <w:rFonts w:ascii="Arial" w:hAnsi="Arial" w:cs="Arial" w:eastAsia="Arial" w:hint="default"/>
          <w:b/>
          <w:bCs/>
          <w:spacing w:val="-1"/>
        </w:rPr>
        <w:t>18</w:t>
      </w:r>
      <w:r>
        <w:rPr>
          <w:rFonts w:ascii="宋体" w:hAnsi="宋体" w:cs="宋体" w:eastAsia="宋体" w:hint="default"/>
          <w:b/>
          <w:bCs/>
          <w:spacing w:val="-1"/>
        </w:rPr>
        <w:t>、</w:t>
        <w:tab/>
      </w:r>
      <w:r>
        <w:rPr>
          <w:rFonts w:ascii="宋体" w:hAnsi="宋体" w:cs="宋体" w:eastAsia="宋体" w:hint="default"/>
          <w:b/>
          <w:bCs/>
        </w:rPr>
        <w:t>在建工程</w:t>
      </w:r>
      <w:r>
        <w:rPr>
          <w:rFonts w:ascii="宋体" w:hAnsi="宋体" w:cs="宋体" w:eastAsia="宋体" w:hint="default"/>
          <w:b/>
          <w:bCs/>
          <w:w w:val="99"/>
        </w:rPr>
        <w:t> </w:t>
      </w:r>
      <w:r>
        <w:rPr>
          <w:spacing w:val="-2"/>
        </w:rPr>
        <w:t>在建工程在达到预定可使用状态之日起，根据工程预算、造价或工程实际成本等，按估计的价值</w:t>
      </w:r>
    </w:p>
    <w:p>
      <w:pPr>
        <w:pStyle w:val="BodyText"/>
        <w:spacing w:line="240" w:lineRule="auto" w:before="42"/>
        <w:ind w:right="0"/>
        <w:jc w:val="both"/>
      </w:pPr>
      <w:r>
        <w:rPr/>
        <w:t>结转固定资产，次月起开始计提折旧，待办理了竣工决算手续后再对固定资产原值差异进行调整。</w:t>
      </w:r>
    </w:p>
    <w:p>
      <w:pPr>
        <w:pStyle w:val="Heading4"/>
        <w:tabs>
          <w:tab w:pos="1413" w:val="left" w:leader="none"/>
        </w:tabs>
        <w:spacing w:line="240" w:lineRule="auto" w:before="110"/>
        <w:ind w:right="1133"/>
        <w:jc w:val="left"/>
        <w:rPr>
          <w:b w:val="0"/>
          <w:bCs w:val="0"/>
        </w:rPr>
      </w:pPr>
      <w:r>
        <w:rPr>
          <w:rFonts w:ascii="Arial" w:hAnsi="Arial" w:cs="Arial" w:eastAsia="Arial" w:hint="default"/>
          <w:spacing w:val="-1"/>
        </w:rPr>
        <w:t>19</w:t>
      </w:r>
      <w:r>
        <w:rPr>
          <w:spacing w:val="-1"/>
        </w:rPr>
        <w:t>、</w:t>
        <w:tab/>
      </w:r>
      <w:r>
        <w:rPr/>
        <w:t>借款费用</w:t>
      </w:r>
      <w:r>
        <w:rPr>
          <w:b w:val="0"/>
          <w:bCs w:val="0"/>
        </w:rPr>
      </w:r>
    </w:p>
    <w:p>
      <w:pPr>
        <w:pStyle w:val="BodyText"/>
        <w:spacing w:line="326" w:lineRule="auto" w:before="138"/>
        <w:ind w:right="0" w:firstLine="439"/>
        <w:jc w:val="left"/>
      </w:pPr>
      <w:r>
        <w:rPr/>
        <w:t>发生的可直接归属于需要经过</w:t>
      </w:r>
      <w:r>
        <w:rPr>
          <w:spacing w:val="-82"/>
        </w:rPr>
        <w:t> </w:t>
      </w:r>
      <w:r>
        <w:rPr>
          <w:rFonts w:ascii="Arial" w:hAnsi="Arial" w:cs="Arial" w:eastAsia="Arial" w:hint="default"/>
        </w:rPr>
        <w:t>1</w:t>
      </w:r>
      <w:r>
        <w:rPr>
          <w:rFonts w:ascii="Arial" w:hAnsi="Arial" w:cs="Arial" w:eastAsia="Arial" w:hint="default"/>
          <w:spacing w:val="-37"/>
        </w:rPr>
        <w:t> </w:t>
      </w:r>
      <w:r>
        <w:rPr/>
        <w:t>年以上的购建或者生产活动才能达到预定可使用或者可销售状态</w:t>
      </w:r>
      <w:r>
        <w:rPr>
          <w:w w:val="100"/>
        </w:rPr>
        <w:t> </w:t>
      </w:r>
      <w:r>
        <w:rPr/>
        <w:t>的固定资产、投资性房地产和存货等的借款费用，在资产支出已经发生、借款费用已经发生、为使资</w:t>
      </w:r>
      <w:r>
        <w:rPr>
          <w:w w:val="100"/>
        </w:rPr>
        <w:t> </w:t>
      </w:r>
      <w:r>
        <w:rPr/>
        <w:t>产达到预定可使用或可销售状态所必要的购建或生产活动已经开始时，开始资本化；当购建或生产符</w:t>
      </w:r>
      <w:r>
        <w:rPr>
          <w:w w:val="100"/>
        </w:rPr>
        <w:t> </w:t>
      </w:r>
      <w:r>
        <w:rPr>
          <w:spacing w:val="-2"/>
        </w:rPr>
        <w:t>合资本化条件的资产达到预定可使用或可销售状态时，停止资本化，其后发生的借款费用计入当期损</w:t>
      </w:r>
      <w:r>
        <w:rPr>
          <w:spacing w:val="-73"/>
        </w:rPr>
        <w:t> </w:t>
      </w:r>
      <w:r>
        <w:rPr>
          <w:spacing w:val="-73"/>
        </w:rPr>
      </w:r>
      <w:r>
        <w:rPr>
          <w:spacing w:val="-6"/>
        </w:rPr>
        <w:t>益。如果符合资本化条件的资产在购建或者生产过程中发生非正常中断、且中断时间连续超过 </w:t>
      </w:r>
      <w:r>
        <w:rPr>
          <w:rFonts w:ascii="Arial" w:hAnsi="Arial" w:cs="Arial" w:eastAsia="Arial" w:hint="default"/>
        </w:rPr>
        <w:t>3 </w:t>
      </w:r>
      <w:r>
        <w:rPr/>
        <w:t>个月，</w:t>
      </w:r>
      <w:r>
        <w:rPr>
          <w:spacing w:val="-92"/>
        </w:rPr>
        <w:t> </w:t>
      </w:r>
      <w:r>
        <w:rPr>
          <w:spacing w:val="-92"/>
        </w:rPr>
      </w:r>
      <w:r>
        <w:rPr/>
        <w:t>暂停借款费用的资本化，直至资产的购建或生产活动重新开始。</w:t>
      </w:r>
    </w:p>
    <w:p>
      <w:pPr>
        <w:pStyle w:val="BodyText"/>
        <w:spacing w:line="333" w:lineRule="auto" w:before="72"/>
        <w:ind w:right="1131" w:firstLine="439"/>
        <w:jc w:val="both"/>
      </w:pPr>
      <w:r>
        <w:rPr>
          <w:spacing w:val="-2"/>
        </w:rPr>
        <w:t>专门借款当期实际发生的利息费用，扣除尚未动用的借款资金存入银行取得的利息收入或进行暂</w:t>
      </w:r>
      <w:r>
        <w:rPr>
          <w:w w:val="100"/>
        </w:rPr>
        <w:t> </w:t>
      </w:r>
      <w:r>
        <w:rPr>
          <w:spacing w:val="-2"/>
        </w:rPr>
        <w:t>时性投资取得的投资收益后的金额予以资本化；一般借款根据累计资产支出超过专门借款部分的资产</w:t>
      </w:r>
      <w:r>
        <w:rPr>
          <w:spacing w:val="-73"/>
        </w:rPr>
        <w:t> </w:t>
      </w:r>
      <w:r>
        <w:rPr>
          <w:spacing w:val="-73"/>
        </w:rPr>
      </w:r>
      <w:r>
        <w:rPr>
          <w:spacing w:val="-2"/>
        </w:rPr>
        <w:t>支出加权平均数乘以所占用一般借款的资本化率，确定资本化金额。资本化率根据一般借款加权平均</w:t>
      </w:r>
      <w:r>
        <w:rPr>
          <w:spacing w:val="-70"/>
        </w:rPr>
        <w:t> </w:t>
      </w:r>
      <w:r>
        <w:rPr>
          <w:spacing w:val="-70"/>
        </w:rPr>
      </w:r>
      <w:r>
        <w:rPr/>
        <w:t>利率计算确定。</w:t>
      </w:r>
    </w:p>
    <w:p>
      <w:pPr>
        <w:pStyle w:val="BodyText"/>
        <w:tabs>
          <w:tab w:pos="1413" w:val="left" w:leader="none"/>
        </w:tabs>
        <w:spacing w:line="348" w:lineRule="auto" w:before="68"/>
        <w:ind w:left="592" w:right="1133" w:firstLine="2"/>
        <w:jc w:val="left"/>
      </w:pPr>
      <w:r>
        <w:rPr>
          <w:rFonts w:ascii="Arial" w:hAnsi="Arial" w:cs="Arial" w:eastAsia="Arial" w:hint="default"/>
          <w:b/>
          <w:bCs/>
          <w:spacing w:val="-1"/>
        </w:rPr>
        <w:t>20</w:t>
      </w:r>
      <w:r>
        <w:rPr>
          <w:rFonts w:ascii="宋体" w:hAnsi="宋体" w:cs="宋体" w:eastAsia="宋体" w:hint="default"/>
          <w:b/>
          <w:bCs/>
          <w:spacing w:val="-1"/>
        </w:rPr>
        <w:t>、</w:t>
        <w:tab/>
      </w:r>
      <w:r>
        <w:rPr>
          <w:rFonts w:ascii="宋体" w:hAnsi="宋体" w:cs="宋体" w:eastAsia="宋体" w:hint="default"/>
          <w:b/>
          <w:bCs/>
        </w:rPr>
        <w:t>无形资产</w:t>
      </w:r>
      <w:r>
        <w:rPr>
          <w:rFonts w:ascii="宋体" w:hAnsi="宋体" w:cs="宋体" w:eastAsia="宋体" w:hint="default"/>
          <w:b/>
          <w:bCs/>
          <w:w w:val="99"/>
        </w:rPr>
        <w:t> </w:t>
      </w:r>
      <w:r>
        <w:rPr>
          <w:spacing w:val="-2"/>
        </w:rPr>
        <w:t>本公司无形资产包括专利技术、非专利技术等，按取得时的实际成本计量，其中，购入的无形资</w:t>
      </w:r>
    </w:p>
    <w:p>
      <w:pPr>
        <w:pStyle w:val="BodyText"/>
        <w:spacing w:line="333" w:lineRule="auto" w:before="14"/>
        <w:ind w:right="1128"/>
        <w:jc w:val="both"/>
      </w:pPr>
      <w:r>
        <w:rPr>
          <w:spacing w:val="-2"/>
        </w:rPr>
        <w:t>产，按实际支付的价款和相关的其他支出作为实际成本；投资者投入的无形资产，按投资合同或协议</w:t>
      </w:r>
      <w:r>
        <w:rPr>
          <w:spacing w:val="-68"/>
        </w:rPr>
        <w:t> </w:t>
      </w:r>
      <w:r>
        <w:rPr>
          <w:spacing w:val="-68"/>
        </w:rPr>
      </w:r>
      <w:r>
        <w:rPr>
          <w:spacing w:val="-2"/>
        </w:rPr>
        <w:t>约定的价值确定实际成本，但合同或协议约定价值不公允的，按公允价值确定实际成本；对非同一控</w:t>
      </w:r>
      <w:r>
        <w:rPr>
          <w:spacing w:val="-67"/>
        </w:rPr>
        <w:t> </w:t>
      </w:r>
      <w:r>
        <w:rPr>
          <w:spacing w:val="-67"/>
        </w:rPr>
      </w:r>
      <w:r>
        <w:rPr>
          <w:spacing w:val="-2"/>
        </w:rPr>
        <w:t>制下合并中取得被购买方拥有的但在其财务报表中未确认的无形资产，在对被购买方资产进行初始确</w:t>
      </w:r>
      <w:r>
        <w:rPr>
          <w:spacing w:val="-73"/>
        </w:rPr>
        <w:t> </w:t>
      </w:r>
      <w:r>
        <w:rPr>
          <w:spacing w:val="-73"/>
        </w:rPr>
      </w:r>
      <w:r>
        <w:rPr/>
        <w:t>认时，按公允价值确认为无形资产。</w:t>
      </w:r>
    </w:p>
    <w:p>
      <w:pPr>
        <w:pStyle w:val="BodyText"/>
        <w:spacing w:line="333" w:lineRule="auto" w:before="65"/>
        <w:ind w:right="0" w:firstLine="439"/>
        <w:jc w:val="left"/>
      </w:pPr>
      <w:r>
        <w:rPr>
          <w:spacing w:val="-5"/>
        </w:rPr>
        <w:t>无形资产由于无法预见其为本公司带来经济利益期限，因此其使用寿命不确定。在每个会计期间，</w:t>
      </w:r>
      <w:r>
        <w:rPr>
          <w:w w:val="100"/>
        </w:rPr>
        <w:t> </w:t>
      </w:r>
      <w:r>
        <w:rPr/>
        <w:t>本公司对使用寿命不确定的无形资产的预计使用寿命进行复核。</w:t>
      </w:r>
    </w:p>
    <w:p>
      <w:pPr>
        <w:pStyle w:val="BodyText"/>
        <w:spacing w:line="240" w:lineRule="auto" w:before="66"/>
        <w:ind w:left="592" w:right="1133"/>
        <w:jc w:val="left"/>
      </w:pPr>
      <w:r>
        <w:rPr/>
        <w:t>本公司内部研究开发项目的支出分为研究阶段支出与开发阶段支出。</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367" w:lineRule="auto" w:before="173"/>
        <w:ind w:left="592" w:right="1133"/>
        <w:jc w:val="left"/>
      </w:pPr>
      <w:r>
        <w:rPr/>
        <w:t>研究阶段的支出，于发生时计入当期损益。</w:t>
      </w:r>
      <w:r>
        <w:rPr>
          <w:w w:val="100"/>
        </w:rPr>
        <w:t> </w:t>
      </w:r>
      <w:r>
        <w:rPr>
          <w:spacing w:val="-2"/>
        </w:rPr>
        <w:t>开发阶段的支出同时满足下列条件的，确认为无形资产，不能满足下述条件的开发阶段的支出计</w:t>
      </w:r>
    </w:p>
    <w:p>
      <w:pPr>
        <w:pStyle w:val="BodyText"/>
        <w:spacing w:line="284" w:lineRule="exact"/>
        <w:ind w:right="1133"/>
        <w:jc w:val="left"/>
      </w:pPr>
      <w:r>
        <w:rPr/>
        <w:t>入当期损益：</w:t>
      </w:r>
    </w:p>
    <w:p>
      <w:pPr>
        <w:pStyle w:val="BodyText"/>
        <w:spacing w:line="240" w:lineRule="auto" w:before="151"/>
        <w:ind w:left="592" w:right="1133"/>
        <w:jc w:val="left"/>
      </w:pPr>
      <w:r>
        <w:rPr/>
        <w:t>①完成该无形资产以使其能够使用或出售在技术上具有可行性；</w:t>
      </w:r>
    </w:p>
    <w:p>
      <w:pPr>
        <w:pStyle w:val="BodyText"/>
        <w:spacing w:line="240" w:lineRule="auto" w:before="153"/>
        <w:ind w:left="592" w:right="1133"/>
        <w:jc w:val="left"/>
      </w:pPr>
      <w:r>
        <w:rPr/>
        <w:t>②具有完成该无形资产并使用或出售的意图；</w:t>
      </w:r>
    </w:p>
    <w:p>
      <w:pPr>
        <w:pStyle w:val="BodyText"/>
        <w:spacing w:line="333" w:lineRule="auto" w:before="151"/>
        <w:ind w:right="1133" w:firstLine="439"/>
        <w:jc w:val="both"/>
      </w:pPr>
      <w:r>
        <w:rPr>
          <w:spacing w:val="-2"/>
        </w:rPr>
        <w:t>③无形资产产生经济利益的方式，包括能够证明运用该无形资产生产的产品存在市场或无形资产</w:t>
      </w:r>
      <w:r>
        <w:rPr>
          <w:w w:val="100"/>
        </w:rPr>
        <w:t> </w:t>
      </w:r>
      <w:r>
        <w:rPr/>
        <w:t>自身存在市场，无形资产将在内部使用的，能够证明其有用性；</w:t>
      </w:r>
    </w:p>
    <w:p>
      <w:pPr>
        <w:pStyle w:val="BodyText"/>
        <w:spacing w:line="333" w:lineRule="auto" w:before="65"/>
        <w:ind w:right="1128" w:firstLine="439"/>
        <w:jc w:val="both"/>
      </w:pPr>
      <w:r>
        <w:rPr>
          <w:spacing w:val="-2"/>
        </w:rPr>
        <w:t>④有足够的技术、财务资源和其他资源支持，以完成该无形资产的开发，并有能力使用或出售该</w:t>
      </w:r>
      <w:r>
        <w:rPr>
          <w:w w:val="100"/>
        </w:rPr>
        <w:t> </w:t>
      </w:r>
      <w:r>
        <w:rPr/>
        <w:t>无形资产；</w:t>
      </w:r>
    </w:p>
    <w:p>
      <w:pPr>
        <w:pStyle w:val="BodyText"/>
        <w:tabs>
          <w:tab w:pos="1410" w:val="left" w:leader="none"/>
        </w:tabs>
        <w:spacing w:line="367" w:lineRule="auto" w:before="65"/>
        <w:ind w:left="592" w:right="2412"/>
        <w:jc w:val="left"/>
        <w:rPr>
          <w:rFonts w:ascii="宋体" w:hAnsi="宋体" w:cs="宋体" w:eastAsia="宋体" w:hint="default"/>
        </w:rPr>
      </w:pPr>
      <w:r>
        <w:rPr/>
        <w:t>⑤归属于该无形资产开发阶段的支出能够可靠地计量。</w:t>
      </w:r>
      <w:r>
        <w:rPr>
          <w:w w:val="100"/>
        </w:rPr>
        <w:t> </w:t>
      </w:r>
      <w:r>
        <w:rPr>
          <w:spacing w:val="-1"/>
        </w:rPr>
        <w:t>无法区分研究阶段支出和开发阶段支出的，将发生的研发支出全部计入当期损益。</w:t>
      </w:r>
      <w:r>
        <w:rPr>
          <w:spacing w:val="-82"/>
        </w:rPr>
        <w:t> </w:t>
      </w:r>
      <w:r>
        <w:rPr>
          <w:spacing w:val="-82"/>
        </w:rPr>
      </w:r>
      <w:r>
        <w:rPr>
          <w:rFonts w:ascii="Arial" w:hAnsi="Arial" w:cs="Arial" w:eastAsia="Arial" w:hint="default"/>
          <w:b/>
          <w:bCs/>
          <w:spacing w:val="-1"/>
        </w:rPr>
        <w:t>21</w:t>
      </w:r>
      <w:r>
        <w:rPr>
          <w:rFonts w:ascii="宋体" w:hAnsi="宋体" w:cs="宋体" w:eastAsia="宋体" w:hint="default"/>
          <w:b/>
          <w:bCs/>
          <w:spacing w:val="-1"/>
        </w:rPr>
        <w:t>、</w:t>
        <w:tab/>
      </w:r>
      <w:r>
        <w:rPr>
          <w:rFonts w:ascii="宋体" w:hAnsi="宋体" w:cs="宋体" w:eastAsia="宋体" w:hint="default"/>
          <w:b/>
          <w:bCs/>
        </w:rPr>
        <w:t>长期资产减值</w:t>
      </w:r>
      <w:r>
        <w:rPr>
          <w:rFonts w:ascii="宋体" w:hAnsi="宋体" w:cs="宋体" w:eastAsia="宋体" w:hint="default"/>
        </w:rPr>
      </w:r>
    </w:p>
    <w:p>
      <w:pPr>
        <w:pStyle w:val="BodyText"/>
        <w:spacing w:line="333" w:lineRule="auto" w:before="5"/>
        <w:ind w:right="1129" w:firstLine="439"/>
        <w:jc w:val="both"/>
      </w:pPr>
      <w:r>
        <w:rPr>
          <w:spacing w:val="-2"/>
        </w:rPr>
        <w:t>本公司于每一资产负债表日对长期股权投资、采用成本模式计量的投资性房地产、固定资产、在</w:t>
      </w:r>
      <w:r>
        <w:rPr>
          <w:w w:val="100"/>
        </w:rPr>
        <w:t> </w:t>
      </w:r>
      <w:r>
        <w:rPr>
          <w:spacing w:val="-2"/>
        </w:rPr>
        <w:t>建工程、使用寿命有限的无形资产等项目进行检查，当存在减值迹象时，本公司进行减值测试。对商</w:t>
      </w:r>
      <w:r>
        <w:rPr>
          <w:spacing w:val="-70"/>
        </w:rPr>
        <w:t> </w:t>
      </w:r>
      <w:r>
        <w:rPr>
          <w:spacing w:val="-70"/>
        </w:rPr>
      </w:r>
      <w:r>
        <w:rPr/>
        <w:t>誉和使用寿命不确定的无形资产，无论是否存在减值迹象，每年末均进行减值测试。</w:t>
      </w:r>
    </w:p>
    <w:p>
      <w:pPr>
        <w:pStyle w:val="BodyText"/>
        <w:spacing w:line="333" w:lineRule="auto" w:before="68"/>
        <w:ind w:right="0" w:firstLine="439"/>
        <w:jc w:val="left"/>
      </w:pPr>
      <w:r>
        <w:rPr>
          <w:spacing w:val="2"/>
        </w:rPr>
        <w:t>减值测试结果表明资产的可收回金额低于其账面价值的，按其差额计提减值准备并计入减值损</w:t>
      </w:r>
      <w:r>
        <w:rPr>
          <w:w w:val="100"/>
        </w:rPr>
        <w:t> </w:t>
      </w:r>
      <w:r>
        <w:rPr>
          <w:spacing w:val="-2"/>
        </w:rPr>
        <w:t>失。可收回金额为资产的公允价值减去处置费用后的净额与资产预计未来现金流量的现值两者之间的</w:t>
      </w:r>
      <w:r>
        <w:rPr>
          <w:spacing w:val="-70"/>
        </w:rPr>
        <w:t> </w:t>
      </w:r>
      <w:r>
        <w:rPr>
          <w:spacing w:val="-70"/>
        </w:rPr>
      </w:r>
      <w:r>
        <w:rPr>
          <w:spacing w:val="-5"/>
        </w:rPr>
        <w:t>较高者。资产的公允价值根据公平交易中销售协议价格确定；不存在销售协议但存在资产活跃市场的，</w:t>
      </w:r>
      <w:r>
        <w:rPr>
          <w:spacing w:val="-45"/>
        </w:rPr>
        <w:t> </w:t>
      </w:r>
      <w:r>
        <w:rPr>
          <w:spacing w:val="-45"/>
        </w:rPr>
      </w:r>
      <w:r>
        <w:rPr>
          <w:spacing w:val="-2"/>
        </w:rPr>
        <w:t>公允价值按照该资产的买方出价确定；不存在销售协议和资产活跃市场的，则以可获取的最佳信息为</w:t>
      </w:r>
      <w:r>
        <w:rPr>
          <w:spacing w:val="-70"/>
        </w:rPr>
        <w:t> </w:t>
      </w:r>
      <w:r>
        <w:rPr>
          <w:spacing w:val="-70"/>
        </w:rPr>
      </w:r>
      <w:r>
        <w:rPr>
          <w:spacing w:val="-2"/>
        </w:rPr>
        <w:t>基础估计资产的公允价值。处置费用包括与资产处置有关的法律费用、相关税费、搬运费以及为使资</w:t>
      </w:r>
      <w:r>
        <w:rPr>
          <w:spacing w:val="-68"/>
        </w:rPr>
        <w:t> </w:t>
      </w:r>
      <w:r>
        <w:rPr>
          <w:spacing w:val="-68"/>
        </w:rPr>
      </w:r>
      <w:r>
        <w:rPr>
          <w:spacing w:val="-2"/>
        </w:rPr>
        <w:t>产达到可销售状态所发生的直接费用。资产预计未来现金流量的现值，按照资产在持续使用过程中和</w:t>
      </w:r>
      <w:r>
        <w:rPr>
          <w:spacing w:val="-70"/>
        </w:rPr>
        <w:t> </w:t>
      </w:r>
      <w:r>
        <w:rPr>
          <w:spacing w:val="-70"/>
        </w:rPr>
      </w:r>
      <w:r>
        <w:rPr>
          <w:spacing w:val="-2"/>
        </w:rPr>
        <w:t>最终处置时所产生的预计未来现金流量，选择恰当的折现率对其进行折现后的金额加以确定。资产减</w:t>
      </w:r>
      <w:r>
        <w:rPr>
          <w:spacing w:val="-70"/>
        </w:rPr>
        <w:t> </w:t>
      </w:r>
      <w:r>
        <w:rPr>
          <w:spacing w:val="-70"/>
        </w:rPr>
      </w:r>
      <w:r>
        <w:rPr>
          <w:spacing w:val="-2"/>
        </w:rPr>
        <w:t>值准备按单项资产为基础计算并确认，如果难以对单项资产的可收回金额进行估计的，以该资产所属</w:t>
      </w:r>
      <w:r>
        <w:rPr>
          <w:spacing w:val="-69"/>
        </w:rPr>
        <w:t> </w:t>
      </w:r>
      <w:r>
        <w:rPr>
          <w:spacing w:val="-69"/>
        </w:rPr>
      </w:r>
      <w:r>
        <w:rPr/>
        <w:t>的资产组确定资产组的可收回金额。资产组是能够独立产生现金流入的最小资产组合。</w:t>
      </w:r>
    </w:p>
    <w:p>
      <w:pPr>
        <w:pStyle w:val="BodyText"/>
        <w:spacing w:line="333" w:lineRule="auto" w:before="27"/>
        <w:ind w:right="1090" w:firstLine="439"/>
        <w:jc w:val="both"/>
      </w:pPr>
      <w:r>
        <w:rPr>
          <w:spacing w:val="-2"/>
        </w:rPr>
        <w:t>在财务报表中单独列示的商誉，在进行减值测试时，将商誉的账面价值分摊至预期从企业合并的</w:t>
      </w:r>
      <w:r>
        <w:rPr>
          <w:w w:val="100"/>
        </w:rPr>
        <w:t> </w:t>
      </w:r>
      <w:r>
        <w:rPr>
          <w:spacing w:val="-2"/>
        </w:rPr>
        <w:t>协同效应中受益的资产组或资产组组合。测试结果表明包含分摊的商誉的资产组或资产组组合的可收</w:t>
      </w:r>
      <w:r>
        <w:rPr>
          <w:spacing w:val="-73"/>
        </w:rPr>
        <w:t> </w:t>
      </w:r>
      <w:r>
        <w:rPr>
          <w:spacing w:val="-73"/>
        </w:rPr>
      </w:r>
      <w:r>
        <w:rPr>
          <w:spacing w:val="-2"/>
        </w:rPr>
        <w:t>回金额低于其账面价值的，确认相应的减值损失。减值损失金额先抵减分摊至该资产组或资产组组合</w:t>
      </w:r>
      <w:r>
        <w:rPr>
          <w:spacing w:val="-73"/>
        </w:rPr>
        <w:t> </w:t>
      </w:r>
      <w:r>
        <w:rPr>
          <w:spacing w:val="-73"/>
        </w:rPr>
      </w:r>
      <w:r>
        <w:rPr>
          <w:spacing w:val="-1"/>
        </w:rPr>
        <w:t>的商誉的账面价值，再根据资产组或资产组组合中除商誉以外的其他各项资产的账面价值所占比重，</w:t>
      </w:r>
      <w:r>
        <w:rPr>
          <w:spacing w:val="-73"/>
        </w:rPr>
        <w:t> </w:t>
      </w:r>
      <w:r>
        <w:rPr>
          <w:spacing w:val="-73"/>
        </w:rPr>
      </w:r>
      <w:r>
        <w:rPr/>
        <w:t>按比例抵减其他各项资产的账面价值。</w:t>
      </w:r>
    </w:p>
    <w:p>
      <w:pPr>
        <w:pStyle w:val="BodyText"/>
        <w:spacing w:line="333" w:lineRule="auto" w:before="27"/>
        <w:ind w:right="1129" w:firstLine="439"/>
        <w:jc w:val="both"/>
      </w:pPr>
      <w:r>
        <w:rPr>
          <w:spacing w:val="-2"/>
        </w:rPr>
        <w:t>减值测试后，若该资产的账面价值超过其可收回金额，其差额确认为减值损失，上述资产的减值</w:t>
      </w:r>
      <w:r>
        <w:rPr>
          <w:w w:val="100"/>
        </w:rPr>
        <w:t> </w:t>
      </w:r>
      <w:r>
        <w:rPr/>
        <w:t>损失一经确认，在以后会计期间不予转回。</w:t>
      </w:r>
    </w:p>
    <w:p>
      <w:pPr>
        <w:tabs>
          <w:tab w:pos="1413" w:val="left" w:leader="none"/>
        </w:tabs>
        <w:spacing w:line="350" w:lineRule="auto" w:before="24"/>
        <w:ind w:left="592" w:right="1142" w:firstLine="2"/>
        <w:jc w:val="left"/>
        <w:rPr>
          <w:rFonts w:ascii="宋体" w:hAnsi="宋体" w:cs="宋体" w:eastAsia="宋体" w:hint="default"/>
          <w:sz w:val="22"/>
          <w:szCs w:val="22"/>
        </w:rPr>
      </w:pPr>
      <w:r>
        <w:rPr>
          <w:rFonts w:ascii="Arial" w:hAnsi="Arial" w:cs="Arial" w:eastAsia="Arial" w:hint="default"/>
          <w:b/>
          <w:bCs/>
          <w:spacing w:val="-1"/>
          <w:sz w:val="22"/>
          <w:szCs w:val="22"/>
        </w:rPr>
        <w:t>22</w:t>
      </w:r>
      <w:r>
        <w:rPr>
          <w:rFonts w:ascii="宋体" w:hAnsi="宋体" w:cs="宋体" w:eastAsia="宋体" w:hint="default"/>
          <w:b/>
          <w:bCs/>
          <w:spacing w:val="-1"/>
          <w:sz w:val="22"/>
          <w:szCs w:val="22"/>
        </w:rPr>
        <w:t>、</w:t>
        <w:tab/>
      </w:r>
      <w:r>
        <w:rPr>
          <w:rFonts w:ascii="宋体" w:hAnsi="宋体" w:cs="宋体" w:eastAsia="宋体" w:hint="default"/>
          <w:b/>
          <w:bCs/>
          <w:sz w:val="22"/>
          <w:szCs w:val="22"/>
        </w:rPr>
        <w:t>长期待摊费用</w:t>
      </w:r>
      <w:r>
        <w:rPr>
          <w:rFonts w:ascii="宋体" w:hAnsi="宋体" w:cs="宋体" w:eastAsia="宋体" w:hint="default"/>
          <w:b/>
          <w:bCs/>
          <w:w w:val="99"/>
          <w:sz w:val="22"/>
          <w:szCs w:val="22"/>
        </w:rPr>
        <w:t> </w:t>
      </w:r>
      <w:r>
        <w:rPr>
          <w:rFonts w:ascii="宋体" w:hAnsi="宋体" w:cs="宋体" w:eastAsia="宋体" w:hint="default"/>
          <w:spacing w:val="2"/>
          <w:sz w:val="22"/>
          <w:szCs w:val="22"/>
        </w:rPr>
        <w:t>本公司的长期待摊费用包括为已经发生但应由报告期和以后各期负担的分摊期限在一年以上的</w:t>
      </w:r>
    </w:p>
    <w:p>
      <w:pPr>
        <w:spacing w:after="0" w:line="350" w:lineRule="auto"/>
        <w:jc w:val="left"/>
        <w:rPr>
          <w:rFonts w:ascii="宋体" w:hAnsi="宋体" w:cs="宋体" w:eastAsia="宋体" w:hint="default"/>
          <w:sz w:val="22"/>
          <w:szCs w:val="22"/>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333" w:lineRule="auto" w:before="173"/>
        <w:ind w:right="1133"/>
        <w:jc w:val="left"/>
      </w:pPr>
      <w:r>
        <w:rPr>
          <w:spacing w:val="-2"/>
        </w:rPr>
        <w:t>各项费用。该等费用在受益期内平均摊销，如果长期待摊费用项目不能使以后会计期间受益，则将尚</w:t>
      </w:r>
      <w:r>
        <w:rPr>
          <w:spacing w:val="-65"/>
        </w:rPr>
        <w:t> </w:t>
      </w:r>
      <w:r>
        <w:rPr>
          <w:spacing w:val="-65"/>
        </w:rPr>
      </w:r>
      <w:r>
        <w:rPr/>
        <w:t>未摊销的该项目的摊余价值全部转入当期损益。</w:t>
      </w:r>
    </w:p>
    <w:p>
      <w:pPr>
        <w:tabs>
          <w:tab w:pos="1413" w:val="left" w:leader="none"/>
        </w:tabs>
        <w:spacing w:line="348" w:lineRule="auto" w:before="65"/>
        <w:ind w:left="592" w:right="3290" w:firstLine="2"/>
        <w:jc w:val="left"/>
        <w:rPr>
          <w:rFonts w:ascii="宋体" w:hAnsi="宋体" w:cs="宋体" w:eastAsia="宋体" w:hint="default"/>
          <w:sz w:val="22"/>
          <w:szCs w:val="22"/>
        </w:rPr>
      </w:pPr>
      <w:r>
        <w:rPr>
          <w:rFonts w:ascii="Arial" w:hAnsi="Arial" w:cs="Arial" w:eastAsia="Arial" w:hint="default"/>
          <w:b/>
          <w:bCs/>
          <w:spacing w:val="-1"/>
          <w:sz w:val="22"/>
          <w:szCs w:val="22"/>
        </w:rPr>
        <w:t>23</w:t>
      </w:r>
      <w:r>
        <w:rPr>
          <w:rFonts w:ascii="宋体" w:hAnsi="宋体" w:cs="宋体" w:eastAsia="宋体" w:hint="default"/>
          <w:b/>
          <w:bCs/>
          <w:spacing w:val="-1"/>
          <w:sz w:val="22"/>
          <w:szCs w:val="22"/>
        </w:rPr>
        <w:t>、</w:t>
        <w:tab/>
      </w:r>
      <w:r>
        <w:rPr>
          <w:rFonts w:ascii="宋体" w:hAnsi="宋体" w:cs="宋体" w:eastAsia="宋体" w:hint="default"/>
          <w:b/>
          <w:bCs/>
          <w:sz w:val="22"/>
          <w:szCs w:val="22"/>
        </w:rPr>
        <w:t>职工薪酬</w:t>
      </w:r>
      <w:r>
        <w:rPr>
          <w:rFonts w:ascii="宋体" w:hAnsi="宋体" w:cs="宋体" w:eastAsia="宋体" w:hint="default"/>
          <w:b/>
          <w:bCs/>
          <w:w w:val="99"/>
          <w:sz w:val="22"/>
          <w:szCs w:val="22"/>
        </w:rPr>
        <w:t> </w:t>
      </w:r>
      <w:r>
        <w:rPr>
          <w:rFonts w:ascii="宋体" w:hAnsi="宋体" w:cs="宋体" w:eastAsia="宋体" w:hint="default"/>
          <w:spacing w:val="-1"/>
          <w:sz w:val="22"/>
          <w:szCs w:val="22"/>
        </w:rPr>
        <w:t>本公司职工薪酬包括短期薪酬、离职后福利、辞退福利和其他长期福利。</w:t>
      </w:r>
    </w:p>
    <w:p>
      <w:pPr>
        <w:pStyle w:val="BodyText"/>
        <w:spacing w:line="333" w:lineRule="auto" w:before="52"/>
        <w:ind w:right="1130" w:firstLine="439"/>
        <w:jc w:val="both"/>
      </w:pPr>
      <w:r>
        <w:rPr>
          <w:spacing w:val="-3"/>
        </w:rPr>
        <w:t>短期薪酬主要包括职工工资、奖金、津贴和补贴、职工福利费、医疗保险费、生育保险费、工伤</w:t>
      </w:r>
      <w:r>
        <w:rPr>
          <w:w w:val="100"/>
        </w:rPr>
        <w:t> </w:t>
      </w:r>
      <w:r>
        <w:rPr>
          <w:spacing w:val="-2"/>
        </w:rPr>
        <w:t>保险费、住房公积金、工会经费和职工教育经费、非货币性福利等，在职工提供服务的会计期间，将</w:t>
      </w:r>
      <w:r>
        <w:rPr>
          <w:spacing w:val="-71"/>
        </w:rPr>
        <w:t> </w:t>
      </w:r>
      <w:r>
        <w:rPr>
          <w:spacing w:val="-71"/>
        </w:rPr>
      </w:r>
      <w:r>
        <w:rPr/>
        <w:t>实际发生的短期薪酬确认为负债，并按照受益对象计入当期损益或相关资产成本。</w:t>
      </w:r>
    </w:p>
    <w:p>
      <w:pPr>
        <w:pStyle w:val="BodyText"/>
        <w:spacing w:line="326" w:lineRule="auto" w:before="65"/>
        <w:ind w:right="1130" w:firstLine="439"/>
        <w:jc w:val="both"/>
      </w:pPr>
      <w:r>
        <w:rPr>
          <w:spacing w:val="-2"/>
        </w:rPr>
        <w:t>离职后福利主要包括基本养老保险费、失业保险以及年金等，按照公司承担的风险和义务，分类</w:t>
      </w:r>
      <w:r>
        <w:rPr>
          <w:w w:val="100"/>
        </w:rPr>
        <w:t> </w:t>
      </w:r>
      <w:r>
        <w:rPr>
          <w:spacing w:val="-2"/>
        </w:rPr>
        <w:t>为设定提存计划</w:t>
      </w:r>
      <w:r>
        <w:rPr>
          <w:rFonts w:ascii="宋体" w:hAnsi="宋体" w:cs="宋体" w:eastAsia="宋体" w:hint="default"/>
          <w:i/>
          <w:spacing w:val="-2"/>
          <w:sz w:val="23"/>
          <w:szCs w:val="23"/>
        </w:rPr>
        <w:t>。</w:t>
      </w:r>
      <w:r>
        <w:rPr>
          <w:spacing w:val="-2"/>
        </w:rPr>
        <w:t>对于设定提存计划在根据在资产负债表日为换取职工在会计期间提供的服务而向单</w:t>
      </w:r>
      <w:r>
        <w:rPr>
          <w:spacing w:val="-83"/>
        </w:rPr>
        <w:t> </w:t>
      </w:r>
      <w:r>
        <w:rPr>
          <w:spacing w:val="-83"/>
        </w:rPr>
      </w:r>
      <w:r>
        <w:rPr/>
        <w:t>独主体缴存的提存金确认为负债，并按照受益对象计入当期损益或相关资产成本。</w:t>
      </w:r>
    </w:p>
    <w:p>
      <w:pPr>
        <w:pStyle w:val="BodyText"/>
        <w:spacing w:line="333" w:lineRule="auto" w:before="72"/>
        <w:ind w:right="1020" w:firstLine="439"/>
        <w:jc w:val="right"/>
      </w:pPr>
      <w:r>
        <w:rPr>
          <w:spacing w:val="-2"/>
        </w:rPr>
        <w:t>在职工劳动合同到期之前解除与职工的劳动关系，或为鼓励职工自愿接受裁减而提出给予补偿的</w:t>
      </w:r>
      <w:r>
        <w:rPr>
          <w:w w:val="100"/>
        </w:rPr>
        <w:t> </w:t>
      </w:r>
      <w:r>
        <w:rPr>
          <w:spacing w:val="-2"/>
        </w:rPr>
        <w:t>建议，在本公司不能单方面撤回因解除劳动关系计划或裁减建议所提供的辞退福利时，和本公司确认</w:t>
      </w:r>
      <w:r>
        <w:rPr>
          <w:w w:val="100"/>
        </w:rPr>
        <w:t> </w:t>
      </w:r>
      <w:r>
        <w:rPr>
          <w:spacing w:val="-2"/>
        </w:rPr>
        <w:t>与涉及支付辞退福利的重组相关的成本两者孰早日，确认辞退福利产生的职工薪酬负债，并计入当期</w:t>
      </w:r>
      <w:r>
        <w:rPr>
          <w:w w:val="100"/>
        </w:rPr>
        <w:t> </w:t>
      </w:r>
      <w:r>
        <w:rPr>
          <w:spacing w:val="-1"/>
        </w:rPr>
        <w:t>损益。但辞退福利预期在年度报告期结束后十二个月不能完全支付的，按照其他长期职工薪酬处理。</w:t>
      </w:r>
    </w:p>
    <w:p>
      <w:pPr>
        <w:pStyle w:val="BodyText"/>
        <w:spacing w:line="333" w:lineRule="auto" w:before="65"/>
        <w:ind w:right="0" w:firstLine="439"/>
        <w:jc w:val="left"/>
      </w:pPr>
      <w:r>
        <w:rPr>
          <w:spacing w:val="-5"/>
        </w:rPr>
        <w:t>本公司向职工提供的其他长期职工福利，符合设定提存计划的，按照设定提存计划进行会计处理，</w:t>
      </w:r>
      <w:r>
        <w:rPr>
          <w:w w:val="100"/>
        </w:rPr>
        <w:t> </w:t>
      </w:r>
      <w:r>
        <w:rPr/>
        <w:t>除此之外按照设定受益计划进行会计处理。</w:t>
      </w:r>
    </w:p>
    <w:p>
      <w:pPr>
        <w:pStyle w:val="Heading4"/>
        <w:tabs>
          <w:tab w:pos="1413" w:val="left" w:leader="none"/>
        </w:tabs>
        <w:spacing w:line="240" w:lineRule="auto" w:before="66"/>
        <w:ind w:right="1133"/>
        <w:jc w:val="left"/>
        <w:rPr>
          <w:b w:val="0"/>
          <w:bCs w:val="0"/>
        </w:rPr>
      </w:pPr>
      <w:r>
        <w:rPr>
          <w:rFonts w:ascii="Arial" w:hAnsi="Arial" w:cs="Arial" w:eastAsia="Arial" w:hint="default"/>
          <w:spacing w:val="-1"/>
        </w:rPr>
        <w:t>24</w:t>
      </w:r>
      <w:r>
        <w:rPr>
          <w:spacing w:val="-1"/>
        </w:rPr>
        <w:t>、</w:t>
        <w:tab/>
      </w:r>
      <w:r>
        <w:rPr/>
        <w:t>收入确认原则和计量方法</w:t>
      </w:r>
      <w:r>
        <w:rPr>
          <w:b w:val="0"/>
          <w:bCs w:val="0"/>
        </w:rPr>
      </w:r>
    </w:p>
    <w:p>
      <w:pPr>
        <w:pStyle w:val="BodyText"/>
        <w:spacing w:line="357" w:lineRule="auto" w:before="138"/>
        <w:ind w:left="592" w:right="4997"/>
        <w:jc w:val="left"/>
      </w:pPr>
      <w:r>
        <w:rPr/>
        <w:t>（</w:t>
      </w:r>
      <w:r>
        <w:rPr>
          <w:rFonts w:ascii="Arial" w:hAnsi="Arial" w:cs="Arial" w:eastAsia="Arial" w:hint="default"/>
        </w:rPr>
        <w:t>1</w:t>
      </w:r>
      <w:r>
        <w:rPr/>
        <w:t>）建造合同</w:t>
      </w:r>
      <w:r>
        <w:rPr>
          <w:w w:val="100"/>
        </w:rPr>
        <w:t> </w:t>
      </w:r>
      <w:r>
        <w:rPr>
          <w:spacing w:val="-1"/>
        </w:rPr>
        <w:t>建造合同的收入及成本，按以下原则予以确认：</w:t>
      </w:r>
      <w:r>
        <w:rPr>
          <w:spacing w:val="-91"/>
        </w:rPr>
        <w:t> </w:t>
      </w:r>
      <w:r>
        <w:rPr>
          <w:spacing w:val="-91"/>
        </w:rPr>
      </w:r>
      <w:r>
        <w:rPr>
          <w:rFonts w:ascii="Arial" w:hAnsi="Arial" w:cs="Arial" w:eastAsia="Arial" w:hint="default"/>
        </w:rPr>
        <w:t>A</w:t>
      </w:r>
      <w:r>
        <w:rPr/>
        <w:t>、合同的结果能够可靠的估计</w:t>
      </w:r>
    </w:p>
    <w:p>
      <w:pPr>
        <w:pStyle w:val="BodyText"/>
        <w:spacing w:line="331" w:lineRule="auto" w:before="17"/>
        <w:ind w:right="1132" w:firstLine="439"/>
        <w:jc w:val="both"/>
      </w:pPr>
      <w:r>
        <w:rPr>
          <w:spacing w:val="-2"/>
        </w:rPr>
        <w:t>合同的结果能够可靠的估计时，按完工百分比法在资产负债日确认合同收入和费用，完工进度的</w:t>
      </w:r>
      <w:r>
        <w:rPr>
          <w:w w:val="100"/>
        </w:rPr>
        <w:t> </w:t>
      </w:r>
      <w:r>
        <w:rPr/>
        <w:t>确定采用已经完成的合同工作量占合同预计总工作量的比例确认。</w:t>
      </w:r>
    </w:p>
    <w:p>
      <w:pPr>
        <w:pStyle w:val="BodyText"/>
        <w:spacing w:line="367" w:lineRule="auto" w:before="70"/>
        <w:ind w:left="592" w:right="0"/>
        <w:jc w:val="left"/>
      </w:pPr>
      <w:r>
        <w:rPr/>
        <w:t>工程施工营业收入具体确认方法是：</w:t>
      </w:r>
      <w:r>
        <w:rPr>
          <w:w w:val="100"/>
        </w:rPr>
        <w:t> </w:t>
      </w:r>
      <w:r>
        <w:rPr>
          <w:spacing w:val="-1"/>
        </w:rPr>
        <w:t>公司首先按照项目合同所确定的总造价作为公司在该项目实施过程中可实现的合同收入的总额；</w:t>
      </w:r>
    </w:p>
    <w:p>
      <w:pPr>
        <w:pStyle w:val="BodyText"/>
        <w:spacing w:line="284" w:lineRule="exact"/>
        <w:ind w:right="1133"/>
        <w:jc w:val="left"/>
      </w:pPr>
      <w:r>
        <w:rPr/>
        <w:t>然后，根据完工百分比法确认每个会计期间实现的营业收入，其中：</w:t>
      </w:r>
    </w:p>
    <w:p>
      <w:pPr>
        <w:pStyle w:val="BodyText"/>
        <w:spacing w:line="333" w:lineRule="auto" w:before="151"/>
        <w:ind w:right="1133" w:firstLine="439"/>
        <w:jc w:val="both"/>
      </w:pPr>
      <w:r>
        <w:rPr>
          <w:spacing w:val="-2"/>
        </w:rPr>
        <w:t>①当期完成决算的工程项目，按决算收入减去以前会计年度累计已确认的收入后的余额作为当期</w:t>
      </w:r>
      <w:r>
        <w:rPr>
          <w:w w:val="100"/>
        </w:rPr>
        <w:t> </w:t>
      </w:r>
      <w:r>
        <w:rPr/>
        <w:t>收入。</w:t>
      </w:r>
    </w:p>
    <w:p>
      <w:pPr>
        <w:pStyle w:val="BodyText"/>
        <w:spacing w:line="333" w:lineRule="auto" w:before="65"/>
        <w:ind w:right="1133" w:firstLine="439"/>
        <w:jc w:val="both"/>
      </w:pPr>
      <w:r>
        <w:rPr>
          <w:spacing w:val="-2"/>
        </w:rPr>
        <w:t>②当期完工但暂未决算的工程项目，按合同总收入减去以前会计年度累计已确认的收入后的余额</w:t>
      </w:r>
      <w:r>
        <w:rPr>
          <w:w w:val="100"/>
        </w:rPr>
        <w:t> </w:t>
      </w:r>
      <w:r>
        <w:rPr/>
        <w:t>作为当期收入。若实际已收到的工程款超过合同总价，则按已实现的收款确认总收入。</w:t>
      </w:r>
    </w:p>
    <w:p>
      <w:pPr>
        <w:pStyle w:val="BodyText"/>
        <w:spacing w:line="240" w:lineRule="auto" w:before="65"/>
        <w:ind w:left="592" w:right="1133"/>
        <w:jc w:val="left"/>
      </w:pPr>
      <w:r>
        <w:rPr/>
        <w:t>③当期在建过程中的工程项目，在资产负债表日，按上述完工百分比确认营业收入。</w:t>
      </w:r>
    </w:p>
    <w:p>
      <w:pPr>
        <w:pStyle w:val="BodyText"/>
        <w:spacing w:line="350" w:lineRule="auto" w:before="151"/>
        <w:ind w:left="592" w:right="2654"/>
        <w:jc w:val="left"/>
      </w:pPr>
      <w:r>
        <w:rPr>
          <w:rFonts w:ascii="Arial" w:hAnsi="Arial" w:cs="Arial" w:eastAsia="Arial" w:hint="default"/>
        </w:rPr>
        <w:t>B</w:t>
      </w:r>
      <w:r>
        <w:rPr/>
        <w:t>、合同的结果不能可靠的估计</w:t>
      </w:r>
      <w:r>
        <w:rPr>
          <w:w w:val="100"/>
        </w:rPr>
        <w:t> </w:t>
      </w:r>
      <w:r>
        <w:rPr>
          <w:spacing w:val="-2"/>
        </w:rPr>
        <w:t>合同的结果不能可靠的估计时，则分以下情况处理：</w:t>
      </w:r>
    </w:p>
    <w:p>
      <w:pPr>
        <w:spacing w:after="0" w:line="35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333" w:lineRule="auto" w:before="173"/>
        <w:ind w:right="1133" w:firstLine="439"/>
        <w:jc w:val="left"/>
      </w:pPr>
      <w:r>
        <w:rPr>
          <w:spacing w:val="-2"/>
        </w:rPr>
        <w:t>①合同成本能够收回的，合同收入根据能够收回的实际合同成本予以确认，合同成本在发生的当</w:t>
      </w:r>
      <w:r>
        <w:rPr>
          <w:w w:val="100"/>
        </w:rPr>
        <w:t> </w:t>
      </w:r>
      <w:r>
        <w:rPr/>
        <w:t>期确认为费用；</w:t>
      </w:r>
    </w:p>
    <w:p>
      <w:pPr>
        <w:pStyle w:val="BodyText"/>
        <w:spacing w:line="352" w:lineRule="auto" w:before="65"/>
        <w:ind w:left="592" w:right="1133"/>
        <w:jc w:val="left"/>
      </w:pPr>
      <w:r>
        <w:rPr/>
        <w:t>②合同成本不能够收回的，在发生时即确认为费用，不确认收入。</w:t>
      </w:r>
      <w:r>
        <w:rPr>
          <w:w w:val="100"/>
        </w:rPr>
        <w:t> </w:t>
      </w:r>
      <w:r>
        <w:rPr>
          <w:rFonts w:ascii="Arial" w:hAnsi="Arial" w:cs="Arial" w:eastAsia="Arial" w:hint="default"/>
        </w:rPr>
        <w:t>C</w:t>
      </w:r>
      <w:r>
        <w:rPr/>
        <w:t>、在一个会计年度内完成的建造合同，在完成时确认合同收入和费用。</w:t>
      </w:r>
      <w:r>
        <w:rPr>
          <w:w w:val="100"/>
        </w:rPr>
        <w:t> </w:t>
      </w:r>
      <w:r>
        <w:rPr>
          <w:rFonts w:ascii="Arial" w:hAnsi="Arial" w:cs="Arial" w:eastAsia="Arial" w:hint="default"/>
        </w:rPr>
        <w:t>D</w:t>
      </w:r>
      <w:r>
        <w:rPr/>
        <w:t>、如果合同预计总成本超过合同预计总收入，则将预计损失确认为当期费用。</w:t>
      </w:r>
      <w:r>
        <w:rPr>
          <w:w w:val="100"/>
        </w:rPr>
        <w:t> </w:t>
      </w:r>
      <w:r>
        <w:rPr>
          <w:rFonts w:ascii="Arial" w:hAnsi="Arial" w:cs="Arial" w:eastAsia="Arial" w:hint="default"/>
        </w:rPr>
        <w:t>E</w:t>
      </w:r>
      <w:r>
        <w:rPr/>
        <w:t>、工程施工营业成本的确认方法</w:t>
      </w:r>
      <w:r>
        <w:rPr>
          <w:w w:val="100"/>
        </w:rPr>
        <w:t> </w:t>
      </w:r>
      <w:r>
        <w:rPr>
          <w:spacing w:val="-2"/>
        </w:rPr>
        <w:t>公司按照项目合同确定的预算总成本为该项目实施过程中本公司应确认的营业成本总额，然后根</w:t>
      </w:r>
    </w:p>
    <w:p>
      <w:pPr>
        <w:pStyle w:val="BodyText"/>
        <w:spacing w:line="240" w:lineRule="auto" w:before="9"/>
        <w:ind w:right="1133"/>
        <w:jc w:val="left"/>
      </w:pPr>
      <w:r>
        <w:rPr/>
        <w:t>据完工百分比确认每个会计期间实现的营业成本。</w:t>
      </w:r>
    </w:p>
    <w:p>
      <w:pPr>
        <w:pStyle w:val="BodyText"/>
        <w:spacing w:line="348" w:lineRule="auto" w:before="152"/>
        <w:ind w:left="592" w:right="4127"/>
        <w:jc w:val="left"/>
      </w:pPr>
      <w:r>
        <w:rPr/>
        <w:t>（</w:t>
      </w:r>
      <w:r>
        <w:rPr>
          <w:rFonts w:ascii="Arial" w:hAnsi="Arial" w:cs="Arial" w:eastAsia="Arial" w:hint="default"/>
        </w:rPr>
        <w:t>2</w:t>
      </w:r>
      <w:r>
        <w:rPr/>
        <w:t>） 销售商品</w:t>
      </w:r>
      <w:r>
        <w:rPr>
          <w:w w:val="100"/>
        </w:rPr>
        <w:t> </w:t>
      </w:r>
      <w:r>
        <w:rPr>
          <w:spacing w:val="-2"/>
        </w:rPr>
        <w:t>销售商品的收入，在下列条件均能满足时予以确认：</w:t>
      </w:r>
    </w:p>
    <w:p>
      <w:pPr>
        <w:pStyle w:val="BodyText"/>
        <w:spacing w:line="240" w:lineRule="auto" w:before="52"/>
        <w:ind w:left="592" w:right="1133"/>
        <w:jc w:val="left"/>
      </w:pPr>
      <w:r>
        <w:rPr/>
        <w:t>①已将商品所有权上的主要风险和报酬转移给购货方；</w:t>
      </w:r>
    </w:p>
    <w:p>
      <w:pPr>
        <w:pStyle w:val="BodyText"/>
        <w:spacing w:line="240" w:lineRule="auto" w:before="151"/>
        <w:ind w:left="592" w:right="1133"/>
        <w:jc w:val="left"/>
      </w:pPr>
      <w:r>
        <w:rPr/>
        <w:t>②既没有保留通常与所有权相联系的继续管理权，也没有对已售出的商品实施控制；</w:t>
      </w:r>
    </w:p>
    <w:p>
      <w:pPr>
        <w:pStyle w:val="BodyText"/>
        <w:spacing w:line="240" w:lineRule="auto" w:before="153"/>
        <w:ind w:left="592" w:right="1133"/>
        <w:jc w:val="left"/>
      </w:pPr>
      <w:r>
        <w:rPr/>
        <w:t>③收入的金额能够可靠地计量；</w:t>
      </w:r>
    </w:p>
    <w:p>
      <w:pPr>
        <w:pStyle w:val="BodyText"/>
        <w:spacing w:line="240" w:lineRule="auto" w:before="151"/>
        <w:ind w:left="592" w:right="1133"/>
        <w:jc w:val="left"/>
      </w:pPr>
      <w:r>
        <w:rPr/>
        <w:t>④与交易相关的经济利益能够流入公司；</w:t>
      </w:r>
    </w:p>
    <w:p>
      <w:pPr>
        <w:pStyle w:val="BodyText"/>
        <w:spacing w:line="240" w:lineRule="auto" w:before="151"/>
        <w:ind w:left="592" w:right="1133"/>
        <w:jc w:val="left"/>
      </w:pPr>
      <w:r>
        <w:rPr/>
        <w:t>⑤相关的收入和成本能够可靠的计量。</w:t>
      </w:r>
    </w:p>
    <w:p>
      <w:pPr>
        <w:pStyle w:val="BodyText"/>
        <w:spacing w:line="348" w:lineRule="auto" w:before="154"/>
        <w:ind w:left="592" w:right="5930"/>
        <w:jc w:val="left"/>
      </w:pPr>
      <w:r>
        <w:rPr/>
        <w:t>（</w:t>
      </w:r>
      <w:r>
        <w:rPr>
          <w:rFonts w:ascii="Arial" w:hAnsi="Arial" w:cs="Arial" w:eastAsia="Arial" w:hint="default"/>
        </w:rPr>
        <w:t>3</w:t>
      </w:r>
      <w:r>
        <w:rPr/>
        <w:t>） 提供劳务</w:t>
      </w:r>
      <w:r>
        <w:rPr>
          <w:w w:val="100"/>
        </w:rPr>
        <w:t> </w:t>
      </w:r>
      <w:r>
        <w:rPr>
          <w:spacing w:val="-1"/>
        </w:rPr>
        <w:t>对外提供劳务，其收入按以下方法确认：</w:t>
      </w:r>
    </w:p>
    <w:p>
      <w:pPr>
        <w:pStyle w:val="BodyText"/>
        <w:spacing w:line="240" w:lineRule="auto" w:before="52"/>
        <w:ind w:left="592" w:right="1133"/>
        <w:jc w:val="left"/>
      </w:pPr>
      <w:r>
        <w:rPr/>
        <w:t>①在同一会计年度内开始并完成的劳务，在完成劳务时确认收入；</w:t>
      </w:r>
    </w:p>
    <w:p>
      <w:pPr>
        <w:pStyle w:val="BodyText"/>
        <w:spacing w:line="331" w:lineRule="auto" w:before="153"/>
        <w:ind w:right="0" w:firstLine="439"/>
        <w:jc w:val="left"/>
      </w:pPr>
      <w:r>
        <w:rPr>
          <w:spacing w:val="-1"/>
        </w:rPr>
        <w:t>②如果劳务的开始和完成分属不同的会计年度，在提供劳务交易的结果能够可靠估计的情况下，</w:t>
      </w:r>
      <w:r>
        <w:rPr>
          <w:w w:val="100"/>
        </w:rPr>
        <w:t> </w:t>
      </w:r>
      <w:r>
        <w:rPr/>
        <w:t>在资产负债表日按完工百分比法确认相关的劳务收入。</w:t>
      </w:r>
    </w:p>
    <w:p>
      <w:pPr>
        <w:pStyle w:val="BodyText"/>
        <w:spacing w:line="348" w:lineRule="auto" w:before="70"/>
        <w:ind w:left="592" w:right="7248"/>
        <w:jc w:val="left"/>
      </w:pPr>
      <w:r>
        <w:rPr/>
        <w:t>（</w:t>
      </w:r>
      <w:r>
        <w:rPr>
          <w:rFonts w:ascii="Arial" w:hAnsi="Arial" w:cs="Arial" w:eastAsia="Arial" w:hint="default"/>
        </w:rPr>
        <w:t>4</w:t>
      </w:r>
      <w:r>
        <w:rPr/>
        <w:t>）让渡资产使用权</w:t>
      </w:r>
      <w:r>
        <w:rPr>
          <w:w w:val="100"/>
        </w:rPr>
        <w:t> </w:t>
      </w:r>
      <w:r>
        <w:rPr>
          <w:spacing w:val="-1"/>
        </w:rPr>
        <w:t>出租物业收入按如下方法确认：</w:t>
      </w:r>
    </w:p>
    <w:p>
      <w:pPr>
        <w:pStyle w:val="BodyText"/>
        <w:spacing w:line="240" w:lineRule="auto" w:before="52"/>
        <w:ind w:left="592" w:right="1133"/>
        <w:jc w:val="left"/>
      </w:pPr>
      <w:r>
        <w:rPr/>
        <w:t>①具有承租人认可的租赁合同、协议或其他结算通知书；</w:t>
      </w:r>
    </w:p>
    <w:p>
      <w:pPr>
        <w:pStyle w:val="BodyText"/>
        <w:spacing w:line="240" w:lineRule="auto" w:before="154"/>
        <w:ind w:left="592" w:right="1133"/>
        <w:jc w:val="left"/>
      </w:pPr>
      <w:r>
        <w:rPr/>
        <w:t>②履行了合同规定的义务，开具租赁发票且价款已经取得或确信可以取得；</w:t>
      </w:r>
    </w:p>
    <w:p>
      <w:pPr>
        <w:pStyle w:val="BodyText"/>
        <w:spacing w:line="240" w:lineRule="auto" w:before="151"/>
        <w:ind w:left="592" w:right="1133"/>
        <w:jc w:val="left"/>
      </w:pPr>
      <w:r>
        <w:rPr/>
        <w:t>③物业出租成本能够可靠地计量。</w:t>
      </w:r>
    </w:p>
    <w:p>
      <w:pPr>
        <w:pStyle w:val="BodyText"/>
        <w:tabs>
          <w:tab w:pos="1413" w:val="left" w:leader="none"/>
        </w:tabs>
        <w:spacing w:line="348" w:lineRule="auto" w:before="151"/>
        <w:ind w:left="592" w:right="1133" w:firstLine="2"/>
        <w:jc w:val="left"/>
      </w:pPr>
      <w:r>
        <w:rPr>
          <w:rFonts w:ascii="Arial" w:hAnsi="Arial" w:cs="Arial" w:eastAsia="Arial" w:hint="default"/>
          <w:b/>
          <w:bCs/>
          <w:spacing w:val="-1"/>
        </w:rPr>
        <w:t>25</w:t>
      </w:r>
      <w:r>
        <w:rPr>
          <w:rFonts w:ascii="宋体" w:hAnsi="宋体" w:cs="宋体" w:eastAsia="宋体" w:hint="default"/>
          <w:b/>
          <w:bCs/>
          <w:spacing w:val="-1"/>
        </w:rPr>
        <w:t>、</w:t>
        <w:tab/>
      </w:r>
      <w:r>
        <w:rPr>
          <w:rFonts w:ascii="宋体" w:hAnsi="宋体" w:cs="宋体" w:eastAsia="宋体" w:hint="default"/>
          <w:b/>
          <w:bCs/>
        </w:rPr>
        <w:t>政府补助</w:t>
      </w:r>
      <w:r>
        <w:rPr>
          <w:rFonts w:ascii="宋体" w:hAnsi="宋体" w:cs="宋体" w:eastAsia="宋体" w:hint="default"/>
          <w:b/>
          <w:bCs/>
          <w:w w:val="99"/>
        </w:rPr>
        <w:t> </w:t>
      </w:r>
      <w:r>
        <w:rPr>
          <w:spacing w:val="-2"/>
        </w:rPr>
        <w:t>本公司的政府补助包括资产相关的政府补助和与收益相关的政府补助。其中，与资产相关的政府</w:t>
      </w:r>
    </w:p>
    <w:p>
      <w:pPr>
        <w:pStyle w:val="BodyText"/>
        <w:spacing w:line="333" w:lineRule="auto" w:before="11"/>
        <w:ind w:right="0"/>
        <w:jc w:val="left"/>
      </w:pPr>
      <w:r>
        <w:rPr>
          <w:spacing w:val="-5"/>
        </w:rPr>
        <w:t>补助，是指本公司取得的、用于购建或以其他方式形成长期资产的政府补助；与收益相关的政府补助，</w:t>
      </w:r>
      <w:r>
        <w:rPr>
          <w:spacing w:val="-49"/>
        </w:rPr>
        <w:t> </w:t>
      </w:r>
      <w:r>
        <w:rPr>
          <w:spacing w:val="-49"/>
        </w:rPr>
      </w:r>
      <w:r>
        <w:rPr>
          <w:spacing w:val="-2"/>
        </w:rPr>
        <w:t>是指除与资产相关的政府补助之外的政府补助。如果政府文件中未明确规定补助对象，本公司按照上</w:t>
      </w:r>
      <w:r>
        <w:rPr>
          <w:spacing w:val="-70"/>
        </w:rPr>
        <w:t> </w:t>
      </w:r>
      <w:r>
        <w:rPr>
          <w:spacing w:val="-70"/>
        </w:rPr>
      </w:r>
      <w:r>
        <w:rPr/>
        <w:t>述区分原则进行判断，难以区分的，整体归类为与收益相关的政府补助。</w:t>
      </w:r>
    </w:p>
    <w:p>
      <w:pPr>
        <w:pStyle w:val="BodyText"/>
        <w:spacing w:line="333" w:lineRule="auto" w:before="66"/>
        <w:ind w:right="1111" w:firstLine="439"/>
        <w:jc w:val="left"/>
      </w:pPr>
      <w:r>
        <w:rPr>
          <w:spacing w:val="-2"/>
        </w:rPr>
        <w:t>政府补助为货币性资产的，按照实际收到的金额计量，对于按照固定的定额标准拨付的补助，或</w:t>
      </w:r>
      <w:r>
        <w:rPr>
          <w:w w:val="100"/>
        </w:rPr>
        <w:t> </w:t>
      </w:r>
      <w:r>
        <w:rPr/>
        <w:t>对年末有确凿证据表明能够符合财政扶持政策规定的相关条件且预计能够收到财政扶持资金时</w:t>
      </w:r>
      <w:r>
        <w:rPr>
          <w:spacing w:val="73"/>
        </w:rPr>
        <w:t> </w:t>
      </w:r>
      <w:r>
        <w:rPr/>
        <w:t>，按</w:t>
      </w:r>
    </w:p>
    <w:p>
      <w:pPr>
        <w:spacing w:after="0" w:line="333"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333" w:lineRule="auto" w:before="173"/>
        <w:ind w:right="1133"/>
        <w:jc w:val="left"/>
      </w:pPr>
      <w:r>
        <w:rPr>
          <w:spacing w:val="-2"/>
        </w:rPr>
        <w:t>照应收的金额计量；政府补助为非货币性资产的，按照公允价值计量，公允价值不能可靠取得的，按</w:t>
      </w:r>
      <w:r>
        <w:rPr>
          <w:spacing w:val="-69"/>
        </w:rPr>
        <w:t> </w:t>
      </w:r>
      <w:r>
        <w:rPr>
          <w:spacing w:val="-69"/>
        </w:rPr>
      </w:r>
      <w:r>
        <w:rPr/>
        <w:t>照名义金额</w:t>
      </w:r>
      <w:r>
        <w:rPr>
          <w:rFonts w:ascii="Arial" w:hAnsi="Arial" w:cs="Arial" w:eastAsia="Arial" w:hint="default"/>
        </w:rPr>
        <w:t>(1</w:t>
      </w:r>
      <w:r>
        <w:rPr>
          <w:rFonts w:ascii="Arial" w:hAnsi="Arial" w:cs="Arial" w:eastAsia="Arial" w:hint="default"/>
          <w:spacing w:val="-7"/>
        </w:rPr>
        <w:t> </w:t>
      </w:r>
      <w:r>
        <w:rPr/>
        <w:t>元</w:t>
      </w:r>
      <w:r>
        <w:rPr>
          <w:rFonts w:ascii="Arial" w:hAnsi="Arial" w:cs="Arial" w:eastAsia="Arial" w:hint="default"/>
        </w:rPr>
        <w:t>)</w:t>
      </w:r>
      <w:r>
        <w:rPr/>
        <w:t>计量。</w:t>
      </w:r>
    </w:p>
    <w:p>
      <w:pPr>
        <w:pStyle w:val="BodyText"/>
        <w:spacing w:line="333" w:lineRule="auto" w:before="39"/>
        <w:ind w:right="1130" w:firstLine="439"/>
        <w:jc w:val="both"/>
      </w:pPr>
      <w:r>
        <w:rPr>
          <w:spacing w:val="-2"/>
        </w:rPr>
        <w:t>与资产相关的政府补助，确认为递延收益，在相关资产使用寿命内按照合理、系统的方法分期计</w:t>
      </w:r>
      <w:r>
        <w:rPr>
          <w:w w:val="100"/>
        </w:rPr>
        <w:t> </w:t>
      </w:r>
      <w:r>
        <w:rPr/>
        <w:t>入当期损益。</w:t>
      </w:r>
    </w:p>
    <w:p>
      <w:pPr>
        <w:pStyle w:val="BodyText"/>
        <w:spacing w:line="333" w:lineRule="auto" w:before="65"/>
        <w:ind w:right="1130" w:firstLine="439"/>
        <w:jc w:val="both"/>
      </w:pPr>
      <w:r>
        <w:rPr>
          <w:spacing w:val="-2"/>
        </w:rPr>
        <w:t>相关资产在使用寿命结束前被出售、转让、报废或发生毁损的，将尚未分配的相关递延收益余额</w:t>
      </w:r>
      <w:r>
        <w:rPr>
          <w:w w:val="100"/>
        </w:rPr>
        <w:t> </w:t>
      </w:r>
      <w:r>
        <w:rPr/>
        <w:t>转入资产处置当期的损益。</w:t>
      </w:r>
    </w:p>
    <w:p>
      <w:pPr>
        <w:pStyle w:val="BodyText"/>
        <w:spacing w:line="333" w:lineRule="auto" w:before="65"/>
        <w:ind w:right="1128" w:firstLine="439"/>
        <w:jc w:val="both"/>
      </w:pPr>
      <w:r>
        <w:rPr>
          <w:spacing w:val="-2"/>
        </w:rPr>
        <w:t>与收益相关的政府补助，用于补偿以后期间的相关成本费用或损失的，确认为递延收益，并在确</w:t>
      </w:r>
      <w:r>
        <w:rPr>
          <w:w w:val="100"/>
        </w:rPr>
        <w:t> </w:t>
      </w:r>
      <w:r>
        <w:rPr>
          <w:spacing w:val="-2"/>
        </w:rPr>
        <w:t>认相关成本费用或损失的期间计入当期损益。与日常活动相关的政府补助，按照经济业务实质，计入</w:t>
      </w:r>
      <w:r>
        <w:rPr>
          <w:spacing w:val="-67"/>
        </w:rPr>
        <w:t> </w:t>
      </w:r>
      <w:r>
        <w:rPr>
          <w:spacing w:val="-67"/>
        </w:rPr>
      </w:r>
      <w:r>
        <w:rPr/>
        <w:t>其他收益或冲减相关成本费用。与日常活动无关的政府补助，计入营业外收支。</w:t>
      </w:r>
    </w:p>
    <w:p>
      <w:pPr>
        <w:pStyle w:val="BodyText"/>
        <w:spacing w:line="331" w:lineRule="auto" w:before="68"/>
        <w:ind w:right="1131" w:firstLine="439"/>
        <w:jc w:val="both"/>
      </w:pPr>
      <w:r>
        <w:rPr>
          <w:spacing w:val="-2"/>
        </w:rPr>
        <w:t>本公司取得政策性优惠贷款贴息的，区分财政将贴息资金拨付给贷款银行和财政将贴息资金直接</w:t>
      </w:r>
      <w:r>
        <w:rPr>
          <w:w w:val="100"/>
        </w:rPr>
        <w:t> </w:t>
      </w:r>
      <w:r>
        <w:rPr/>
        <w:t>拨付给本公司两种情况，分别按照以下原则进行会计处理：</w:t>
      </w:r>
    </w:p>
    <w:p>
      <w:pPr>
        <w:pStyle w:val="BodyText"/>
        <w:spacing w:line="324" w:lineRule="auto" w:before="70"/>
        <w:ind w:right="1130" w:firstLine="439"/>
        <w:jc w:val="both"/>
      </w:pPr>
      <w:r>
        <w:rPr/>
        <w:t>（</w:t>
      </w:r>
      <w:r>
        <w:rPr>
          <w:rFonts w:ascii="Arial" w:hAnsi="Arial" w:cs="Arial" w:eastAsia="Arial" w:hint="default"/>
        </w:rPr>
        <w:t>1</w:t>
      </w:r>
      <w:r>
        <w:rPr/>
        <w:t>）财政将贴息资金拨付给贷款银行，由贷款银行以政策性优惠利率向本公司提供贷款的，本</w:t>
      </w:r>
      <w:r>
        <w:rPr>
          <w:w w:val="100"/>
        </w:rPr>
        <w:t> </w:t>
      </w:r>
      <w:r>
        <w:rPr>
          <w:spacing w:val="-2"/>
        </w:rPr>
        <w:t>公司以实际收到的借款金额作为借款的入账价值，按照借款本金和该政策性优惠利率计算相关借款费</w:t>
      </w:r>
      <w:r>
        <w:rPr>
          <w:spacing w:val="-72"/>
        </w:rPr>
        <w:t> </w:t>
      </w:r>
      <w:r>
        <w:rPr>
          <w:spacing w:val="-72"/>
        </w:rPr>
      </w:r>
      <w:r>
        <w:rPr/>
        <w:t>用。</w:t>
      </w:r>
    </w:p>
    <w:p>
      <w:pPr>
        <w:pStyle w:val="BodyText"/>
        <w:spacing w:line="348" w:lineRule="auto" w:before="74"/>
        <w:ind w:left="592" w:right="1133" w:firstLine="110"/>
        <w:jc w:val="left"/>
      </w:pPr>
      <w:r>
        <w:rPr/>
        <w:t>（</w:t>
      </w:r>
      <w:r>
        <w:rPr>
          <w:rFonts w:ascii="Arial" w:hAnsi="Arial" w:cs="Arial" w:eastAsia="Arial" w:hint="default"/>
        </w:rPr>
        <w:t>2</w:t>
      </w:r>
      <w:r>
        <w:rPr/>
        <w:t>）财政将贴息资金直接拨付给本公司，本公司将对应的贴息冲减相关借款费用。</w:t>
      </w:r>
      <w:r>
        <w:rPr>
          <w:w w:val="100"/>
        </w:rPr>
        <w:t> </w:t>
      </w:r>
      <w:r>
        <w:rPr>
          <w:spacing w:val="-1"/>
        </w:rPr>
        <w:t>本公司已确认的政府补助需要退回的，在需要退回的当期分情况按照以下规定进行会计处理：</w:t>
      </w:r>
    </w:p>
    <w:p>
      <w:pPr>
        <w:pStyle w:val="BodyText"/>
        <w:spacing w:line="240" w:lineRule="auto" w:before="52"/>
        <w:ind w:left="592" w:right="1133"/>
        <w:jc w:val="left"/>
      </w:pPr>
      <w:r>
        <w:rPr/>
        <w:t>①初始确认时冲减相关资产账面价值的，调整资产账面价值。</w:t>
      </w:r>
    </w:p>
    <w:p>
      <w:pPr>
        <w:pStyle w:val="BodyText"/>
        <w:spacing w:line="240" w:lineRule="auto" w:before="151"/>
        <w:ind w:left="592" w:right="1133"/>
        <w:jc w:val="left"/>
      </w:pPr>
      <w:r>
        <w:rPr/>
        <w:t>②存在相关递延收益的，冲减相关递延收益账面余额，超出部分计入当期损益。</w:t>
      </w:r>
    </w:p>
    <w:p>
      <w:pPr>
        <w:pStyle w:val="BodyText"/>
        <w:spacing w:line="240" w:lineRule="auto" w:before="153"/>
        <w:ind w:left="592" w:right="1133"/>
        <w:jc w:val="left"/>
      </w:pPr>
      <w:r>
        <w:rPr/>
        <w:t>③属于其他情况的，直接计入当期损益。</w:t>
      </w:r>
    </w:p>
    <w:p>
      <w:pPr>
        <w:tabs>
          <w:tab w:pos="1413" w:val="left" w:leader="none"/>
        </w:tabs>
        <w:spacing w:line="348" w:lineRule="auto" w:before="151"/>
        <w:ind w:left="592" w:right="1133" w:firstLine="2"/>
        <w:jc w:val="left"/>
        <w:rPr>
          <w:rFonts w:ascii="宋体" w:hAnsi="宋体" w:cs="宋体" w:eastAsia="宋体" w:hint="default"/>
          <w:sz w:val="22"/>
          <w:szCs w:val="22"/>
        </w:rPr>
      </w:pPr>
      <w:r>
        <w:rPr>
          <w:rFonts w:ascii="Arial" w:hAnsi="Arial" w:cs="Arial" w:eastAsia="Arial" w:hint="default"/>
          <w:b/>
          <w:bCs/>
          <w:spacing w:val="-1"/>
          <w:sz w:val="22"/>
          <w:szCs w:val="22"/>
        </w:rPr>
        <w:t>26</w:t>
      </w:r>
      <w:r>
        <w:rPr>
          <w:rFonts w:ascii="宋体" w:hAnsi="宋体" w:cs="宋体" w:eastAsia="宋体" w:hint="default"/>
          <w:b/>
          <w:bCs/>
          <w:spacing w:val="-1"/>
          <w:sz w:val="22"/>
          <w:szCs w:val="22"/>
        </w:rPr>
        <w:t>、</w:t>
        <w:tab/>
      </w:r>
      <w:r>
        <w:rPr>
          <w:rFonts w:ascii="宋体" w:hAnsi="宋体" w:cs="宋体" w:eastAsia="宋体" w:hint="default"/>
          <w:b/>
          <w:bCs/>
          <w:sz w:val="22"/>
          <w:szCs w:val="22"/>
        </w:rPr>
        <w:t>递延所得税资产和递延所得税负债</w:t>
      </w:r>
      <w:r>
        <w:rPr>
          <w:rFonts w:ascii="宋体" w:hAnsi="宋体" w:cs="宋体" w:eastAsia="宋体" w:hint="default"/>
          <w:b/>
          <w:bCs/>
          <w:w w:val="99"/>
          <w:sz w:val="22"/>
          <w:szCs w:val="22"/>
        </w:rPr>
        <w:t> </w:t>
      </w:r>
      <w:r>
        <w:rPr>
          <w:rFonts w:ascii="宋体" w:hAnsi="宋体" w:cs="宋体" w:eastAsia="宋体" w:hint="default"/>
          <w:sz w:val="22"/>
          <w:szCs w:val="22"/>
        </w:rPr>
        <w:t>本公司递延所得税资产和递延所得税负债根据资产和负债的计税基础与其账面价值的差额</w:t>
      </w:r>
      <w:r>
        <w:rPr>
          <w:rFonts w:ascii="Arial" w:hAnsi="Arial" w:cs="Arial" w:eastAsia="Arial" w:hint="default"/>
          <w:sz w:val="22"/>
          <w:szCs w:val="22"/>
        </w:rPr>
        <w:t>(</w:t>
      </w:r>
      <w:r>
        <w:rPr>
          <w:rFonts w:ascii="宋体" w:hAnsi="宋体" w:cs="宋体" w:eastAsia="宋体" w:hint="default"/>
          <w:sz w:val="22"/>
          <w:szCs w:val="22"/>
        </w:rPr>
        <w:t>暂时</w:t>
      </w:r>
    </w:p>
    <w:p>
      <w:pPr>
        <w:pStyle w:val="BodyText"/>
        <w:spacing w:line="288" w:lineRule="exact"/>
        <w:ind w:right="0"/>
        <w:jc w:val="both"/>
      </w:pPr>
      <w:r>
        <w:rPr/>
        <w:t>性差异</w:t>
      </w:r>
      <w:r>
        <w:rPr>
          <w:rFonts w:ascii="Arial" w:hAnsi="Arial" w:cs="Arial" w:eastAsia="Arial" w:hint="default"/>
        </w:rPr>
        <w:t>)</w:t>
      </w:r>
      <w:r>
        <w:rPr/>
        <w:t>计算确认。对于按照税法规定能够于以后年度抵减应纳税所得额的可抵扣亏损，确认相应的</w:t>
      </w:r>
    </w:p>
    <w:p>
      <w:pPr>
        <w:pStyle w:val="BodyText"/>
        <w:spacing w:line="328" w:lineRule="auto" w:before="97"/>
        <w:ind w:right="1128"/>
        <w:jc w:val="both"/>
      </w:pPr>
      <w:r>
        <w:rPr>
          <w:spacing w:val="-2"/>
        </w:rPr>
        <w:t>递延所得税资产。对于商誉的初始确认产生的暂时性差异，不确认相应的递延所得税负债。对于既不</w:t>
      </w:r>
      <w:r>
        <w:rPr>
          <w:spacing w:val="-67"/>
        </w:rPr>
        <w:t> </w:t>
      </w:r>
      <w:r>
        <w:rPr>
          <w:spacing w:val="-67"/>
        </w:rPr>
      </w:r>
      <w:r>
        <w:rPr/>
        <w:t>影响会计利润也不影响应纳税所得额</w:t>
      </w:r>
      <w:r>
        <w:rPr>
          <w:rFonts w:ascii="Arial" w:hAnsi="Arial" w:cs="Arial" w:eastAsia="Arial" w:hint="default"/>
        </w:rPr>
        <w:t>(</w:t>
      </w:r>
      <w:r>
        <w:rPr/>
        <w:t>或可抵扣亏损</w:t>
      </w:r>
      <w:r>
        <w:rPr>
          <w:rFonts w:ascii="Arial" w:hAnsi="Arial" w:cs="Arial" w:eastAsia="Arial" w:hint="default"/>
        </w:rPr>
        <w:t>)</w:t>
      </w:r>
      <w:r>
        <w:rPr/>
        <w:t>的非企业合并的交易中产生的资产或负债的初始</w:t>
      </w:r>
      <w:r>
        <w:rPr>
          <w:spacing w:val="-78"/>
        </w:rPr>
        <w:t> </w:t>
      </w:r>
      <w:r>
        <w:rPr>
          <w:spacing w:val="-78"/>
        </w:rPr>
      </w:r>
      <w:r>
        <w:rPr>
          <w:spacing w:val="-2"/>
        </w:rPr>
        <w:t>确认形成的暂时性差异，不确认相应的递延所得税资产和递延所得税负债。于资产负债表日，递延所</w:t>
      </w:r>
      <w:r>
        <w:rPr>
          <w:spacing w:val="-64"/>
        </w:rPr>
        <w:t> </w:t>
      </w:r>
      <w:r>
        <w:rPr>
          <w:spacing w:val="-64"/>
        </w:rPr>
      </w:r>
      <w:r>
        <w:rPr/>
        <w:t>得税资产和递延所得税负债，按照预期收回该资产或清偿该负债期间的适用税率计量。</w:t>
      </w:r>
    </w:p>
    <w:p>
      <w:pPr>
        <w:pStyle w:val="BodyText"/>
        <w:spacing w:line="333" w:lineRule="auto" w:before="70"/>
        <w:ind w:right="1133" w:firstLine="439"/>
        <w:jc w:val="both"/>
      </w:pPr>
      <w:r>
        <w:rPr>
          <w:spacing w:val="-2"/>
        </w:rPr>
        <w:t>本公司以很可能取得用来抵扣可抵扣暂时性差异、可抵扣亏损和税款抵减的未来应纳税所得额为</w:t>
      </w:r>
      <w:r>
        <w:rPr>
          <w:w w:val="100"/>
        </w:rPr>
        <w:t> </w:t>
      </w:r>
      <w:r>
        <w:rPr/>
        <w:t>限，确认递延所得税资产。</w:t>
      </w:r>
    </w:p>
    <w:p>
      <w:pPr>
        <w:tabs>
          <w:tab w:pos="1413" w:val="left" w:leader="none"/>
        </w:tabs>
        <w:spacing w:line="348" w:lineRule="auto" w:before="24"/>
        <w:ind w:left="592" w:right="5930" w:firstLine="2"/>
        <w:jc w:val="left"/>
        <w:rPr>
          <w:rFonts w:ascii="宋体" w:hAnsi="宋体" w:cs="宋体" w:eastAsia="宋体" w:hint="default"/>
          <w:sz w:val="22"/>
          <w:szCs w:val="22"/>
        </w:rPr>
      </w:pPr>
      <w:r>
        <w:rPr>
          <w:rFonts w:ascii="Arial" w:hAnsi="Arial" w:cs="Arial" w:eastAsia="Arial" w:hint="default"/>
          <w:b/>
          <w:bCs/>
          <w:spacing w:val="-1"/>
          <w:sz w:val="22"/>
          <w:szCs w:val="22"/>
        </w:rPr>
        <w:t>27</w:t>
      </w:r>
      <w:r>
        <w:rPr>
          <w:rFonts w:ascii="宋体" w:hAnsi="宋体" w:cs="宋体" w:eastAsia="宋体" w:hint="default"/>
          <w:b/>
          <w:bCs/>
          <w:spacing w:val="-1"/>
          <w:sz w:val="22"/>
          <w:szCs w:val="22"/>
        </w:rPr>
        <w:t>、</w:t>
        <w:tab/>
      </w:r>
      <w:r>
        <w:rPr>
          <w:rFonts w:ascii="宋体" w:hAnsi="宋体" w:cs="宋体" w:eastAsia="宋体" w:hint="default"/>
          <w:b/>
          <w:bCs/>
          <w:sz w:val="22"/>
          <w:szCs w:val="22"/>
        </w:rPr>
        <w:t>租赁</w:t>
      </w:r>
      <w:r>
        <w:rPr>
          <w:rFonts w:ascii="宋体" w:hAnsi="宋体" w:cs="宋体" w:eastAsia="宋体" w:hint="default"/>
          <w:b/>
          <w:bCs/>
          <w:w w:val="99"/>
          <w:sz w:val="22"/>
          <w:szCs w:val="22"/>
        </w:rPr>
        <w:t> </w:t>
      </w:r>
      <w:r>
        <w:rPr>
          <w:rFonts w:ascii="宋体" w:hAnsi="宋体" w:cs="宋体" w:eastAsia="宋体" w:hint="default"/>
          <w:spacing w:val="-1"/>
          <w:sz w:val="22"/>
          <w:szCs w:val="22"/>
        </w:rPr>
        <w:t>本公司的租赁业务包括经营租赁和融资租赁。</w:t>
      </w:r>
    </w:p>
    <w:p>
      <w:pPr>
        <w:pStyle w:val="BodyText"/>
        <w:spacing w:line="333" w:lineRule="auto" w:before="52"/>
        <w:ind w:right="1131" w:firstLine="439"/>
        <w:jc w:val="both"/>
      </w:pPr>
      <w:r>
        <w:rPr>
          <w:spacing w:val="-2"/>
        </w:rPr>
        <w:t>本公司作为融资租赁承租方时，在租赁开始日，按租赁开始日租赁资产的公允价值与最低租赁付</w:t>
      </w:r>
      <w:r>
        <w:rPr>
          <w:w w:val="100"/>
        </w:rPr>
        <w:t> </w:t>
      </w:r>
      <w:r>
        <w:rPr>
          <w:spacing w:val="-2"/>
        </w:rPr>
        <w:t>款额的现值两者中较低者，作为融资租入固定资产的入账价值，将最低租赁付款额作为长期应付款的</w:t>
      </w:r>
      <w:r>
        <w:rPr>
          <w:spacing w:val="-70"/>
        </w:rPr>
        <w:t> </w:t>
      </w:r>
      <w:r>
        <w:rPr>
          <w:spacing w:val="-70"/>
        </w:rPr>
      </w:r>
      <w:r>
        <w:rPr/>
        <w:t>入账价值，将两者的差额记录为未确认融资费用。</w:t>
      </w:r>
    </w:p>
    <w:p>
      <w:pPr>
        <w:spacing w:after="0" w:line="333"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333" w:lineRule="auto" w:before="173"/>
        <w:ind w:right="1133" w:firstLine="439"/>
        <w:jc w:val="left"/>
      </w:pPr>
      <w:r>
        <w:rPr>
          <w:spacing w:val="2"/>
        </w:rPr>
        <w:t>本公司作为经营租赁承租方的租金在租赁期内的各个期间按直线法计入相关资产成本或当期损</w:t>
      </w:r>
      <w:r>
        <w:rPr>
          <w:w w:val="100"/>
        </w:rPr>
        <w:t> </w:t>
      </w:r>
      <w:r>
        <w:rPr/>
        <w:t>益。</w:t>
      </w:r>
    </w:p>
    <w:p>
      <w:pPr>
        <w:pStyle w:val="BodyText"/>
        <w:tabs>
          <w:tab w:pos="1413" w:val="left" w:leader="none"/>
        </w:tabs>
        <w:spacing w:line="316" w:lineRule="auto" w:before="65"/>
        <w:ind w:left="592" w:right="1133" w:firstLine="2"/>
        <w:jc w:val="left"/>
      </w:pPr>
      <w:r>
        <w:rPr>
          <w:rFonts w:ascii="Arial" w:hAnsi="Arial" w:cs="Arial" w:eastAsia="Arial" w:hint="default"/>
          <w:b/>
          <w:bCs/>
          <w:spacing w:val="-1"/>
        </w:rPr>
        <w:t>28</w:t>
      </w:r>
      <w:r>
        <w:rPr>
          <w:rFonts w:ascii="宋体" w:hAnsi="宋体" w:cs="宋体" w:eastAsia="宋体" w:hint="default"/>
          <w:b/>
          <w:bCs/>
          <w:spacing w:val="-1"/>
        </w:rPr>
        <w:t>、</w:t>
        <w:tab/>
      </w:r>
      <w:r>
        <w:rPr>
          <w:rFonts w:ascii="宋体" w:hAnsi="宋体" w:cs="宋体" w:eastAsia="宋体" w:hint="default"/>
          <w:b/>
          <w:bCs/>
        </w:rPr>
        <w:t>持有待售</w:t>
      </w:r>
      <w:r>
        <w:rPr>
          <w:rFonts w:ascii="宋体" w:hAnsi="宋体" w:cs="宋体" w:eastAsia="宋体" w:hint="default"/>
          <w:b/>
          <w:bCs/>
          <w:w w:val="99"/>
        </w:rPr>
        <w:t> </w:t>
      </w:r>
      <w:r>
        <w:rPr>
          <w:spacing w:val="-2"/>
        </w:rPr>
        <w:t>本公司将同时符合下列条件的非流动资产或处置组划分为持有待售：</w:t>
      </w:r>
      <w:r>
        <w:rPr>
          <w:rFonts w:ascii="Arial" w:hAnsi="Arial" w:cs="Arial" w:eastAsia="Arial" w:hint="default"/>
          <w:spacing w:val="-2"/>
        </w:rPr>
        <w:t>A.</w:t>
      </w:r>
      <w:r>
        <w:rPr>
          <w:spacing w:val="-2"/>
        </w:rPr>
        <w:t>根据类似交易中出售此类</w:t>
      </w:r>
    </w:p>
    <w:p>
      <w:pPr>
        <w:pStyle w:val="BodyText"/>
        <w:spacing w:line="331" w:lineRule="auto" w:before="16"/>
        <w:ind w:right="1020"/>
        <w:jc w:val="both"/>
      </w:pPr>
      <w:r>
        <w:rPr/>
        <w:t>资产或处置组的惯例，在当前状况下即可立即出售；</w:t>
      </w:r>
      <w:r>
        <w:rPr>
          <w:rFonts w:ascii="Arial" w:hAnsi="Arial" w:cs="Arial" w:eastAsia="Arial" w:hint="default"/>
        </w:rPr>
        <w:t>B.</w:t>
      </w:r>
      <w:r>
        <w:rPr/>
        <w:t>出售极可能发生，即已经就一项出售计划作出</w:t>
      </w:r>
      <w:r>
        <w:rPr>
          <w:w w:val="100"/>
        </w:rPr>
        <w:t> </w:t>
      </w:r>
      <w:r>
        <w:rPr/>
        <w:t>决议且获得确定的购买承诺，预计出售将在一年内完成。有关规定要求相关权力机构或者监管部门批</w:t>
      </w:r>
      <w:r>
        <w:rPr>
          <w:w w:val="100"/>
        </w:rPr>
        <w:t> </w:t>
      </w:r>
      <w:r>
        <w:rPr/>
        <w:t>准后方可出售的需要获得相关批准。本公司将非流动资产或处置组首次划分为持有待售类别前，按照</w:t>
      </w:r>
      <w:r>
        <w:rPr>
          <w:w w:val="100"/>
        </w:rPr>
        <w:t> </w:t>
      </w:r>
      <w:r>
        <w:rPr/>
        <w:t>相关会计准则规定计量非流动资产或处置组中各项资产和负债的账面价值。初始计量或在资产负债表</w:t>
      </w:r>
      <w:r>
        <w:rPr>
          <w:w w:val="100"/>
        </w:rPr>
        <w:t> </w:t>
      </w:r>
      <w:r>
        <w:rPr/>
        <w:t>日重新计量持有待售的非流动资产或处置组时，其账面价值高于公允价值减去出售费用后的净额的，</w:t>
      </w:r>
      <w:r>
        <w:rPr>
          <w:w w:val="100"/>
        </w:rPr>
        <w:t> </w:t>
      </w:r>
      <w:r>
        <w:rPr>
          <w:spacing w:val="-5"/>
        </w:rPr>
        <w:t>将账面价值减记至公允价值减去出售费用后的净额，减记的金额确认为资产减值损失，计入当期损益，</w:t>
      </w:r>
      <w:r>
        <w:rPr>
          <w:spacing w:val="-42"/>
        </w:rPr>
        <w:t> </w:t>
      </w:r>
      <w:r>
        <w:rPr>
          <w:spacing w:val="-42"/>
        </w:rPr>
      </w:r>
      <w:r>
        <w:rPr/>
        <w:t>同时计提持有待售资产减值准备。</w:t>
      </w:r>
    </w:p>
    <w:p>
      <w:pPr>
        <w:pStyle w:val="BodyText"/>
        <w:spacing w:line="328" w:lineRule="auto" w:before="29"/>
        <w:ind w:right="1129" w:firstLine="439"/>
        <w:jc w:val="both"/>
      </w:pPr>
      <w:r>
        <w:rPr>
          <w:spacing w:val="-2"/>
        </w:rPr>
        <w:t>本公司专为转售而取得的非流动资产或处置组，在取得日满足“预计出售将在一年内完成”的规</w:t>
      </w:r>
      <w:r>
        <w:rPr>
          <w:w w:val="100"/>
        </w:rPr>
        <w:t> </w:t>
      </w:r>
      <w:r>
        <w:rPr>
          <w:spacing w:val="-4"/>
        </w:rPr>
        <w:t>定条件，且短期（通常为</w:t>
      </w:r>
      <w:r>
        <w:rPr>
          <w:spacing w:val="-63"/>
        </w:rPr>
        <w:t> </w:t>
      </w:r>
      <w:r>
        <w:rPr>
          <w:rFonts w:ascii="Arial" w:hAnsi="Arial" w:cs="Arial" w:eastAsia="Arial" w:hint="default"/>
        </w:rPr>
        <w:t>3</w:t>
      </w:r>
      <w:r>
        <w:rPr>
          <w:rFonts w:ascii="Arial" w:hAnsi="Arial" w:cs="Arial" w:eastAsia="Arial" w:hint="default"/>
          <w:spacing w:val="-13"/>
        </w:rPr>
        <w:t> </w:t>
      </w:r>
      <w:r>
        <w:rPr/>
        <w:t>个月）内很可能满足持有待售类别的其他划分条件的，在取得日将其划分</w:t>
      </w:r>
      <w:r>
        <w:rPr>
          <w:w w:val="100"/>
        </w:rPr>
        <w:t> </w:t>
      </w:r>
      <w:r>
        <w:rPr>
          <w:spacing w:val="-2"/>
        </w:rPr>
        <w:t>为持有待售类别。在初始计量时，比较假定其不划分为持有待售类别情况下的初始计量金额和公允价</w:t>
      </w:r>
      <w:r>
        <w:rPr>
          <w:spacing w:val="-70"/>
        </w:rPr>
        <w:t> </w:t>
      </w:r>
      <w:r>
        <w:rPr>
          <w:spacing w:val="-70"/>
        </w:rPr>
      </w:r>
      <w:r>
        <w:rPr>
          <w:spacing w:val="-2"/>
        </w:rPr>
        <w:t>值减去出售费用后的净额，以两者孰低计量。除企业合并中取得的非流动资产或处置组外，由非流动</w:t>
      </w:r>
      <w:r>
        <w:rPr>
          <w:spacing w:val="-70"/>
        </w:rPr>
        <w:t> </w:t>
      </w:r>
      <w:r>
        <w:rPr>
          <w:spacing w:val="-70"/>
        </w:rPr>
      </w:r>
      <w:r>
        <w:rPr/>
        <w:t>资产或处置组以公允价值减去出售费用后的净额作为初始计量金额而产生的差额，计入当期损益。</w:t>
      </w:r>
    </w:p>
    <w:p>
      <w:pPr>
        <w:pStyle w:val="BodyText"/>
        <w:spacing w:line="333" w:lineRule="auto" w:before="29"/>
        <w:ind w:right="1131" w:firstLine="439"/>
        <w:jc w:val="both"/>
      </w:pPr>
      <w:r>
        <w:rPr>
          <w:spacing w:val="-2"/>
        </w:rPr>
        <w:t>本公司因出售对子公司的投资等原因导致丧失对子公司控制权的，无论出售后本公司是否保留部</w:t>
      </w:r>
      <w:r>
        <w:rPr>
          <w:w w:val="100"/>
        </w:rPr>
        <w:t> </w:t>
      </w:r>
      <w:r>
        <w:rPr>
          <w:spacing w:val="-2"/>
        </w:rPr>
        <w:t>分权益性投资，在拟出售的对子公司投资满足持有待售类别划分条件时，在母公司个别财务报表中将</w:t>
      </w:r>
      <w:r>
        <w:rPr>
          <w:spacing w:val="-70"/>
        </w:rPr>
        <w:t> </w:t>
      </w:r>
      <w:r>
        <w:rPr>
          <w:spacing w:val="-70"/>
        </w:rPr>
      </w:r>
      <w:r>
        <w:rPr>
          <w:spacing w:val="-2"/>
        </w:rPr>
        <w:t>对子公司投资整体划分为持有待售类别，在合并财务报表中将子公司所有资产和负债划分为持有待售</w:t>
      </w:r>
      <w:r>
        <w:rPr>
          <w:spacing w:val="-73"/>
        </w:rPr>
        <w:t> </w:t>
      </w:r>
      <w:r>
        <w:rPr>
          <w:spacing w:val="-73"/>
        </w:rPr>
      </w:r>
      <w:r>
        <w:rPr/>
        <w:t>类别。</w:t>
      </w:r>
    </w:p>
    <w:p>
      <w:pPr>
        <w:pStyle w:val="BodyText"/>
        <w:spacing w:line="333" w:lineRule="auto" w:before="27"/>
        <w:ind w:right="1130" w:firstLine="439"/>
        <w:jc w:val="both"/>
      </w:pPr>
      <w:r>
        <w:rPr>
          <w:spacing w:val="-2"/>
        </w:rPr>
        <w:t>后续资产负债表日持有待售的非流动资产公允价值减去出售费用后的净额增加的，以前减记的金</w:t>
      </w:r>
      <w:r>
        <w:rPr>
          <w:w w:val="100"/>
        </w:rPr>
        <w:t> </w:t>
      </w:r>
      <w:r>
        <w:rPr>
          <w:spacing w:val="-2"/>
        </w:rPr>
        <w:t>额应当予以恢复，并在划分为持有待售类别后确认的资产减值损失金额内转回，转回金额计入当期损</w:t>
      </w:r>
      <w:r>
        <w:rPr>
          <w:spacing w:val="-69"/>
        </w:rPr>
        <w:t> </w:t>
      </w:r>
      <w:r>
        <w:rPr>
          <w:spacing w:val="-69"/>
        </w:rPr>
      </w:r>
      <w:r>
        <w:rPr/>
        <w:t>益。划分为持有待售类别前确认的资产减值损失不得转回。</w:t>
      </w:r>
    </w:p>
    <w:p>
      <w:pPr>
        <w:pStyle w:val="BodyText"/>
        <w:spacing w:line="333" w:lineRule="auto" w:before="27"/>
        <w:ind w:right="1133" w:firstLine="439"/>
        <w:jc w:val="both"/>
      </w:pPr>
      <w:r>
        <w:rPr>
          <w:spacing w:val="-2"/>
        </w:rPr>
        <w:t>对于持有待售的处置组确认的资产减值损失金额，先抵减处置组中商誉的账面价值，再根据各项</w:t>
      </w:r>
      <w:r>
        <w:rPr>
          <w:w w:val="100"/>
        </w:rPr>
        <w:t> </w:t>
      </w:r>
      <w:r>
        <w:rPr/>
        <w:t>非流动资产账面价值所占比重，按比例抵减其账面价值。</w:t>
      </w:r>
    </w:p>
    <w:p>
      <w:pPr>
        <w:pStyle w:val="BodyText"/>
        <w:spacing w:line="333" w:lineRule="auto" w:before="24"/>
        <w:ind w:right="1126" w:firstLine="439"/>
        <w:jc w:val="both"/>
      </w:pPr>
      <w:r>
        <w:rPr>
          <w:spacing w:val="-2"/>
        </w:rPr>
        <w:t>后续资产负债表日持有待售的处置组公允价值减去出售费用后的净额增加的，以前减记的金额应</w:t>
      </w:r>
      <w:r>
        <w:rPr>
          <w:w w:val="100"/>
        </w:rPr>
        <w:t> </w:t>
      </w:r>
      <w:r>
        <w:rPr>
          <w:spacing w:val="-2"/>
        </w:rPr>
        <w:t>当予以恢复，并在划分为持有待售类别后适用相关计量规定的非流动资产确认的资产减值损失金额内</w:t>
      </w:r>
      <w:r>
        <w:rPr>
          <w:spacing w:val="-73"/>
        </w:rPr>
        <w:t> </w:t>
      </w:r>
      <w:r>
        <w:rPr>
          <w:spacing w:val="-73"/>
        </w:rPr>
      </w:r>
      <w:r>
        <w:rPr>
          <w:spacing w:val="-2"/>
        </w:rPr>
        <w:t>转回，转回金额计入当期损益。已抵减的商誉账面价值，以及非流动资产在划分为持有待售类别前确</w:t>
      </w:r>
      <w:r>
        <w:rPr>
          <w:spacing w:val="-66"/>
        </w:rPr>
        <w:t> </w:t>
      </w:r>
      <w:r>
        <w:rPr>
          <w:spacing w:val="-66"/>
        </w:rPr>
      </w:r>
      <w:r>
        <w:rPr/>
        <w:t>认的资产减值损失不得转回。</w:t>
      </w:r>
    </w:p>
    <w:p>
      <w:pPr>
        <w:pStyle w:val="BodyText"/>
        <w:spacing w:line="333" w:lineRule="auto" w:before="27"/>
        <w:ind w:right="1133" w:firstLine="439"/>
        <w:jc w:val="both"/>
      </w:pPr>
      <w:r>
        <w:rPr>
          <w:spacing w:val="-2"/>
        </w:rPr>
        <w:t>持有待售的处置组确认的资产减值损失后续转回金额，根据处置组中除商誉外，各项非流动资产</w:t>
      </w:r>
      <w:r>
        <w:rPr>
          <w:w w:val="100"/>
        </w:rPr>
        <w:t> </w:t>
      </w:r>
      <w:r>
        <w:rPr/>
        <w:t>账面价值所占比重，按比例增加其账面价值。</w:t>
      </w:r>
    </w:p>
    <w:p>
      <w:pPr>
        <w:pStyle w:val="BodyText"/>
        <w:spacing w:line="333" w:lineRule="auto" w:before="24"/>
        <w:ind w:right="1133" w:firstLine="439"/>
        <w:jc w:val="both"/>
      </w:pPr>
      <w:r>
        <w:rPr>
          <w:spacing w:val="-2"/>
        </w:rPr>
        <w:t>持有待售的非流动资产或处置组中的非流动资产不计提折旧或摊销，持有待售的处置组中负债的</w:t>
      </w:r>
      <w:r>
        <w:rPr>
          <w:w w:val="100"/>
        </w:rPr>
        <w:t> </w:t>
      </w:r>
      <w:r>
        <w:rPr/>
        <w:t>利息和其他费用继续予以确认。</w:t>
      </w:r>
    </w:p>
    <w:p>
      <w:pPr>
        <w:spacing w:after="0" w:line="333"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328" w:lineRule="auto" w:before="173"/>
        <w:ind w:right="1129" w:firstLine="439"/>
        <w:jc w:val="both"/>
      </w:pPr>
      <w:r>
        <w:rPr>
          <w:spacing w:val="-2"/>
        </w:rPr>
        <w:t>持有待售的非流动资产或处置组因不再满足持有待售类别的划分条件，而不再继续划分为持有待</w:t>
      </w:r>
      <w:r>
        <w:rPr>
          <w:w w:val="100"/>
        </w:rPr>
        <w:t> </w:t>
      </w:r>
      <w:r>
        <w:rPr>
          <w:spacing w:val="-2"/>
        </w:rPr>
        <w:t>售类别或非流动资产从持有待售的处置组中移除时，按照以下两者孰低计量：</w:t>
      </w:r>
      <w:r>
        <w:rPr>
          <w:rFonts w:ascii="Arial" w:hAnsi="Arial" w:cs="Arial" w:eastAsia="Arial" w:hint="default"/>
          <w:spacing w:val="-2"/>
        </w:rPr>
        <w:t>A.</w:t>
      </w:r>
      <w:r>
        <w:rPr>
          <w:spacing w:val="-2"/>
        </w:rPr>
        <w:t>划分为持有待售类别</w:t>
      </w:r>
      <w:r>
        <w:rPr>
          <w:spacing w:val="-58"/>
        </w:rPr>
        <w:t> </w:t>
      </w:r>
      <w:r>
        <w:rPr>
          <w:spacing w:val="-58"/>
        </w:rPr>
      </w:r>
      <w:r>
        <w:rPr>
          <w:spacing w:val="-2"/>
        </w:rPr>
        <w:t>前的账面价值，按照假定不划分为持有待售类别情况下本应确认的折旧、摊销或减值等进行调整后的</w:t>
      </w:r>
      <w:r>
        <w:rPr>
          <w:spacing w:val="-69"/>
        </w:rPr>
        <w:t> </w:t>
      </w:r>
      <w:r>
        <w:rPr>
          <w:spacing w:val="-69"/>
        </w:rPr>
      </w:r>
      <w:r>
        <w:rPr/>
        <w:t>金额；</w:t>
      </w:r>
      <w:r>
        <w:rPr>
          <w:rFonts w:ascii="Arial" w:hAnsi="Arial" w:cs="Arial" w:eastAsia="Arial" w:hint="default"/>
        </w:rPr>
        <w:t>B.</w:t>
      </w:r>
      <w:r>
        <w:rPr/>
        <w:t>可收回金额。</w:t>
      </w:r>
    </w:p>
    <w:p>
      <w:pPr>
        <w:pStyle w:val="BodyText"/>
        <w:spacing w:line="240" w:lineRule="auto" w:before="6"/>
        <w:ind w:left="592" w:right="1133"/>
        <w:jc w:val="left"/>
      </w:pPr>
      <w:r>
        <w:rPr/>
        <w:t>终止确认持有待售的非流动资产或处置组时，将尚未确认的利得或损失计入当期损益。</w:t>
      </w:r>
    </w:p>
    <w:p>
      <w:pPr>
        <w:pStyle w:val="BodyText"/>
        <w:tabs>
          <w:tab w:pos="1413" w:val="left" w:leader="none"/>
        </w:tabs>
        <w:spacing w:line="316" w:lineRule="auto" w:before="110"/>
        <w:ind w:left="592" w:right="1133" w:firstLine="2"/>
        <w:jc w:val="left"/>
      </w:pPr>
      <w:r>
        <w:rPr>
          <w:rFonts w:ascii="Arial" w:hAnsi="Arial" w:cs="Arial" w:eastAsia="Arial" w:hint="default"/>
          <w:b/>
          <w:bCs/>
          <w:spacing w:val="-1"/>
        </w:rPr>
        <w:t>29</w:t>
      </w:r>
      <w:r>
        <w:rPr>
          <w:rFonts w:ascii="宋体" w:hAnsi="宋体" w:cs="宋体" w:eastAsia="宋体" w:hint="default"/>
          <w:b/>
          <w:bCs/>
          <w:spacing w:val="-1"/>
        </w:rPr>
        <w:t>、</w:t>
        <w:tab/>
      </w:r>
      <w:r>
        <w:rPr>
          <w:rFonts w:ascii="宋体" w:hAnsi="宋体" w:cs="宋体" w:eastAsia="宋体" w:hint="default"/>
          <w:b/>
          <w:bCs/>
        </w:rPr>
        <w:t>终止经营</w:t>
      </w:r>
      <w:r>
        <w:rPr>
          <w:rFonts w:ascii="宋体" w:hAnsi="宋体" w:cs="宋体" w:eastAsia="宋体" w:hint="default"/>
          <w:b/>
          <w:bCs/>
          <w:w w:val="99"/>
        </w:rPr>
        <w:t> </w:t>
      </w:r>
      <w:r>
        <w:rPr>
          <w:spacing w:val="-2"/>
        </w:rPr>
        <w:t>终止经营，是指本公司满足下列条件之一的、能够单独区分的组成部分，且该组成部分已经处置</w:t>
      </w:r>
    </w:p>
    <w:p>
      <w:pPr>
        <w:pStyle w:val="BodyText"/>
        <w:spacing w:line="333" w:lineRule="auto" w:before="42"/>
        <w:ind w:right="0"/>
        <w:jc w:val="left"/>
      </w:pPr>
      <w:r>
        <w:rPr>
          <w:spacing w:val="-2"/>
        </w:rPr>
        <w:t>或划分为持有待售类别：①该组成部分代表一项独立的主要业务或一个单独的主要经营地区；②该组</w:t>
      </w:r>
      <w:r>
        <w:rPr>
          <w:spacing w:val="-70"/>
        </w:rPr>
        <w:t> </w:t>
      </w:r>
      <w:r>
        <w:rPr>
          <w:spacing w:val="-70"/>
        </w:rPr>
      </w:r>
      <w:r>
        <w:rPr>
          <w:spacing w:val="-1"/>
        </w:rPr>
        <w:t>成部分是拟对一项独立的主要业务或一个单独的主要经营地区进行处置的一项相关联计划的一部分；</w:t>
      </w:r>
    </w:p>
    <w:p>
      <w:pPr>
        <w:pStyle w:val="BodyText"/>
        <w:spacing w:line="240" w:lineRule="auto" w:before="27"/>
        <w:ind w:right="1133"/>
        <w:jc w:val="left"/>
      </w:pPr>
      <w:r>
        <w:rPr/>
        <w:t>③该组成部分是专为转售而取得的子公司。</w:t>
      </w:r>
    </w:p>
    <w:p>
      <w:pPr>
        <w:pStyle w:val="Heading4"/>
        <w:tabs>
          <w:tab w:pos="1413" w:val="left" w:leader="none"/>
        </w:tabs>
        <w:spacing w:line="240" w:lineRule="auto" w:before="113"/>
        <w:ind w:right="1133"/>
        <w:jc w:val="left"/>
        <w:rPr>
          <w:b w:val="0"/>
          <w:bCs w:val="0"/>
        </w:rPr>
      </w:pPr>
      <w:r>
        <w:rPr>
          <w:rFonts w:ascii="Arial" w:hAnsi="Arial" w:cs="Arial" w:eastAsia="Arial" w:hint="default"/>
          <w:spacing w:val="-1"/>
        </w:rPr>
        <w:t>30</w:t>
      </w:r>
      <w:r>
        <w:rPr>
          <w:spacing w:val="-1"/>
        </w:rPr>
        <w:t>、</w:t>
        <w:tab/>
      </w:r>
      <w:r>
        <w:rPr/>
        <w:t>重要会计政策和会计估计变更</w:t>
      </w:r>
      <w:r>
        <w:rPr>
          <w:b w:val="0"/>
          <w:bCs w:val="0"/>
        </w:rPr>
      </w:r>
    </w:p>
    <w:p>
      <w:pPr>
        <w:pStyle w:val="BodyText"/>
        <w:spacing w:line="240" w:lineRule="auto" w:before="95"/>
        <w:ind w:left="592" w:right="1133"/>
        <w:jc w:val="left"/>
      </w:pPr>
      <w:r>
        <w:rPr/>
        <w:t>（</w:t>
      </w:r>
      <w:r>
        <w:rPr>
          <w:rFonts w:ascii="Arial" w:hAnsi="Arial" w:cs="Arial" w:eastAsia="Arial" w:hint="default"/>
        </w:rPr>
        <w:t>1</w:t>
      </w:r>
      <w:r>
        <w:rPr/>
        <w:t>）重要会计政策变更</w:t>
      </w:r>
    </w:p>
    <w:p>
      <w:pPr>
        <w:pStyle w:val="BodyText"/>
        <w:spacing w:line="240" w:lineRule="auto" w:before="138"/>
        <w:ind w:left="592" w:right="1133"/>
        <w:jc w:val="left"/>
      </w:pPr>
      <w:r>
        <w:rPr/>
        <w:t>①因执行新企业会计准则的会计政策变更</w:t>
      </w:r>
    </w:p>
    <w:p>
      <w:pPr>
        <w:pStyle w:val="BodyText"/>
        <w:spacing w:line="240" w:lineRule="auto" w:before="151"/>
        <w:ind w:left="592" w:right="0"/>
        <w:jc w:val="left"/>
      </w:pPr>
      <w:r>
        <w:rPr>
          <w:rFonts w:ascii="Arial" w:hAnsi="Arial" w:cs="Arial" w:eastAsia="Arial" w:hint="default"/>
          <w:spacing w:val="-1"/>
          <w:w w:val="100"/>
        </w:rPr>
        <w:t>201</w:t>
      </w:r>
      <w:r>
        <w:rPr>
          <w:rFonts w:ascii="Arial" w:hAnsi="Arial" w:cs="Arial" w:eastAsia="Arial" w:hint="default"/>
          <w:w w:val="100"/>
        </w:rPr>
        <w:t>7</w:t>
      </w:r>
      <w:r>
        <w:rPr>
          <w:rFonts w:ascii="Arial" w:hAnsi="Arial" w:cs="Arial" w:eastAsia="Arial" w:hint="default"/>
          <w:spacing w:val="-7"/>
        </w:rPr>
        <w:t> </w:t>
      </w:r>
      <w:r>
        <w:rPr>
          <w:w w:val="100"/>
        </w:rPr>
        <w:t>年</w:t>
      </w:r>
      <w:r>
        <w:rPr>
          <w:spacing w:val="-55"/>
        </w:rPr>
        <w:t> </w:t>
      </w:r>
      <w:r>
        <w:rPr>
          <w:rFonts w:ascii="Arial" w:hAnsi="Arial" w:cs="Arial" w:eastAsia="Arial" w:hint="default"/>
          <w:w w:val="100"/>
        </w:rPr>
        <w:t>3</w:t>
      </w:r>
      <w:r>
        <w:rPr>
          <w:rFonts w:ascii="Arial" w:hAnsi="Arial" w:cs="Arial" w:eastAsia="Arial" w:hint="default"/>
          <w:spacing w:val="-7"/>
        </w:rPr>
        <w:t> </w:t>
      </w:r>
      <w:r>
        <w:rPr>
          <w:w w:val="100"/>
        </w:rPr>
        <w:t>月</w:t>
      </w:r>
      <w:r>
        <w:rPr>
          <w:spacing w:val="-3"/>
          <w:w w:val="100"/>
        </w:rPr>
        <w:t>以</w:t>
      </w:r>
      <w:r>
        <w:rPr>
          <w:w w:val="100"/>
        </w:rPr>
        <w:t>来财</w:t>
      </w:r>
      <w:r>
        <w:rPr>
          <w:spacing w:val="-3"/>
          <w:w w:val="100"/>
        </w:rPr>
        <w:t>政部</w:t>
      </w:r>
      <w:r>
        <w:rPr>
          <w:w w:val="100"/>
        </w:rPr>
        <w:t>发布了</w:t>
      </w:r>
      <w:r>
        <w:rPr>
          <w:spacing w:val="-3"/>
          <w:w w:val="100"/>
        </w:rPr>
        <w:t>修</w:t>
      </w:r>
      <w:r>
        <w:rPr>
          <w:w w:val="100"/>
        </w:rPr>
        <w:t>订后</w:t>
      </w:r>
      <w:r>
        <w:rPr>
          <w:spacing w:val="-39"/>
          <w:w w:val="100"/>
        </w:rPr>
        <w:t>的</w:t>
      </w:r>
      <w:r>
        <w:rPr>
          <w:w w:val="100"/>
        </w:rPr>
        <w:t>《</w:t>
      </w:r>
      <w:r>
        <w:rPr>
          <w:spacing w:val="-3"/>
          <w:w w:val="100"/>
        </w:rPr>
        <w:t>企</w:t>
      </w:r>
      <w:r>
        <w:rPr>
          <w:w w:val="100"/>
        </w:rPr>
        <w:t>业</w:t>
      </w:r>
      <w:r>
        <w:rPr>
          <w:spacing w:val="-3"/>
          <w:w w:val="100"/>
        </w:rPr>
        <w:t>会</w:t>
      </w:r>
      <w:r>
        <w:rPr>
          <w:w w:val="100"/>
        </w:rPr>
        <w:t>计准则第</w:t>
      </w:r>
      <w:r>
        <w:rPr>
          <w:spacing w:val="-54"/>
        </w:rPr>
        <w:t> </w:t>
      </w:r>
      <w:r>
        <w:rPr>
          <w:rFonts w:ascii="Arial" w:hAnsi="Arial" w:cs="Arial" w:eastAsia="Arial" w:hint="default"/>
          <w:spacing w:val="-1"/>
          <w:w w:val="100"/>
        </w:rPr>
        <w:t>2</w:t>
      </w:r>
      <w:r>
        <w:rPr>
          <w:rFonts w:ascii="Arial" w:hAnsi="Arial" w:cs="Arial" w:eastAsia="Arial" w:hint="default"/>
          <w:w w:val="100"/>
        </w:rPr>
        <w:t>2</w:t>
      </w:r>
      <w:r>
        <w:rPr>
          <w:rFonts w:ascii="Arial" w:hAnsi="Arial" w:cs="Arial" w:eastAsia="Arial" w:hint="default"/>
          <w:spacing w:val="-9"/>
        </w:rPr>
        <w:t> </w:t>
      </w:r>
      <w:r>
        <w:rPr>
          <w:w w:val="100"/>
        </w:rPr>
        <w:t>号</w:t>
      </w:r>
      <w:r>
        <w:rPr>
          <w:rFonts w:ascii="Arial" w:hAnsi="Arial" w:cs="Arial" w:eastAsia="Arial" w:hint="default"/>
          <w:w w:val="100"/>
        </w:rPr>
        <w:t>—</w:t>
      </w:r>
      <w:r>
        <w:rPr>
          <w:rFonts w:ascii="Arial" w:hAnsi="Arial" w:cs="Arial" w:eastAsia="Arial" w:hint="default"/>
          <w:spacing w:val="-3"/>
          <w:w w:val="100"/>
        </w:rPr>
        <w:t>—</w:t>
      </w:r>
      <w:r>
        <w:rPr>
          <w:w w:val="100"/>
        </w:rPr>
        <w:t>金</w:t>
      </w:r>
      <w:r>
        <w:rPr>
          <w:spacing w:val="-3"/>
          <w:w w:val="100"/>
        </w:rPr>
        <w:t>融</w:t>
      </w:r>
      <w:r>
        <w:rPr>
          <w:w w:val="100"/>
        </w:rPr>
        <w:t>工具确</w:t>
      </w:r>
      <w:r>
        <w:rPr>
          <w:spacing w:val="-3"/>
          <w:w w:val="100"/>
        </w:rPr>
        <w:t>认</w:t>
      </w:r>
      <w:r>
        <w:rPr>
          <w:w w:val="100"/>
        </w:rPr>
        <w:t>和计量</w:t>
      </w:r>
      <w:r>
        <w:rPr>
          <w:spacing w:val="-113"/>
          <w:w w:val="100"/>
        </w:rPr>
        <w:t>》</w:t>
      </w:r>
      <w:r>
        <w:rPr>
          <w:spacing w:val="-147"/>
          <w:w w:val="100"/>
        </w:rPr>
        <w:t>、</w:t>
      </w:r>
      <w:r>
        <w:rPr>
          <w:spacing w:val="-3"/>
          <w:w w:val="100"/>
        </w:rPr>
        <w:t>《</w:t>
      </w:r>
      <w:r>
        <w:rPr>
          <w:w w:val="100"/>
        </w:rPr>
        <w:t>企</w:t>
      </w:r>
    </w:p>
    <w:p>
      <w:pPr>
        <w:pStyle w:val="BodyText"/>
        <w:spacing w:line="240" w:lineRule="auto" w:before="97"/>
        <w:ind w:right="0"/>
        <w:jc w:val="left"/>
      </w:pPr>
      <w:r>
        <w:rPr>
          <w:w w:val="100"/>
        </w:rPr>
        <w:t>业会计</w:t>
      </w:r>
      <w:r>
        <w:rPr>
          <w:spacing w:val="-3"/>
          <w:w w:val="100"/>
        </w:rPr>
        <w:t>准</w:t>
      </w:r>
      <w:r>
        <w:rPr>
          <w:w w:val="100"/>
        </w:rPr>
        <w:t>则第</w:t>
      </w:r>
      <w:r>
        <w:rPr>
          <w:spacing w:val="-24"/>
        </w:rPr>
        <w:t> </w:t>
      </w:r>
      <w:r>
        <w:rPr>
          <w:rFonts w:ascii="Arial" w:hAnsi="Arial" w:cs="Arial" w:eastAsia="Arial" w:hint="default"/>
          <w:spacing w:val="-1"/>
          <w:w w:val="100"/>
        </w:rPr>
        <w:t>2</w:t>
      </w:r>
      <w:r>
        <w:rPr>
          <w:rFonts w:ascii="Arial" w:hAnsi="Arial" w:cs="Arial" w:eastAsia="Arial" w:hint="default"/>
          <w:w w:val="100"/>
        </w:rPr>
        <w:t>3</w:t>
      </w:r>
      <w:r>
        <w:rPr>
          <w:rFonts w:ascii="Arial" w:hAnsi="Arial" w:cs="Arial" w:eastAsia="Arial" w:hint="default"/>
          <w:spacing w:val="24"/>
        </w:rPr>
        <w:t> </w:t>
      </w:r>
      <w:r>
        <w:rPr>
          <w:w w:val="100"/>
        </w:rPr>
        <w:t>号</w:t>
      </w:r>
      <w:r>
        <w:rPr>
          <w:rFonts w:ascii="Arial" w:hAnsi="Arial" w:cs="Arial" w:eastAsia="Arial" w:hint="default"/>
          <w:w w:val="100"/>
        </w:rPr>
        <w:t>—</w:t>
      </w:r>
      <w:r>
        <w:rPr>
          <w:rFonts w:ascii="Arial" w:hAnsi="Arial" w:cs="Arial" w:eastAsia="Arial" w:hint="default"/>
          <w:spacing w:val="-3"/>
          <w:w w:val="100"/>
        </w:rPr>
        <w:t>—</w:t>
      </w:r>
      <w:r>
        <w:rPr>
          <w:w w:val="100"/>
        </w:rPr>
        <w:t>金融资</w:t>
      </w:r>
      <w:r>
        <w:rPr>
          <w:spacing w:val="-3"/>
          <w:w w:val="100"/>
        </w:rPr>
        <w:t>产</w:t>
      </w:r>
      <w:r>
        <w:rPr>
          <w:w w:val="100"/>
        </w:rPr>
        <w:t>转移</w:t>
      </w:r>
      <w:r>
        <w:rPr>
          <w:spacing w:val="-111"/>
          <w:w w:val="100"/>
        </w:rPr>
        <w:t>》</w:t>
      </w:r>
      <w:r>
        <w:rPr>
          <w:spacing w:val="-113"/>
          <w:w w:val="100"/>
        </w:rPr>
        <w:t>、</w:t>
      </w:r>
      <w:r>
        <w:rPr>
          <w:w w:val="100"/>
        </w:rPr>
        <w:t>《企</w:t>
      </w:r>
      <w:r>
        <w:rPr>
          <w:spacing w:val="-3"/>
          <w:w w:val="100"/>
        </w:rPr>
        <w:t>业会</w:t>
      </w:r>
      <w:r>
        <w:rPr>
          <w:w w:val="100"/>
        </w:rPr>
        <w:t>计准则第</w:t>
      </w:r>
      <w:r>
        <w:rPr>
          <w:spacing w:val="-23"/>
        </w:rPr>
        <w:t> </w:t>
      </w:r>
      <w:r>
        <w:rPr>
          <w:rFonts w:ascii="Arial" w:hAnsi="Arial" w:cs="Arial" w:eastAsia="Arial" w:hint="default"/>
          <w:spacing w:val="-1"/>
          <w:w w:val="100"/>
        </w:rPr>
        <w:t>2</w:t>
      </w:r>
      <w:r>
        <w:rPr>
          <w:rFonts w:ascii="Arial" w:hAnsi="Arial" w:cs="Arial" w:eastAsia="Arial" w:hint="default"/>
          <w:w w:val="100"/>
        </w:rPr>
        <w:t>4</w:t>
      </w:r>
      <w:r>
        <w:rPr>
          <w:rFonts w:ascii="Arial" w:hAnsi="Arial" w:cs="Arial" w:eastAsia="Arial" w:hint="default"/>
          <w:spacing w:val="24"/>
        </w:rPr>
        <w:t> </w:t>
      </w:r>
      <w:r>
        <w:rPr>
          <w:w w:val="100"/>
        </w:rPr>
        <w:t>号</w:t>
      </w:r>
      <w:r>
        <w:rPr>
          <w:rFonts w:ascii="Arial" w:hAnsi="Arial" w:cs="Arial" w:eastAsia="Arial" w:hint="default"/>
          <w:spacing w:val="-3"/>
          <w:w w:val="100"/>
        </w:rPr>
        <w:t>—</w:t>
      </w:r>
      <w:r>
        <w:rPr>
          <w:rFonts w:ascii="Arial" w:hAnsi="Arial" w:cs="Arial" w:eastAsia="Arial" w:hint="default"/>
          <w:w w:val="100"/>
        </w:rPr>
        <w:t>—</w:t>
      </w:r>
      <w:r>
        <w:rPr>
          <w:w w:val="100"/>
        </w:rPr>
        <w:t>套</w:t>
      </w:r>
      <w:r>
        <w:rPr>
          <w:spacing w:val="-3"/>
          <w:w w:val="100"/>
        </w:rPr>
        <w:t>期</w:t>
      </w:r>
      <w:r>
        <w:rPr>
          <w:w w:val="100"/>
        </w:rPr>
        <w:t>会计</w:t>
      </w:r>
      <w:r>
        <w:rPr>
          <w:spacing w:val="-111"/>
          <w:w w:val="100"/>
        </w:rPr>
        <w:t>》、</w:t>
      </w:r>
      <w:r>
        <w:rPr>
          <w:spacing w:val="-3"/>
          <w:w w:val="100"/>
        </w:rPr>
        <w:t>《</w:t>
      </w:r>
      <w:r>
        <w:rPr>
          <w:w w:val="100"/>
        </w:rPr>
        <w:t>企业</w:t>
      </w:r>
      <w:r>
        <w:rPr>
          <w:spacing w:val="-3"/>
          <w:w w:val="100"/>
        </w:rPr>
        <w:t>会</w:t>
      </w:r>
      <w:r>
        <w:rPr>
          <w:w w:val="100"/>
        </w:rPr>
        <w:t>计准</w:t>
      </w:r>
      <w:r>
        <w:rPr>
          <w:spacing w:val="-3"/>
          <w:w w:val="100"/>
        </w:rPr>
        <w:t>则</w:t>
      </w:r>
      <w:r>
        <w:rPr>
          <w:w w:val="100"/>
        </w:rPr>
        <w:t>第</w:t>
      </w:r>
    </w:p>
    <w:p>
      <w:pPr>
        <w:pStyle w:val="BodyText"/>
        <w:spacing w:line="316" w:lineRule="auto" w:before="95"/>
        <w:ind w:right="1126"/>
        <w:jc w:val="left"/>
      </w:pPr>
      <w:r>
        <w:rPr>
          <w:rFonts w:ascii="Arial" w:hAnsi="Arial" w:cs="Arial" w:eastAsia="Arial" w:hint="default"/>
          <w:spacing w:val="-1"/>
          <w:w w:val="100"/>
        </w:rPr>
        <w:t>3</w:t>
      </w:r>
      <w:r>
        <w:rPr>
          <w:rFonts w:ascii="Arial" w:hAnsi="Arial" w:cs="Arial" w:eastAsia="Arial" w:hint="default"/>
          <w:w w:val="100"/>
        </w:rPr>
        <w:t>7</w:t>
      </w:r>
      <w:r>
        <w:rPr>
          <w:rFonts w:ascii="Arial" w:hAnsi="Arial" w:cs="Arial" w:eastAsia="Arial" w:hint="default"/>
          <w:spacing w:val="-4"/>
        </w:rPr>
        <w:t> </w:t>
      </w:r>
      <w:r>
        <w:rPr>
          <w:w w:val="100"/>
        </w:rPr>
        <w:t>号</w:t>
      </w:r>
      <w:r>
        <w:rPr>
          <w:rFonts w:ascii="Arial" w:hAnsi="Arial" w:cs="Arial" w:eastAsia="Arial" w:hint="default"/>
          <w:w w:val="100"/>
        </w:rPr>
        <w:t>—</w:t>
      </w:r>
      <w:r>
        <w:rPr>
          <w:rFonts w:ascii="Arial" w:hAnsi="Arial" w:cs="Arial" w:eastAsia="Arial" w:hint="default"/>
          <w:spacing w:val="-1"/>
          <w:w w:val="100"/>
        </w:rPr>
        <w:t>—</w:t>
      </w:r>
      <w:r>
        <w:rPr>
          <w:w w:val="100"/>
        </w:rPr>
        <w:t>金</w:t>
      </w:r>
      <w:r>
        <w:rPr>
          <w:spacing w:val="-3"/>
          <w:w w:val="100"/>
        </w:rPr>
        <w:t>融</w:t>
      </w:r>
      <w:r>
        <w:rPr>
          <w:w w:val="100"/>
        </w:rPr>
        <w:t>工具</w:t>
      </w:r>
      <w:r>
        <w:rPr>
          <w:spacing w:val="-3"/>
          <w:w w:val="100"/>
        </w:rPr>
        <w:t>列</w:t>
      </w:r>
      <w:r>
        <w:rPr>
          <w:w w:val="100"/>
        </w:rPr>
        <w:t>报</w:t>
      </w:r>
      <w:r>
        <w:rPr>
          <w:spacing w:val="-113"/>
          <w:w w:val="100"/>
        </w:rPr>
        <w:t>》</w:t>
      </w:r>
      <w:r>
        <w:rPr>
          <w:w w:val="100"/>
        </w:rPr>
        <w:t>，要求</w:t>
      </w:r>
      <w:r>
        <w:rPr>
          <w:spacing w:val="-3"/>
          <w:w w:val="100"/>
        </w:rPr>
        <w:t>其</w:t>
      </w:r>
      <w:r>
        <w:rPr>
          <w:w w:val="100"/>
        </w:rPr>
        <w:t>他境</w:t>
      </w:r>
      <w:r>
        <w:rPr>
          <w:spacing w:val="-3"/>
          <w:w w:val="100"/>
        </w:rPr>
        <w:t>内</w:t>
      </w:r>
      <w:r>
        <w:rPr>
          <w:w w:val="100"/>
        </w:rPr>
        <w:t>上市</w:t>
      </w:r>
      <w:r>
        <w:rPr>
          <w:spacing w:val="-3"/>
          <w:w w:val="100"/>
        </w:rPr>
        <w:t>公司</w:t>
      </w:r>
      <w:r>
        <w:rPr>
          <w:w w:val="100"/>
        </w:rPr>
        <w:t>自</w:t>
      </w:r>
      <w:r>
        <w:rPr>
          <w:spacing w:val="-52"/>
        </w:rPr>
        <w:t> </w:t>
      </w:r>
      <w:r>
        <w:rPr>
          <w:rFonts w:ascii="Arial" w:hAnsi="Arial" w:cs="Arial" w:eastAsia="Arial" w:hint="default"/>
          <w:spacing w:val="-1"/>
          <w:w w:val="100"/>
        </w:rPr>
        <w:t>201</w:t>
      </w:r>
      <w:r>
        <w:rPr>
          <w:rFonts w:ascii="Arial" w:hAnsi="Arial" w:cs="Arial" w:eastAsia="Arial" w:hint="default"/>
          <w:w w:val="100"/>
        </w:rPr>
        <w:t>9</w:t>
      </w:r>
      <w:r>
        <w:rPr>
          <w:rFonts w:ascii="Arial" w:hAnsi="Arial" w:cs="Arial" w:eastAsia="Arial" w:hint="default"/>
          <w:spacing w:val="-4"/>
        </w:rPr>
        <w:t> </w:t>
      </w:r>
      <w:r>
        <w:rPr>
          <w:w w:val="100"/>
        </w:rPr>
        <w:t>年</w:t>
      </w:r>
      <w:r>
        <w:rPr>
          <w:spacing w:val="-53"/>
        </w:rPr>
        <w:t> </w:t>
      </w:r>
      <w:r>
        <w:rPr>
          <w:rFonts w:ascii="Arial" w:hAnsi="Arial" w:cs="Arial" w:eastAsia="Arial" w:hint="default"/>
          <w:w w:val="100"/>
        </w:rPr>
        <w:t>1</w:t>
      </w:r>
      <w:r>
        <w:rPr>
          <w:rFonts w:ascii="Arial" w:hAnsi="Arial" w:cs="Arial" w:eastAsia="Arial" w:hint="default"/>
          <w:spacing w:val="-4"/>
        </w:rPr>
        <w:t> </w:t>
      </w:r>
      <w:r>
        <w:rPr>
          <w:w w:val="100"/>
        </w:rPr>
        <w:t>月</w:t>
      </w:r>
      <w:r>
        <w:rPr>
          <w:spacing w:val="-53"/>
        </w:rPr>
        <w:t> </w:t>
      </w:r>
      <w:r>
        <w:rPr>
          <w:rFonts w:ascii="Arial" w:hAnsi="Arial" w:cs="Arial" w:eastAsia="Arial" w:hint="default"/>
          <w:w w:val="100"/>
        </w:rPr>
        <w:t>1</w:t>
      </w:r>
      <w:r>
        <w:rPr>
          <w:rFonts w:ascii="Arial" w:hAnsi="Arial" w:cs="Arial" w:eastAsia="Arial" w:hint="default"/>
          <w:spacing w:val="-4"/>
        </w:rPr>
        <w:t> </w:t>
      </w:r>
      <w:r>
        <w:rPr>
          <w:w w:val="100"/>
        </w:rPr>
        <w:t>日起施行新金</w:t>
      </w:r>
      <w:r>
        <w:rPr>
          <w:spacing w:val="-3"/>
          <w:w w:val="100"/>
        </w:rPr>
        <w:t>融</w:t>
      </w:r>
      <w:r>
        <w:rPr>
          <w:w w:val="100"/>
        </w:rPr>
        <w:t>工具</w:t>
      </w:r>
      <w:r>
        <w:rPr>
          <w:spacing w:val="-3"/>
          <w:w w:val="100"/>
        </w:rPr>
        <w:t>准</w:t>
      </w:r>
      <w:r>
        <w:rPr>
          <w:w w:val="100"/>
        </w:rPr>
        <w:t>则（</w:t>
      </w:r>
      <w:r>
        <w:rPr>
          <w:spacing w:val="-3"/>
          <w:w w:val="100"/>
        </w:rPr>
        <w:t>保</w:t>
      </w:r>
      <w:r>
        <w:rPr>
          <w:w w:val="100"/>
        </w:rPr>
        <w:t>险</w:t>
      </w:r>
      <w:r>
        <w:rPr>
          <w:w w:val="100"/>
        </w:rPr>
        <w:t> 公司除外</w:t>
      </w:r>
      <w:r>
        <w:rPr>
          <w:spacing w:val="-113"/>
          <w:w w:val="100"/>
        </w:rPr>
        <w:t>）</w:t>
      </w:r>
      <w:r>
        <w:rPr>
          <w:w w:val="100"/>
        </w:rPr>
        <w:t>。</w:t>
      </w:r>
    </w:p>
    <w:p>
      <w:pPr>
        <w:pStyle w:val="BodyText"/>
        <w:spacing w:line="240" w:lineRule="auto" w:before="81"/>
        <w:ind w:left="592" w:right="0"/>
        <w:jc w:val="left"/>
      </w:pPr>
      <w:r>
        <w:rPr/>
        <w:t>经本公司第六届董事会第八次会议、第六届监事会第六次会议审议通过，本公司自</w:t>
      </w:r>
      <w:r>
        <w:rPr>
          <w:spacing w:val="-53"/>
        </w:rPr>
        <w:t> </w:t>
      </w:r>
      <w:r>
        <w:rPr>
          <w:rFonts w:ascii="Arial" w:hAnsi="Arial" w:cs="Arial" w:eastAsia="Arial" w:hint="default"/>
        </w:rPr>
        <w:t>2019</w:t>
      </w:r>
      <w:r>
        <w:rPr>
          <w:rFonts w:ascii="Arial" w:hAnsi="Arial" w:cs="Arial" w:eastAsia="Arial" w:hint="default"/>
          <w:spacing w:val="-9"/>
        </w:rPr>
        <w:t> </w:t>
      </w:r>
      <w:r>
        <w:rPr/>
        <w:t>年</w:t>
      </w:r>
      <w:r>
        <w:rPr>
          <w:spacing w:val="-55"/>
        </w:rPr>
        <w:t> </w:t>
      </w:r>
      <w:r>
        <w:rPr>
          <w:rFonts w:ascii="Arial" w:hAnsi="Arial" w:cs="Arial" w:eastAsia="Arial" w:hint="default"/>
        </w:rPr>
        <w:t>1</w:t>
      </w:r>
      <w:r>
        <w:rPr>
          <w:rFonts w:ascii="Arial" w:hAnsi="Arial" w:cs="Arial" w:eastAsia="Arial" w:hint="default"/>
          <w:spacing w:val="-6"/>
        </w:rPr>
        <w:t> </w:t>
      </w:r>
      <w:r>
        <w:rPr/>
        <w:t>月</w:t>
      </w:r>
    </w:p>
    <w:p>
      <w:pPr>
        <w:pStyle w:val="BodyText"/>
        <w:spacing w:line="240" w:lineRule="auto" w:before="97"/>
        <w:ind w:right="1133"/>
        <w:jc w:val="left"/>
      </w:pPr>
      <w:r>
        <w:rPr>
          <w:rFonts w:ascii="Arial" w:hAnsi="Arial" w:cs="Arial" w:eastAsia="Arial" w:hint="default"/>
        </w:rPr>
        <w:t>1</w:t>
      </w:r>
      <w:r>
        <w:rPr>
          <w:rFonts w:ascii="Arial" w:hAnsi="Arial" w:cs="Arial" w:eastAsia="Arial" w:hint="default"/>
          <w:spacing w:val="-5"/>
        </w:rPr>
        <w:t> </w:t>
      </w:r>
      <w:r>
        <w:rPr/>
        <w:t>日起执行财政部上述经修订的企业会计准则。</w:t>
      </w:r>
    </w:p>
    <w:p>
      <w:pPr>
        <w:pStyle w:val="BodyText"/>
        <w:spacing w:line="240" w:lineRule="auto" w:before="135"/>
        <w:ind w:left="592" w:right="0"/>
        <w:jc w:val="left"/>
      </w:pPr>
      <w:r>
        <w:rPr/>
        <w:t>本公司根据新金融工具准则相关规定，结合管理层管理金融资产的业务模式，自 </w:t>
      </w:r>
      <w:r>
        <w:rPr>
          <w:rFonts w:ascii="Arial" w:hAnsi="Arial" w:cs="Arial" w:eastAsia="Arial" w:hint="default"/>
        </w:rPr>
        <w:t>2019  </w:t>
      </w:r>
      <w:r>
        <w:rPr/>
        <w:t>年 </w:t>
      </w:r>
      <w:r>
        <w:rPr>
          <w:rFonts w:ascii="Arial" w:hAnsi="Arial" w:cs="Arial" w:eastAsia="Arial" w:hint="default"/>
        </w:rPr>
        <w:t>1</w:t>
      </w:r>
      <w:r>
        <w:rPr>
          <w:rFonts w:ascii="Arial" w:hAnsi="Arial" w:cs="Arial" w:eastAsia="Arial" w:hint="default"/>
          <w:spacing w:val="36"/>
        </w:rPr>
        <w:t> </w:t>
      </w:r>
      <w:r>
        <w:rPr/>
        <w:t>月</w:t>
      </w:r>
    </w:p>
    <w:p>
      <w:pPr>
        <w:pStyle w:val="BodyText"/>
        <w:spacing w:line="316" w:lineRule="auto" w:before="97"/>
        <w:ind w:right="1133"/>
        <w:jc w:val="left"/>
      </w:pPr>
      <w:r>
        <w:rPr>
          <w:rFonts w:ascii="Arial" w:hAnsi="Arial" w:cs="Arial" w:eastAsia="Arial" w:hint="default"/>
        </w:rPr>
        <w:t>1 </w:t>
      </w:r>
      <w:r>
        <w:rPr/>
        <w:t>日起施行新金融工具准则，不重述 </w:t>
      </w:r>
      <w:r>
        <w:rPr>
          <w:rFonts w:ascii="Arial" w:hAnsi="Arial" w:cs="Arial" w:eastAsia="Arial" w:hint="default"/>
        </w:rPr>
        <w:t>2018 </w:t>
      </w:r>
      <w:r>
        <w:rPr/>
        <w:t>年比较期间数据。本次新旧准则转换数据对 </w:t>
      </w:r>
      <w:r>
        <w:rPr>
          <w:rFonts w:ascii="Arial" w:hAnsi="Arial" w:cs="Arial" w:eastAsia="Arial" w:hint="default"/>
        </w:rPr>
        <w:t>2019</w:t>
      </w:r>
      <w:r>
        <w:rPr>
          <w:rFonts w:ascii="Arial" w:hAnsi="Arial" w:cs="Arial" w:eastAsia="Arial" w:hint="default"/>
          <w:spacing w:val="26"/>
        </w:rPr>
        <w:t> </w:t>
      </w:r>
      <w:r>
        <w:rPr/>
        <w:t>年期</w:t>
      </w:r>
      <w:r>
        <w:rPr>
          <w:w w:val="100"/>
        </w:rPr>
        <w:t> </w:t>
      </w:r>
      <w:r>
        <w:rPr/>
        <w:t>初留存收益和其他综合收益无影响。</w:t>
      </w:r>
    </w:p>
    <w:p>
      <w:pPr>
        <w:pStyle w:val="BodyText"/>
        <w:spacing w:line="240" w:lineRule="auto" w:before="81"/>
        <w:ind w:left="592" w:right="1133"/>
        <w:jc w:val="left"/>
      </w:pPr>
      <w:r>
        <w:rPr/>
        <w:t>②财务报表列报</w:t>
      </w:r>
    </w:p>
    <w:p>
      <w:pPr>
        <w:pStyle w:val="BodyText"/>
        <w:spacing w:line="316" w:lineRule="auto" w:before="151"/>
        <w:ind w:right="1126" w:firstLine="439"/>
        <w:jc w:val="left"/>
      </w:pPr>
      <w:r>
        <w:rPr/>
        <w:t>本公司 </w:t>
      </w:r>
      <w:r>
        <w:rPr>
          <w:rFonts w:ascii="Arial" w:hAnsi="Arial" w:cs="Arial" w:eastAsia="Arial" w:hint="default"/>
        </w:rPr>
        <w:t>2019 </w:t>
      </w:r>
      <w:r>
        <w:rPr/>
        <w:t>年度财务报表根据财会</w:t>
      </w:r>
      <w:r>
        <w:rPr>
          <w:rFonts w:ascii="Arial" w:hAnsi="Arial" w:cs="Arial" w:eastAsia="Arial" w:hint="default"/>
        </w:rPr>
        <w:t>[2019]6</w:t>
      </w:r>
      <w:r>
        <w:rPr>
          <w:rFonts w:ascii="Arial" w:hAnsi="Arial" w:cs="Arial" w:eastAsia="Arial" w:hint="default"/>
          <w:spacing w:val="33"/>
        </w:rPr>
        <w:t> </w:t>
      </w:r>
      <w:r>
        <w:rPr/>
        <w:t>号规定的财务报表格式编制，并采用追溯调整法变</w:t>
      </w:r>
      <w:r>
        <w:rPr>
          <w:w w:val="100"/>
        </w:rPr>
        <w:t> </w:t>
      </w:r>
      <w:r>
        <w:rPr/>
        <w:t>更了相关财务报表列报。</w:t>
      </w:r>
    </w:p>
    <w:p>
      <w:pPr>
        <w:pStyle w:val="BodyText"/>
        <w:spacing w:line="240" w:lineRule="auto" w:before="81"/>
        <w:ind w:left="592" w:right="1133"/>
        <w:jc w:val="left"/>
      </w:pPr>
      <w:r>
        <w:rPr/>
        <w:t>相关列报调整影响如下：</w:t>
      </w:r>
    </w:p>
    <w:p>
      <w:pPr>
        <w:spacing w:line="240" w:lineRule="auto" w:before="13"/>
        <w:rPr>
          <w:rFonts w:ascii="宋体" w:hAnsi="宋体" w:cs="宋体" w:eastAsia="宋体" w:hint="default"/>
          <w:sz w:val="6"/>
          <w:szCs w:val="6"/>
        </w:rPr>
      </w:pPr>
    </w:p>
    <w:tbl>
      <w:tblPr>
        <w:tblW w:w="0" w:type="auto"/>
        <w:jc w:val="left"/>
        <w:tblInd w:w="580" w:type="dxa"/>
        <w:tblLayout w:type="fixed"/>
        <w:tblCellMar>
          <w:top w:w="0" w:type="dxa"/>
          <w:left w:w="0" w:type="dxa"/>
          <w:bottom w:w="0" w:type="dxa"/>
          <w:right w:w="0" w:type="dxa"/>
        </w:tblCellMar>
        <w:tblLook w:val="01E0"/>
      </w:tblPr>
      <w:tblGrid>
        <w:gridCol w:w="2350"/>
        <w:gridCol w:w="2179"/>
        <w:gridCol w:w="2033"/>
        <w:gridCol w:w="2177"/>
      </w:tblGrid>
      <w:tr>
        <w:trPr>
          <w:trHeight w:val="499" w:hRule="exact"/>
        </w:trPr>
        <w:tc>
          <w:tcPr>
            <w:tcW w:w="235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49"/>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7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9"/>
              <w:ind w:left="350" w:right="0"/>
              <w:jc w:val="left"/>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6"/>
                <w:sz w:val="18"/>
                <w:szCs w:val="18"/>
              </w:rPr>
              <w:t> </w:t>
            </w:r>
            <w:r>
              <w:rPr>
                <w:rFonts w:ascii="宋体" w:hAnsi="宋体" w:cs="宋体" w:eastAsia="宋体" w:hint="default"/>
                <w:sz w:val="18"/>
                <w:szCs w:val="18"/>
              </w:rPr>
              <w:t>日</w:t>
            </w:r>
          </w:p>
        </w:tc>
        <w:tc>
          <w:tcPr>
            <w:tcW w:w="203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9"/>
              <w:ind w:left="5" w:right="0"/>
              <w:jc w:val="center"/>
              <w:rPr>
                <w:rFonts w:ascii="宋体" w:hAnsi="宋体" w:cs="宋体" w:eastAsia="宋体" w:hint="default"/>
                <w:sz w:val="18"/>
                <w:szCs w:val="18"/>
              </w:rPr>
            </w:pPr>
            <w:r>
              <w:rPr>
                <w:rFonts w:ascii="宋体" w:hAnsi="宋体" w:cs="宋体" w:eastAsia="宋体" w:hint="default"/>
                <w:sz w:val="18"/>
                <w:szCs w:val="18"/>
              </w:rPr>
              <w:t>调整数</w:t>
            </w:r>
          </w:p>
        </w:tc>
        <w:tc>
          <w:tcPr>
            <w:tcW w:w="217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49"/>
              <w:ind w:left="400"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日</w:t>
            </w:r>
          </w:p>
        </w:tc>
      </w:tr>
      <w:tr>
        <w:trPr>
          <w:trHeight w:val="490" w:hRule="exact"/>
        </w:trPr>
        <w:tc>
          <w:tcPr>
            <w:tcW w:w="23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18"/>
                <w:szCs w:val="18"/>
              </w:rPr>
            </w:pPr>
            <w:r>
              <w:rPr>
                <w:rFonts w:ascii="Arial"/>
                <w:spacing w:val="-1"/>
                <w:sz w:val="18"/>
              </w:rPr>
              <w:t>140,868,225.45</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18"/>
                <w:szCs w:val="18"/>
              </w:rPr>
            </w:pPr>
            <w:r>
              <w:rPr>
                <w:rFonts w:ascii="Arial"/>
                <w:spacing w:val="-1"/>
                <w:sz w:val="18"/>
              </w:rPr>
              <w:t>-140,868,225.45</w:t>
            </w:r>
          </w:p>
        </w:tc>
        <w:tc>
          <w:tcPr>
            <w:tcW w:w="2177"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23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2"/>
              <w:ind w:left="1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179"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18"/>
                <w:szCs w:val="18"/>
              </w:rPr>
            </w:pPr>
            <w:r>
              <w:rPr>
                <w:rFonts w:ascii="Arial"/>
                <w:spacing w:val="-1"/>
                <w:sz w:val="18"/>
              </w:rPr>
              <w:t>13,134,121.31</w:t>
            </w:r>
          </w:p>
        </w:tc>
        <w:tc>
          <w:tcPr>
            <w:tcW w:w="2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13,134,121.31</w:t>
            </w:r>
          </w:p>
        </w:tc>
      </w:tr>
      <w:tr>
        <w:trPr>
          <w:trHeight w:val="490" w:hRule="exact"/>
        </w:trPr>
        <w:tc>
          <w:tcPr>
            <w:tcW w:w="23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79"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18"/>
                <w:szCs w:val="18"/>
              </w:rPr>
            </w:pPr>
            <w:r>
              <w:rPr>
                <w:rFonts w:ascii="Arial"/>
                <w:spacing w:val="-1"/>
                <w:sz w:val="18"/>
              </w:rPr>
              <w:t>127,734,104.14</w:t>
            </w:r>
          </w:p>
        </w:tc>
        <w:tc>
          <w:tcPr>
            <w:tcW w:w="2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127,734,104.14</w:t>
            </w:r>
          </w:p>
        </w:tc>
      </w:tr>
      <w:tr>
        <w:trPr>
          <w:trHeight w:val="490" w:hRule="exact"/>
        </w:trPr>
        <w:tc>
          <w:tcPr>
            <w:tcW w:w="23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18"/>
                <w:szCs w:val="18"/>
              </w:rPr>
            </w:pPr>
            <w:r>
              <w:rPr>
                <w:rFonts w:ascii="Arial"/>
                <w:spacing w:val="-1"/>
                <w:sz w:val="18"/>
              </w:rPr>
              <w:t>245,690,000.78</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18"/>
                <w:szCs w:val="18"/>
              </w:rPr>
            </w:pPr>
            <w:r>
              <w:rPr>
                <w:rFonts w:ascii="Arial"/>
                <w:spacing w:val="-1"/>
                <w:sz w:val="18"/>
              </w:rPr>
              <w:t>-245,690,000.78</w:t>
            </w:r>
          </w:p>
        </w:tc>
        <w:tc>
          <w:tcPr>
            <w:tcW w:w="2177" w:type="dxa"/>
            <w:tcBorders>
              <w:top w:val="single" w:sz="4" w:space="0" w:color="000000"/>
              <w:left w:val="single" w:sz="4" w:space="0" w:color="000000"/>
              <w:bottom w:val="single" w:sz="4" w:space="0" w:color="000000"/>
              <w:right w:val="nil" w:sz="6" w:space="0" w:color="auto"/>
            </w:tcBorders>
          </w:tcPr>
          <w:p>
            <w:pPr/>
          </w:p>
        </w:tc>
      </w:tr>
      <w:tr>
        <w:trPr>
          <w:trHeight w:val="502" w:hRule="exact"/>
        </w:trPr>
        <w:tc>
          <w:tcPr>
            <w:tcW w:w="235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179" w:type="dxa"/>
            <w:tcBorders>
              <w:top w:val="single" w:sz="4" w:space="0" w:color="000000"/>
              <w:left w:val="single" w:sz="4" w:space="0" w:color="000000"/>
              <w:bottom w:val="single" w:sz="12" w:space="0" w:color="000000"/>
              <w:right w:val="single" w:sz="4" w:space="0" w:color="000000"/>
            </w:tcBorders>
          </w:tcPr>
          <w:p>
            <w:pPr/>
          </w:p>
        </w:tc>
        <w:tc>
          <w:tcPr>
            <w:tcW w:w="20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18"/>
                <w:szCs w:val="18"/>
              </w:rPr>
            </w:pPr>
            <w:r>
              <w:rPr>
                <w:rFonts w:ascii="Arial"/>
                <w:spacing w:val="-1"/>
                <w:sz w:val="18"/>
              </w:rPr>
              <w:t>9,665,542.00</w:t>
            </w:r>
          </w:p>
        </w:tc>
        <w:tc>
          <w:tcPr>
            <w:tcW w:w="217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9,665,542.00</w:t>
            </w:r>
          </w:p>
        </w:tc>
      </w:tr>
    </w:tbl>
    <w:p>
      <w:pPr>
        <w:spacing w:after="0" w:line="240" w:lineRule="auto"/>
        <w:jc w:val="right"/>
        <w:rPr>
          <w:rFonts w:ascii="Arial" w:hAnsi="Arial" w:cs="Arial" w:eastAsia="Arial"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580" w:type="dxa"/>
        <w:tblLayout w:type="fixed"/>
        <w:tblCellMar>
          <w:top w:w="0" w:type="dxa"/>
          <w:left w:w="0" w:type="dxa"/>
          <w:bottom w:w="0" w:type="dxa"/>
          <w:right w:w="0" w:type="dxa"/>
        </w:tblCellMar>
        <w:tblLook w:val="01E0"/>
      </w:tblPr>
      <w:tblGrid>
        <w:gridCol w:w="2350"/>
        <w:gridCol w:w="2179"/>
        <w:gridCol w:w="2033"/>
        <w:gridCol w:w="2177"/>
      </w:tblGrid>
      <w:tr>
        <w:trPr>
          <w:trHeight w:val="502" w:hRule="exact"/>
        </w:trPr>
        <w:tc>
          <w:tcPr>
            <w:tcW w:w="235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2"/>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7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2"/>
              <w:ind w:left="350" w:right="0"/>
              <w:jc w:val="left"/>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6"/>
                <w:sz w:val="18"/>
                <w:szCs w:val="18"/>
              </w:rPr>
              <w:t> </w:t>
            </w:r>
            <w:r>
              <w:rPr>
                <w:rFonts w:ascii="宋体" w:hAnsi="宋体" w:cs="宋体" w:eastAsia="宋体" w:hint="default"/>
                <w:sz w:val="18"/>
                <w:szCs w:val="18"/>
              </w:rPr>
              <w:t>日</w:t>
            </w:r>
          </w:p>
        </w:tc>
        <w:tc>
          <w:tcPr>
            <w:tcW w:w="203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2"/>
              <w:ind w:left="5" w:right="0"/>
              <w:jc w:val="center"/>
              <w:rPr>
                <w:rFonts w:ascii="宋体" w:hAnsi="宋体" w:cs="宋体" w:eastAsia="宋体" w:hint="default"/>
                <w:sz w:val="18"/>
                <w:szCs w:val="18"/>
              </w:rPr>
            </w:pPr>
            <w:r>
              <w:rPr>
                <w:rFonts w:ascii="宋体" w:hAnsi="宋体" w:cs="宋体" w:eastAsia="宋体" w:hint="default"/>
                <w:sz w:val="18"/>
                <w:szCs w:val="18"/>
              </w:rPr>
              <w:t>调整数</w:t>
            </w:r>
          </w:p>
        </w:tc>
        <w:tc>
          <w:tcPr>
            <w:tcW w:w="217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2"/>
              <w:ind w:left="400"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日</w:t>
            </w:r>
          </w:p>
        </w:tc>
      </w:tr>
      <w:tr>
        <w:trPr>
          <w:trHeight w:val="499" w:hRule="exact"/>
        </w:trPr>
        <w:tc>
          <w:tcPr>
            <w:tcW w:w="235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79" w:type="dxa"/>
            <w:tcBorders>
              <w:top w:val="single" w:sz="4" w:space="0" w:color="000000"/>
              <w:left w:val="single" w:sz="4" w:space="0" w:color="000000"/>
              <w:bottom w:val="single" w:sz="12" w:space="0" w:color="000000"/>
              <w:right w:val="single" w:sz="4" w:space="0" w:color="000000"/>
            </w:tcBorders>
          </w:tcPr>
          <w:p>
            <w:pPr/>
          </w:p>
        </w:tc>
        <w:tc>
          <w:tcPr>
            <w:tcW w:w="20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672" w:right="0"/>
              <w:jc w:val="left"/>
              <w:rPr>
                <w:rFonts w:ascii="Arial" w:hAnsi="Arial" w:cs="Arial" w:eastAsia="Arial" w:hint="default"/>
                <w:sz w:val="18"/>
                <w:szCs w:val="18"/>
              </w:rPr>
            </w:pPr>
            <w:r>
              <w:rPr>
                <w:rFonts w:ascii="Arial"/>
                <w:sz w:val="18"/>
              </w:rPr>
              <w:t>236,024,458.78</w:t>
            </w:r>
          </w:p>
        </w:tc>
        <w:tc>
          <w:tcPr>
            <w:tcW w:w="217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814" w:right="0"/>
              <w:jc w:val="left"/>
              <w:rPr>
                <w:rFonts w:ascii="Arial" w:hAnsi="Arial" w:cs="Arial" w:eastAsia="Arial" w:hint="default"/>
                <w:sz w:val="18"/>
                <w:szCs w:val="18"/>
              </w:rPr>
            </w:pPr>
            <w:r>
              <w:rPr>
                <w:rFonts w:ascii="Arial"/>
                <w:sz w:val="18"/>
              </w:rPr>
              <w:t>236,024,458.78</w:t>
            </w:r>
          </w:p>
        </w:tc>
      </w:tr>
    </w:tbl>
    <w:p>
      <w:pPr>
        <w:spacing w:line="240" w:lineRule="auto" w:before="5"/>
        <w:rPr>
          <w:rFonts w:ascii="宋体" w:hAnsi="宋体" w:cs="宋体" w:eastAsia="宋体" w:hint="default"/>
          <w:sz w:val="5"/>
          <w:szCs w:val="5"/>
        </w:rPr>
      </w:pPr>
    </w:p>
    <w:p>
      <w:pPr>
        <w:pStyle w:val="BodyText"/>
        <w:spacing w:line="348" w:lineRule="auto" w:before="32"/>
        <w:ind w:left="592" w:right="3554"/>
        <w:jc w:val="left"/>
      </w:pPr>
      <w:r>
        <w:rPr/>
        <w:t>（</w:t>
      </w:r>
      <w:r>
        <w:rPr>
          <w:rFonts w:ascii="Arial" w:hAnsi="Arial" w:cs="Arial" w:eastAsia="Arial" w:hint="default"/>
        </w:rPr>
        <w:t>2</w:t>
      </w:r>
      <w:r>
        <w:rPr/>
        <w:t>）重要会计估计变更</w:t>
      </w:r>
      <w:r>
        <w:rPr>
          <w:w w:val="100"/>
        </w:rPr>
        <w:t> </w:t>
      </w:r>
      <w:r>
        <w:rPr>
          <w:spacing w:val="-1"/>
        </w:rPr>
        <w:t>报告期本公司无需要披露的重要会计估计变更。</w:t>
      </w:r>
    </w:p>
    <w:p>
      <w:pPr>
        <w:spacing w:line="240" w:lineRule="auto" w:before="4"/>
        <w:rPr>
          <w:rFonts w:ascii="宋体" w:hAnsi="宋体" w:cs="宋体" w:eastAsia="宋体" w:hint="default"/>
          <w:sz w:val="16"/>
          <w:szCs w:val="16"/>
        </w:rPr>
      </w:pPr>
    </w:p>
    <w:p>
      <w:pPr>
        <w:pStyle w:val="Heading3"/>
        <w:spacing w:line="240" w:lineRule="auto"/>
        <w:ind w:right="1133"/>
        <w:jc w:val="left"/>
        <w:rPr>
          <w:b w:val="0"/>
          <w:bCs w:val="0"/>
        </w:rPr>
      </w:pPr>
      <w:r>
        <w:rPr/>
        <w:t>七、税项</w:t>
      </w:r>
      <w:r>
        <w:rPr>
          <w:b w:val="0"/>
          <w:bCs w:val="0"/>
        </w:rPr>
      </w:r>
    </w:p>
    <w:p>
      <w:pPr>
        <w:spacing w:line="240" w:lineRule="auto" w:before="6"/>
        <w:rPr>
          <w:rFonts w:ascii="宋体" w:hAnsi="宋体" w:cs="宋体" w:eastAsia="宋体" w:hint="default"/>
          <w:b/>
          <w:bCs/>
          <w:sz w:val="30"/>
          <w:szCs w:val="30"/>
        </w:rPr>
      </w:pPr>
    </w:p>
    <w:p>
      <w:pPr>
        <w:pStyle w:val="Heading4"/>
        <w:spacing w:line="240" w:lineRule="auto" w:before="0"/>
        <w:ind w:left="635" w:right="1133"/>
        <w:jc w:val="left"/>
        <w:rPr>
          <w:b w:val="0"/>
          <w:bCs w:val="0"/>
        </w:rPr>
      </w:pPr>
      <w:r>
        <w:rPr>
          <w:rFonts w:ascii="Arial" w:hAnsi="Arial" w:cs="Arial" w:eastAsia="Arial" w:hint="default"/>
        </w:rPr>
        <w:t>1</w:t>
      </w:r>
      <w:r>
        <w:rPr/>
        <w:t>、主要税种及税率</w:t>
      </w:r>
      <w:r>
        <w:rPr>
          <w:b w:val="0"/>
          <w:bCs w:val="0"/>
        </w:rPr>
      </w:r>
    </w:p>
    <w:p>
      <w:pPr>
        <w:spacing w:line="240" w:lineRule="auto" w:before="10"/>
        <w:rPr>
          <w:rFonts w:ascii="宋体" w:hAnsi="宋体" w:cs="宋体" w:eastAsia="宋体" w:hint="default"/>
          <w:b/>
          <w:bCs/>
          <w:sz w:val="5"/>
          <w:szCs w:val="5"/>
        </w:rPr>
      </w:pPr>
    </w:p>
    <w:tbl>
      <w:tblPr>
        <w:tblW w:w="0" w:type="auto"/>
        <w:jc w:val="left"/>
        <w:tblInd w:w="676" w:type="dxa"/>
        <w:tblLayout w:type="fixed"/>
        <w:tblCellMar>
          <w:top w:w="0" w:type="dxa"/>
          <w:left w:w="0" w:type="dxa"/>
          <w:bottom w:w="0" w:type="dxa"/>
          <w:right w:w="0" w:type="dxa"/>
        </w:tblCellMar>
        <w:tblLook w:val="01E0"/>
      </w:tblPr>
      <w:tblGrid>
        <w:gridCol w:w="1870"/>
        <w:gridCol w:w="3834"/>
        <w:gridCol w:w="2844"/>
      </w:tblGrid>
      <w:tr>
        <w:trPr>
          <w:trHeight w:val="497" w:hRule="exact"/>
        </w:trPr>
        <w:tc>
          <w:tcPr>
            <w:tcW w:w="187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0"/>
              <w:ind w:left="19" w:right="0"/>
              <w:jc w:val="center"/>
              <w:rPr>
                <w:rFonts w:ascii="宋体" w:hAnsi="宋体" w:cs="宋体" w:eastAsia="宋体" w:hint="default"/>
                <w:sz w:val="18"/>
                <w:szCs w:val="18"/>
              </w:rPr>
            </w:pPr>
            <w:r>
              <w:rPr>
                <w:rFonts w:ascii="宋体" w:hAnsi="宋体" w:cs="宋体" w:eastAsia="宋体" w:hint="default"/>
                <w:b/>
                <w:bCs/>
                <w:sz w:val="18"/>
                <w:szCs w:val="18"/>
              </w:rPr>
              <w:t>税种</w:t>
            </w:r>
            <w:r>
              <w:rPr>
                <w:rFonts w:ascii="宋体" w:hAnsi="宋体" w:cs="宋体" w:eastAsia="宋体" w:hint="default"/>
                <w:sz w:val="18"/>
                <w:szCs w:val="18"/>
              </w:rPr>
            </w:r>
          </w:p>
        </w:tc>
        <w:tc>
          <w:tcPr>
            <w:tcW w:w="38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0"/>
              <w:ind w:left="4" w:right="0"/>
              <w:jc w:val="center"/>
              <w:rPr>
                <w:rFonts w:ascii="宋体" w:hAnsi="宋体" w:cs="宋体" w:eastAsia="宋体" w:hint="default"/>
                <w:sz w:val="18"/>
                <w:szCs w:val="18"/>
              </w:rPr>
            </w:pPr>
            <w:r>
              <w:rPr>
                <w:rFonts w:ascii="宋体" w:hAnsi="宋体" w:cs="宋体" w:eastAsia="宋体" w:hint="default"/>
                <w:b/>
                <w:bCs/>
                <w:sz w:val="18"/>
                <w:szCs w:val="18"/>
              </w:rPr>
              <w:t>计税依据</w:t>
            </w:r>
            <w:r>
              <w:rPr>
                <w:rFonts w:ascii="宋体" w:hAnsi="宋体" w:cs="宋体" w:eastAsia="宋体" w:hint="default"/>
                <w:sz w:val="18"/>
                <w:szCs w:val="18"/>
              </w:rPr>
            </w:r>
          </w:p>
        </w:tc>
        <w:tc>
          <w:tcPr>
            <w:tcW w:w="284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0"/>
              <w:ind w:left="4" w:right="0"/>
              <w:jc w:val="center"/>
              <w:rPr>
                <w:rFonts w:ascii="宋体" w:hAnsi="宋体" w:cs="宋体" w:eastAsia="宋体" w:hint="default"/>
                <w:sz w:val="18"/>
                <w:szCs w:val="18"/>
              </w:rPr>
            </w:pPr>
            <w:r>
              <w:rPr>
                <w:rFonts w:ascii="宋体" w:hAnsi="宋体" w:cs="宋体" w:eastAsia="宋体" w:hint="default"/>
                <w:b/>
                <w:bCs/>
                <w:sz w:val="18"/>
                <w:szCs w:val="18"/>
              </w:rPr>
              <w:t>税率</w:t>
            </w:r>
            <w:r>
              <w:rPr>
                <w:rFonts w:ascii="宋体" w:hAnsi="宋体" w:cs="宋体" w:eastAsia="宋体" w:hint="default"/>
                <w:sz w:val="18"/>
                <w:szCs w:val="18"/>
              </w:rPr>
            </w:r>
          </w:p>
        </w:tc>
      </w:tr>
      <w:tr>
        <w:trPr>
          <w:trHeight w:val="886" w:hRule="exact"/>
        </w:trPr>
        <w:tc>
          <w:tcPr>
            <w:tcW w:w="18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834" w:type="dxa"/>
            <w:tcBorders>
              <w:top w:val="single" w:sz="2" w:space="0" w:color="000000"/>
              <w:left w:val="single" w:sz="2" w:space="0" w:color="000000"/>
              <w:bottom w:val="single" w:sz="2" w:space="0" w:color="000000"/>
              <w:right w:val="single" w:sz="2" w:space="0" w:color="000000"/>
            </w:tcBorders>
          </w:tcPr>
          <w:p>
            <w:pPr>
              <w:pStyle w:val="TableParagraph"/>
              <w:spacing w:line="400" w:lineRule="exact" w:before="40"/>
              <w:ind w:left="655" w:right="12" w:hanging="548"/>
              <w:jc w:val="left"/>
              <w:rPr>
                <w:rFonts w:ascii="宋体" w:hAnsi="宋体" w:cs="宋体" w:eastAsia="宋体" w:hint="default"/>
                <w:sz w:val="18"/>
                <w:szCs w:val="18"/>
              </w:rPr>
            </w:pPr>
            <w:r>
              <w:rPr>
                <w:rFonts w:ascii="宋体" w:hAnsi="宋体" w:cs="宋体" w:eastAsia="宋体" w:hint="default"/>
                <w:spacing w:val="-4"/>
                <w:sz w:val="18"/>
                <w:szCs w:val="18"/>
              </w:rPr>
              <w:t>建筑工程收入、销售商品收入、技术服务收入、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物业收入、不动产经营租赁收入</w:t>
            </w:r>
          </w:p>
        </w:tc>
        <w:tc>
          <w:tcPr>
            <w:tcW w:w="28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left="62" w:right="0"/>
              <w:jc w:val="center"/>
              <w:rPr>
                <w:rFonts w:ascii="宋体" w:hAnsi="宋体" w:cs="宋体" w:eastAsia="宋体" w:hint="default"/>
                <w:sz w:val="18"/>
                <w:szCs w:val="18"/>
              </w:rPr>
            </w:pPr>
            <w:r>
              <w:rPr>
                <w:rFonts w:ascii="Arial" w:hAnsi="Arial" w:cs="Arial" w:eastAsia="Arial" w:hint="default"/>
                <w:sz w:val="18"/>
                <w:szCs w:val="18"/>
              </w:rPr>
              <w:t>17%</w:t>
            </w:r>
            <w:r>
              <w:rPr>
                <w:rFonts w:ascii="宋体" w:hAnsi="宋体" w:cs="宋体" w:eastAsia="宋体" w:hint="default"/>
                <w:sz w:val="18"/>
                <w:szCs w:val="18"/>
              </w:rPr>
              <w:t>、</w:t>
            </w:r>
            <w:r>
              <w:rPr>
                <w:rFonts w:ascii="Arial" w:hAnsi="Arial" w:cs="Arial" w:eastAsia="Arial" w:hint="default"/>
                <w:sz w:val="18"/>
                <w:szCs w:val="18"/>
              </w:rPr>
              <w:t>16%</w:t>
            </w:r>
            <w:r>
              <w:rPr>
                <w:rFonts w:ascii="宋体" w:hAnsi="宋体" w:cs="宋体" w:eastAsia="宋体" w:hint="default"/>
                <w:sz w:val="18"/>
                <w:szCs w:val="18"/>
              </w:rPr>
              <w:t>、</w:t>
            </w:r>
            <w:r>
              <w:rPr>
                <w:rFonts w:ascii="Arial" w:hAnsi="Arial" w:cs="Arial" w:eastAsia="Arial" w:hint="default"/>
                <w:sz w:val="18"/>
                <w:szCs w:val="18"/>
              </w:rPr>
              <w:t>13%</w:t>
            </w:r>
            <w:r>
              <w:rPr>
                <w:rFonts w:ascii="宋体" w:hAnsi="宋体" w:cs="宋体" w:eastAsia="宋体" w:hint="default"/>
                <w:sz w:val="18"/>
                <w:szCs w:val="18"/>
              </w:rPr>
              <w:t>、</w:t>
            </w:r>
            <w:r>
              <w:rPr>
                <w:rFonts w:ascii="Arial" w:hAnsi="Arial" w:cs="Arial" w:eastAsia="Arial" w:hint="default"/>
                <w:sz w:val="18"/>
                <w:szCs w:val="18"/>
              </w:rPr>
              <w:t>11%</w:t>
            </w:r>
            <w:r>
              <w:rPr>
                <w:rFonts w:ascii="宋体" w:hAnsi="宋体" w:cs="宋体" w:eastAsia="宋体" w:hint="default"/>
                <w:sz w:val="18"/>
                <w:szCs w:val="18"/>
              </w:rPr>
              <w:t>、</w:t>
            </w:r>
            <w:r>
              <w:rPr>
                <w:rFonts w:ascii="Arial" w:hAnsi="Arial" w:cs="Arial" w:eastAsia="Arial" w:hint="default"/>
                <w:sz w:val="18"/>
                <w:szCs w:val="18"/>
              </w:rPr>
              <w:t>10%</w:t>
            </w:r>
            <w:r>
              <w:rPr>
                <w:rFonts w:ascii="宋体" w:hAnsi="宋体" w:cs="宋体" w:eastAsia="宋体" w:hint="default"/>
                <w:sz w:val="18"/>
                <w:szCs w:val="18"/>
              </w:rPr>
              <w:t>、</w:t>
            </w:r>
          </w:p>
          <w:p>
            <w:pPr>
              <w:pStyle w:val="TableParagraph"/>
              <w:spacing w:line="240" w:lineRule="auto" w:before="152"/>
              <w:ind w:left="4" w:right="0"/>
              <w:jc w:val="center"/>
              <w:rPr>
                <w:rFonts w:ascii="Arial" w:hAnsi="Arial" w:cs="Arial" w:eastAsia="Arial" w:hint="default"/>
                <w:sz w:val="18"/>
                <w:szCs w:val="18"/>
              </w:rPr>
            </w:pPr>
            <w:r>
              <w:rPr>
                <w:rFonts w:ascii="Arial" w:hAnsi="Arial" w:cs="Arial" w:eastAsia="Arial" w:hint="default"/>
                <w:sz w:val="18"/>
                <w:szCs w:val="18"/>
              </w:rPr>
              <w:t>9%</w:t>
            </w:r>
            <w:r>
              <w:rPr>
                <w:rFonts w:ascii="宋体" w:hAnsi="宋体" w:cs="宋体" w:eastAsia="宋体" w:hint="default"/>
                <w:sz w:val="18"/>
                <w:szCs w:val="18"/>
              </w:rPr>
              <w:t>、</w:t>
            </w:r>
            <w:r>
              <w:rPr>
                <w:rFonts w:ascii="Arial" w:hAnsi="Arial" w:cs="Arial" w:eastAsia="Arial" w:hint="default"/>
                <w:sz w:val="18"/>
                <w:szCs w:val="18"/>
              </w:rPr>
              <w:t>6%</w:t>
            </w:r>
            <w:r>
              <w:rPr>
                <w:rFonts w:ascii="宋体" w:hAnsi="宋体" w:cs="宋体" w:eastAsia="宋体" w:hint="default"/>
                <w:sz w:val="18"/>
                <w:szCs w:val="18"/>
              </w:rPr>
              <w:t>、</w:t>
            </w:r>
            <w:r>
              <w:rPr>
                <w:rFonts w:ascii="Arial" w:hAnsi="Arial" w:cs="Arial" w:eastAsia="Arial" w:hint="default"/>
                <w:sz w:val="18"/>
                <w:szCs w:val="18"/>
              </w:rPr>
              <w:t>5%</w:t>
            </w:r>
            <w:r>
              <w:rPr>
                <w:rFonts w:ascii="宋体" w:hAnsi="宋体" w:cs="宋体" w:eastAsia="宋体" w:hint="default"/>
                <w:sz w:val="18"/>
                <w:szCs w:val="18"/>
              </w:rPr>
              <w:t>、</w:t>
            </w:r>
            <w:r>
              <w:rPr>
                <w:rFonts w:ascii="Arial" w:hAnsi="Arial" w:cs="Arial" w:eastAsia="Arial" w:hint="default"/>
                <w:sz w:val="18"/>
                <w:szCs w:val="18"/>
              </w:rPr>
              <w:t>3%</w:t>
            </w:r>
          </w:p>
        </w:tc>
      </w:tr>
      <w:tr>
        <w:trPr>
          <w:trHeight w:val="485" w:hRule="exact"/>
        </w:trPr>
        <w:tc>
          <w:tcPr>
            <w:tcW w:w="18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2" w:right="0"/>
              <w:jc w:val="center"/>
              <w:rPr>
                <w:rFonts w:ascii="宋体" w:hAnsi="宋体" w:cs="宋体" w:eastAsia="宋体" w:hint="default"/>
                <w:sz w:val="18"/>
                <w:szCs w:val="18"/>
              </w:rPr>
            </w:pPr>
            <w:r>
              <w:rPr>
                <w:rFonts w:ascii="宋体" w:hAnsi="宋体" w:cs="宋体" w:eastAsia="宋体" w:hint="default"/>
                <w:sz w:val="18"/>
                <w:szCs w:val="18"/>
              </w:rPr>
              <w:t>应缴流转税额</w:t>
            </w:r>
          </w:p>
        </w:tc>
        <w:tc>
          <w:tcPr>
            <w:tcW w:w="28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left="2" w:right="0"/>
              <w:jc w:val="center"/>
              <w:rPr>
                <w:rFonts w:ascii="Arial" w:hAnsi="Arial" w:cs="Arial" w:eastAsia="Arial" w:hint="default"/>
                <w:sz w:val="18"/>
                <w:szCs w:val="18"/>
              </w:rPr>
            </w:pPr>
            <w:r>
              <w:rPr>
                <w:rFonts w:ascii="Arial" w:hAnsi="Arial" w:cs="Arial" w:eastAsia="Arial" w:hint="default"/>
                <w:sz w:val="18"/>
                <w:szCs w:val="18"/>
              </w:rPr>
              <w:t>7%</w:t>
            </w:r>
            <w:r>
              <w:rPr>
                <w:rFonts w:ascii="宋体" w:hAnsi="宋体" w:cs="宋体" w:eastAsia="宋体" w:hint="default"/>
                <w:sz w:val="18"/>
                <w:szCs w:val="18"/>
              </w:rPr>
              <w:t>、</w:t>
            </w:r>
            <w:r>
              <w:rPr>
                <w:rFonts w:ascii="Arial" w:hAnsi="Arial" w:cs="Arial" w:eastAsia="Arial" w:hint="default"/>
                <w:sz w:val="18"/>
                <w:szCs w:val="18"/>
              </w:rPr>
              <w:t>5%</w:t>
            </w:r>
            <w:r>
              <w:rPr>
                <w:rFonts w:ascii="宋体" w:hAnsi="宋体" w:cs="宋体" w:eastAsia="宋体" w:hint="default"/>
                <w:sz w:val="18"/>
                <w:szCs w:val="18"/>
              </w:rPr>
              <w:t>、</w:t>
            </w:r>
            <w:r>
              <w:rPr>
                <w:rFonts w:ascii="Arial" w:hAnsi="Arial" w:cs="Arial" w:eastAsia="Arial" w:hint="default"/>
                <w:sz w:val="18"/>
                <w:szCs w:val="18"/>
              </w:rPr>
              <w:t>1%</w:t>
            </w:r>
          </w:p>
        </w:tc>
      </w:tr>
      <w:tr>
        <w:trPr>
          <w:trHeight w:val="485" w:hRule="exact"/>
        </w:trPr>
        <w:tc>
          <w:tcPr>
            <w:tcW w:w="18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2" w:right="0"/>
              <w:jc w:val="center"/>
              <w:rPr>
                <w:rFonts w:ascii="宋体" w:hAnsi="宋体" w:cs="宋体" w:eastAsia="宋体" w:hint="default"/>
                <w:sz w:val="18"/>
                <w:szCs w:val="18"/>
              </w:rPr>
            </w:pPr>
            <w:r>
              <w:rPr>
                <w:rFonts w:ascii="宋体" w:hAnsi="宋体" w:cs="宋体" w:eastAsia="宋体" w:hint="default"/>
                <w:sz w:val="18"/>
                <w:szCs w:val="18"/>
              </w:rPr>
              <w:t>应缴流转税额</w:t>
            </w:r>
          </w:p>
        </w:tc>
        <w:tc>
          <w:tcPr>
            <w:tcW w:w="28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 w:right="0"/>
              <w:jc w:val="center"/>
              <w:rPr>
                <w:rFonts w:ascii="Arial" w:hAnsi="Arial" w:cs="Arial" w:eastAsia="Arial" w:hint="default"/>
                <w:sz w:val="18"/>
                <w:szCs w:val="18"/>
              </w:rPr>
            </w:pPr>
            <w:r>
              <w:rPr>
                <w:rFonts w:ascii="Arial"/>
                <w:sz w:val="18"/>
              </w:rPr>
              <w:t>3%</w:t>
            </w:r>
          </w:p>
        </w:tc>
      </w:tr>
      <w:tr>
        <w:trPr>
          <w:trHeight w:val="485" w:hRule="exact"/>
        </w:trPr>
        <w:tc>
          <w:tcPr>
            <w:tcW w:w="18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2" w:right="0"/>
              <w:jc w:val="center"/>
              <w:rPr>
                <w:rFonts w:ascii="宋体" w:hAnsi="宋体" w:cs="宋体" w:eastAsia="宋体" w:hint="default"/>
                <w:sz w:val="18"/>
                <w:szCs w:val="18"/>
              </w:rPr>
            </w:pPr>
            <w:r>
              <w:rPr>
                <w:rFonts w:ascii="宋体" w:hAnsi="宋体" w:cs="宋体" w:eastAsia="宋体" w:hint="default"/>
                <w:sz w:val="18"/>
                <w:szCs w:val="18"/>
              </w:rPr>
              <w:t>应缴流转税额</w:t>
            </w:r>
          </w:p>
        </w:tc>
        <w:tc>
          <w:tcPr>
            <w:tcW w:w="28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left="1" w:right="0"/>
              <w:jc w:val="center"/>
              <w:rPr>
                <w:rFonts w:ascii="Arial" w:hAnsi="Arial" w:cs="Arial" w:eastAsia="Arial" w:hint="default"/>
                <w:sz w:val="18"/>
                <w:szCs w:val="18"/>
              </w:rPr>
            </w:pPr>
            <w:r>
              <w:rPr>
                <w:rFonts w:ascii="Arial" w:hAnsi="Arial" w:cs="Arial" w:eastAsia="Arial" w:hint="default"/>
                <w:sz w:val="18"/>
                <w:szCs w:val="18"/>
              </w:rPr>
              <w:t>2%</w:t>
            </w:r>
            <w:r>
              <w:rPr>
                <w:rFonts w:ascii="宋体" w:hAnsi="宋体" w:cs="宋体" w:eastAsia="宋体" w:hint="default"/>
                <w:sz w:val="18"/>
                <w:szCs w:val="18"/>
              </w:rPr>
              <w:t>、</w:t>
            </w:r>
            <w:r>
              <w:rPr>
                <w:rFonts w:ascii="Arial" w:hAnsi="Arial" w:cs="Arial" w:eastAsia="Arial" w:hint="default"/>
                <w:sz w:val="18"/>
                <w:szCs w:val="18"/>
              </w:rPr>
              <w:t>1.5%</w:t>
            </w:r>
          </w:p>
        </w:tc>
      </w:tr>
      <w:tr>
        <w:trPr>
          <w:trHeight w:val="485" w:hRule="exact"/>
        </w:trPr>
        <w:tc>
          <w:tcPr>
            <w:tcW w:w="18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河道维护费</w:t>
            </w:r>
          </w:p>
        </w:tc>
        <w:tc>
          <w:tcPr>
            <w:tcW w:w="3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2" w:right="0"/>
              <w:jc w:val="center"/>
              <w:rPr>
                <w:rFonts w:ascii="宋体" w:hAnsi="宋体" w:cs="宋体" w:eastAsia="宋体" w:hint="default"/>
                <w:sz w:val="18"/>
                <w:szCs w:val="18"/>
              </w:rPr>
            </w:pPr>
            <w:r>
              <w:rPr>
                <w:rFonts w:ascii="宋体" w:hAnsi="宋体" w:cs="宋体" w:eastAsia="宋体" w:hint="default"/>
                <w:sz w:val="18"/>
                <w:szCs w:val="18"/>
              </w:rPr>
              <w:t>应缴流转税额</w:t>
            </w:r>
          </w:p>
        </w:tc>
        <w:tc>
          <w:tcPr>
            <w:tcW w:w="28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 w:right="0"/>
              <w:jc w:val="center"/>
              <w:rPr>
                <w:rFonts w:ascii="Arial" w:hAnsi="Arial" w:cs="Arial" w:eastAsia="Arial" w:hint="default"/>
                <w:sz w:val="18"/>
                <w:szCs w:val="18"/>
              </w:rPr>
            </w:pPr>
            <w:r>
              <w:rPr>
                <w:rFonts w:ascii="Arial"/>
                <w:sz w:val="18"/>
              </w:rPr>
              <w:t>1%</w:t>
            </w:r>
          </w:p>
        </w:tc>
      </w:tr>
      <w:tr>
        <w:trPr>
          <w:trHeight w:val="485" w:hRule="exact"/>
        </w:trPr>
        <w:tc>
          <w:tcPr>
            <w:tcW w:w="18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0"/>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left="2" w:right="0"/>
              <w:jc w:val="center"/>
              <w:rPr>
                <w:rFonts w:ascii="宋体" w:hAnsi="宋体" w:cs="宋体" w:eastAsia="宋体" w:hint="default"/>
                <w:sz w:val="18"/>
                <w:szCs w:val="18"/>
              </w:rPr>
            </w:pPr>
            <w:r>
              <w:rPr>
                <w:rFonts w:ascii="宋体" w:hAnsi="宋体" w:cs="宋体" w:eastAsia="宋体" w:hint="default"/>
                <w:sz w:val="18"/>
                <w:szCs w:val="18"/>
              </w:rPr>
              <w:t>应纳税所得额</w:t>
            </w:r>
          </w:p>
        </w:tc>
        <w:tc>
          <w:tcPr>
            <w:tcW w:w="28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left="1" w:right="0"/>
              <w:jc w:val="center"/>
              <w:rPr>
                <w:rFonts w:ascii="Arial" w:hAnsi="Arial" w:cs="Arial" w:eastAsia="Arial" w:hint="default"/>
                <w:sz w:val="18"/>
                <w:szCs w:val="18"/>
              </w:rPr>
            </w:pPr>
            <w:r>
              <w:rPr>
                <w:rFonts w:ascii="Arial" w:hAnsi="Arial" w:cs="Arial" w:eastAsia="Arial" w:hint="default"/>
                <w:sz w:val="18"/>
                <w:szCs w:val="18"/>
              </w:rPr>
              <w:t>25%</w:t>
            </w:r>
            <w:r>
              <w:rPr>
                <w:rFonts w:ascii="宋体" w:hAnsi="宋体" w:cs="宋体" w:eastAsia="宋体" w:hint="default"/>
                <w:sz w:val="18"/>
                <w:szCs w:val="18"/>
              </w:rPr>
              <w:t>、</w:t>
            </w:r>
            <w:r>
              <w:rPr>
                <w:rFonts w:ascii="Arial" w:hAnsi="Arial" w:cs="Arial" w:eastAsia="Arial" w:hint="default"/>
                <w:sz w:val="18"/>
                <w:szCs w:val="18"/>
              </w:rPr>
              <w:t>20%</w:t>
            </w:r>
            <w:r>
              <w:rPr>
                <w:rFonts w:ascii="宋体" w:hAnsi="宋体" w:cs="宋体" w:eastAsia="宋体" w:hint="default"/>
                <w:sz w:val="18"/>
                <w:szCs w:val="18"/>
              </w:rPr>
              <w:t>、</w:t>
            </w:r>
            <w:r>
              <w:rPr>
                <w:rFonts w:ascii="Arial" w:hAnsi="Arial" w:cs="Arial" w:eastAsia="Arial" w:hint="default"/>
                <w:sz w:val="18"/>
                <w:szCs w:val="18"/>
              </w:rPr>
              <w:t>15%</w:t>
            </w:r>
          </w:p>
        </w:tc>
      </w:tr>
      <w:tr>
        <w:trPr>
          <w:trHeight w:val="485" w:hRule="exact"/>
        </w:trPr>
        <w:tc>
          <w:tcPr>
            <w:tcW w:w="18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2" w:right="0"/>
              <w:jc w:val="center"/>
              <w:rPr>
                <w:rFonts w:ascii="宋体" w:hAnsi="宋体" w:cs="宋体" w:eastAsia="宋体" w:hint="default"/>
                <w:sz w:val="18"/>
                <w:szCs w:val="18"/>
              </w:rPr>
            </w:pPr>
            <w:r>
              <w:rPr>
                <w:rFonts w:ascii="宋体" w:hAnsi="宋体" w:cs="宋体" w:eastAsia="宋体" w:hint="default"/>
                <w:sz w:val="18"/>
                <w:szCs w:val="18"/>
              </w:rPr>
              <w:t>根据当地土地级次确认适用税率</w:t>
            </w:r>
          </w:p>
        </w:tc>
        <w:tc>
          <w:tcPr>
            <w:tcW w:w="28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定额征收</w:t>
            </w:r>
          </w:p>
        </w:tc>
      </w:tr>
      <w:tr>
        <w:trPr>
          <w:trHeight w:val="487" w:hRule="exact"/>
        </w:trPr>
        <w:tc>
          <w:tcPr>
            <w:tcW w:w="18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2"/>
              <w:ind w:left="1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2"/>
              <w:ind w:left="5" w:right="0"/>
              <w:jc w:val="center"/>
              <w:rPr>
                <w:rFonts w:ascii="宋体" w:hAnsi="宋体" w:cs="宋体" w:eastAsia="宋体" w:hint="default"/>
                <w:sz w:val="18"/>
                <w:szCs w:val="18"/>
              </w:rPr>
            </w:pPr>
            <w:r>
              <w:rPr>
                <w:rFonts w:ascii="宋体" w:hAnsi="宋体" w:cs="宋体" w:eastAsia="宋体" w:hint="default"/>
                <w:sz w:val="18"/>
                <w:szCs w:val="18"/>
              </w:rPr>
              <w:t>根据合同性质确定适用税率、权利证照</w:t>
            </w:r>
          </w:p>
        </w:tc>
        <w:tc>
          <w:tcPr>
            <w:tcW w:w="28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2" w:right="0"/>
              <w:jc w:val="center"/>
              <w:rPr>
                <w:rFonts w:ascii="Arial" w:hAnsi="Arial" w:cs="Arial" w:eastAsia="Arial" w:hint="default"/>
                <w:sz w:val="18"/>
                <w:szCs w:val="18"/>
              </w:rPr>
            </w:pPr>
            <w:r>
              <w:rPr>
                <w:rFonts w:ascii="Arial"/>
                <w:sz w:val="18"/>
              </w:rPr>
              <w:t>0.005%~0.1%</w:t>
            </w:r>
          </w:p>
        </w:tc>
      </w:tr>
      <w:tr>
        <w:trPr>
          <w:trHeight w:val="485" w:hRule="exact"/>
        </w:trPr>
        <w:tc>
          <w:tcPr>
            <w:tcW w:w="18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5" w:right="0"/>
              <w:jc w:val="center"/>
              <w:rPr>
                <w:rFonts w:ascii="宋体" w:hAnsi="宋体" w:cs="宋体" w:eastAsia="宋体" w:hint="default"/>
                <w:sz w:val="18"/>
                <w:szCs w:val="18"/>
              </w:rPr>
            </w:pPr>
            <w:r>
              <w:rPr>
                <w:rFonts w:ascii="宋体" w:hAnsi="宋体" w:cs="宋体" w:eastAsia="宋体" w:hint="default"/>
                <w:sz w:val="18"/>
                <w:szCs w:val="18"/>
              </w:rPr>
              <w:t>从价计征、从租计征</w:t>
            </w:r>
          </w:p>
        </w:tc>
        <w:tc>
          <w:tcPr>
            <w:tcW w:w="28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left="1" w:right="0"/>
              <w:jc w:val="center"/>
              <w:rPr>
                <w:rFonts w:ascii="Arial" w:hAnsi="Arial" w:cs="Arial" w:eastAsia="Arial" w:hint="default"/>
                <w:sz w:val="18"/>
                <w:szCs w:val="18"/>
              </w:rPr>
            </w:pPr>
            <w:r>
              <w:rPr>
                <w:rFonts w:ascii="Arial" w:hAnsi="Arial" w:cs="Arial" w:eastAsia="Arial" w:hint="default"/>
                <w:sz w:val="18"/>
                <w:szCs w:val="18"/>
              </w:rPr>
              <w:t>12%</w:t>
            </w:r>
            <w:r>
              <w:rPr>
                <w:rFonts w:ascii="宋体" w:hAnsi="宋体" w:cs="宋体" w:eastAsia="宋体" w:hint="default"/>
                <w:sz w:val="18"/>
                <w:szCs w:val="18"/>
              </w:rPr>
              <w:t>、</w:t>
            </w:r>
            <w:r>
              <w:rPr>
                <w:rFonts w:ascii="Arial" w:hAnsi="Arial" w:cs="Arial" w:eastAsia="Arial" w:hint="default"/>
                <w:sz w:val="18"/>
                <w:szCs w:val="18"/>
              </w:rPr>
              <w:t>1.2%</w:t>
            </w:r>
          </w:p>
        </w:tc>
      </w:tr>
      <w:tr>
        <w:trPr>
          <w:trHeight w:val="485" w:hRule="exact"/>
        </w:trPr>
        <w:tc>
          <w:tcPr>
            <w:tcW w:w="18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2" w:right="0"/>
              <w:jc w:val="center"/>
              <w:rPr>
                <w:rFonts w:ascii="宋体" w:hAnsi="宋体" w:cs="宋体" w:eastAsia="宋体" w:hint="default"/>
                <w:sz w:val="18"/>
                <w:szCs w:val="18"/>
              </w:rPr>
            </w:pPr>
            <w:r>
              <w:rPr>
                <w:rFonts w:ascii="宋体" w:hAnsi="宋体" w:cs="宋体" w:eastAsia="宋体" w:hint="default"/>
                <w:sz w:val="18"/>
                <w:szCs w:val="18"/>
              </w:rPr>
              <w:t>从量计征</w:t>
            </w:r>
          </w:p>
        </w:tc>
        <w:tc>
          <w:tcPr>
            <w:tcW w:w="28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定额征收</w:t>
            </w:r>
          </w:p>
        </w:tc>
      </w:tr>
      <w:tr>
        <w:trPr>
          <w:trHeight w:val="497" w:hRule="exact"/>
        </w:trPr>
        <w:tc>
          <w:tcPr>
            <w:tcW w:w="187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价格调节基金</w:t>
            </w:r>
          </w:p>
        </w:tc>
        <w:tc>
          <w:tcPr>
            <w:tcW w:w="38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9"/>
              <w:ind w:left="5" w:right="0"/>
              <w:jc w:val="center"/>
              <w:rPr>
                <w:rFonts w:ascii="宋体" w:hAnsi="宋体" w:cs="宋体" w:eastAsia="宋体" w:hint="default"/>
                <w:sz w:val="18"/>
                <w:szCs w:val="18"/>
              </w:rPr>
            </w:pPr>
            <w:r>
              <w:rPr>
                <w:rFonts w:ascii="宋体" w:hAnsi="宋体" w:cs="宋体" w:eastAsia="宋体" w:hint="default"/>
                <w:sz w:val="18"/>
                <w:szCs w:val="18"/>
              </w:rPr>
              <w:t>建筑工程收入、技术服务收入</w:t>
            </w:r>
          </w:p>
        </w:tc>
        <w:tc>
          <w:tcPr>
            <w:tcW w:w="284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3" w:right="0"/>
              <w:jc w:val="center"/>
              <w:rPr>
                <w:rFonts w:ascii="Arial" w:hAnsi="Arial" w:cs="Arial" w:eastAsia="Arial" w:hint="default"/>
                <w:sz w:val="18"/>
                <w:szCs w:val="18"/>
              </w:rPr>
            </w:pPr>
            <w:r>
              <w:rPr>
                <w:rFonts w:ascii="Arial"/>
                <w:sz w:val="18"/>
              </w:rPr>
              <w:t>0.1%</w:t>
            </w:r>
          </w:p>
        </w:tc>
      </w:tr>
    </w:tbl>
    <w:p>
      <w:pPr>
        <w:spacing w:line="240" w:lineRule="auto" w:before="5"/>
        <w:rPr>
          <w:rFonts w:ascii="宋体" w:hAnsi="宋体" w:cs="宋体" w:eastAsia="宋体" w:hint="default"/>
          <w:b/>
          <w:bCs/>
          <w:sz w:val="5"/>
          <w:szCs w:val="5"/>
        </w:rPr>
      </w:pPr>
    </w:p>
    <w:p>
      <w:pPr>
        <w:pStyle w:val="BodyText"/>
        <w:spacing w:line="240" w:lineRule="auto" w:before="32"/>
        <w:ind w:left="592" w:right="1133"/>
        <w:jc w:val="left"/>
      </w:pPr>
      <w:r>
        <w:rPr/>
        <w:t>不同企业所得税税率纳税主体说明：</w:t>
      </w:r>
    </w:p>
    <w:p>
      <w:pPr>
        <w:spacing w:line="240" w:lineRule="auto" w:before="11"/>
        <w:rPr>
          <w:rFonts w:ascii="宋体" w:hAnsi="宋体" w:cs="宋体" w:eastAsia="宋体" w:hint="default"/>
          <w:sz w:val="6"/>
          <w:szCs w:val="6"/>
        </w:rPr>
      </w:pPr>
    </w:p>
    <w:tbl>
      <w:tblPr>
        <w:tblW w:w="0" w:type="auto"/>
        <w:jc w:val="left"/>
        <w:tblInd w:w="676" w:type="dxa"/>
        <w:tblLayout w:type="fixed"/>
        <w:tblCellMar>
          <w:top w:w="0" w:type="dxa"/>
          <w:left w:w="0" w:type="dxa"/>
          <w:bottom w:w="0" w:type="dxa"/>
          <w:right w:w="0" w:type="dxa"/>
        </w:tblCellMar>
        <w:tblLook w:val="01E0"/>
      </w:tblPr>
      <w:tblGrid>
        <w:gridCol w:w="4493"/>
        <w:gridCol w:w="4055"/>
      </w:tblGrid>
      <w:tr>
        <w:trPr>
          <w:trHeight w:val="499" w:hRule="exact"/>
        </w:trPr>
        <w:tc>
          <w:tcPr>
            <w:tcW w:w="449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2"/>
              <w:ind w:left="15" w:right="0"/>
              <w:jc w:val="center"/>
              <w:rPr>
                <w:rFonts w:ascii="宋体" w:hAnsi="宋体" w:cs="宋体" w:eastAsia="宋体" w:hint="default"/>
                <w:sz w:val="18"/>
                <w:szCs w:val="18"/>
              </w:rPr>
            </w:pPr>
            <w:r>
              <w:rPr>
                <w:rFonts w:ascii="宋体" w:hAnsi="宋体" w:cs="宋体" w:eastAsia="宋体" w:hint="default"/>
                <w:b/>
                <w:bCs/>
                <w:sz w:val="18"/>
                <w:szCs w:val="18"/>
              </w:rPr>
              <w:t>纳税主体名称</w:t>
            </w:r>
            <w:r>
              <w:rPr>
                <w:rFonts w:ascii="宋体" w:hAnsi="宋体" w:cs="宋体" w:eastAsia="宋体" w:hint="default"/>
                <w:sz w:val="18"/>
                <w:szCs w:val="18"/>
              </w:rPr>
            </w:r>
          </w:p>
        </w:tc>
        <w:tc>
          <w:tcPr>
            <w:tcW w:w="405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b/>
                <w:bCs/>
                <w:sz w:val="18"/>
                <w:szCs w:val="18"/>
              </w:rPr>
              <w:t>所得税税率</w:t>
            </w:r>
            <w:r>
              <w:rPr>
                <w:rFonts w:ascii="宋体" w:hAnsi="宋体" w:cs="宋体" w:eastAsia="宋体" w:hint="default"/>
                <w:sz w:val="18"/>
                <w:szCs w:val="18"/>
              </w:rPr>
            </w:r>
          </w:p>
        </w:tc>
      </w:tr>
      <w:tr>
        <w:trPr>
          <w:trHeight w:val="485" w:hRule="exact"/>
        </w:trPr>
        <w:tc>
          <w:tcPr>
            <w:tcW w:w="44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p>
        </w:tc>
        <w:tc>
          <w:tcPr>
            <w:tcW w:w="4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 w:right="0"/>
              <w:jc w:val="center"/>
              <w:rPr>
                <w:rFonts w:ascii="Arial" w:hAnsi="Arial" w:cs="Arial" w:eastAsia="Arial" w:hint="default"/>
                <w:sz w:val="18"/>
                <w:szCs w:val="18"/>
              </w:rPr>
            </w:pPr>
            <w:r>
              <w:rPr>
                <w:rFonts w:ascii="Arial"/>
                <w:sz w:val="18"/>
              </w:rPr>
              <w:t>15%</w:t>
            </w:r>
          </w:p>
        </w:tc>
      </w:tr>
      <w:tr>
        <w:trPr>
          <w:trHeight w:val="485" w:hRule="exact"/>
        </w:trPr>
        <w:tc>
          <w:tcPr>
            <w:tcW w:w="44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贵州新思维科技有限责任公司</w:t>
            </w:r>
          </w:p>
        </w:tc>
        <w:tc>
          <w:tcPr>
            <w:tcW w:w="4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 w:right="0"/>
              <w:jc w:val="center"/>
              <w:rPr>
                <w:rFonts w:ascii="Arial" w:hAnsi="Arial" w:cs="Arial" w:eastAsia="Arial" w:hint="default"/>
                <w:sz w:val="18"/>
                <w:szCs w:val="18"/>
              </w:rPr>
            </w:pPr>
            <w:r>
              <w:rPr>
                <w:rFonts w:ascii="Arial"/>
                <w:sz w:val="18"/>
              </w:rPr>
              <w:t>15%</w:t>
            </w:r>
          </w:p>
        </w:tc>
      </w:tr>
      <w:tr>
        <w:trPr>
          <w:trHeight w:val="485" w:hRule="exact"/>
        </w:trPr>
        <w:tc>
          <w:tcPr>
            <w:tcW w:w="44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中远海运科技（北京）有限公司</w:t>
            </w:r>
          </w:p>
        </w:tc>
        <w:tc>
          <w:tcPr>
            <w:tcW w:w="4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 w:right="0"/>
              <w:jc w:val="center"/>
              <w:rPr>
                <w:rFonts w:ascii="Arial" w:hAnsi="Arial" w:cs="Arial" w:eastAsia="Arial" w:hint="default"/>
                <w:sz w:val="18"/>
                <w:szCs w:val="18"/>
              </w:rPr>
            </w:pPr>
            <w:r>
              <w:rPr>
                <w:rFonts w:ascii="Arial"/>
                <w:sz w:val="18"/>
              </w:rPr>
              <w:t>15%</w:t>
            </w:r>
          </w:p>
        </w:tc>
      </w:tr>
      <w:tr>
        <w:trPr>
          <w:trHeight w:val="485" w:hRule="exact"/>
        </w:trPr>
        <w:tc>
          <w:tcPr>
            <w:tcW w:w="44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北京中远海运数字科技有限公司</w:t>
            </w:r>
          </w:p>
        </w:tc>
        <w:tc>
          <w:tcPr>
            <w:tcW w:w="4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 w:right="0"/>
              <w:jc w:val="center"/>
              <w:rPr>
                <w:rFonts w:ascii="Arial" w:hAnsi="Arial" w:cs="Arial" w:eastAsia="Arial" w:hint="default"/>
                <w:sz w:val="18"/>
                <w:szCs w:val="18"/>
              </w:rPr>
            </w:pPr>
            <w:r>
              <w:rPr>
                <w:rFonts w:ascii="Arial"/>
                <w:sz w:val="18"/>
              </w:rPr>
              <w:t>20%</w:t>
            </w:r>
          </w:p>
        </w:tc>
      </w:tr>
      <w:tr>
        <w:trPr>
          <w:trHeight w:val="499" w:hRule="exact"/>
        </w:trPr>
        <w:tc>
          <w:tcPr>
            <w:tcW w:w="449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中远网络航海科技有限公司</w:t>
            </w:r>
          </w:p>
        </w:tc>
        <w:tc>
          <w:tcPr>
            <w:tcW w:w="405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 w:right="0"/>
              <w:jc w:val="center"/>
              <w:rPr>
                <w:rFonts w:ascii="Arial" w:hAnsi="Arial" w:cs="Arial" w:eastAsia="Arial" w:hint="default"/>
                <w:sz w:val="18"/>
                <w:szCs w:val="18"/>
              </w:rPr>
            </w:pPr>
            <w:r>
              <w:rPr>
                <w:rFonts w:ascii="Arial"/>
                <w:sz w:val="18"/>
              </w:rPr>
              <w:t>25%</w:t>
            </w:r>
          </w:p>
        </w:tc>
      </w:tr>
    </w:tbl>
    <w:p>
      <w:pPr>
        <w:spacing w:line="240" w:lineRule="auto" w:before="5"/>
        <w:rPr>
          <w:rFonts w:ascii="宋体" w:hAnsi="宋体" w:cs="宋体" w:eastAsia="宋体" w:hint="default"/>
          <w:sz w:val="5"/>
          <w:szCs w:val="5"/>
        </w:rPr>
      </w:pPr>
    </w:p>
    <w:p>
      <w:pPr>
        <w:pStyle w:val="BodyText"/>
        <w:spacing w:line="331" w:lineRule="auto" w:before="32"/>
        <w:ind w:right="1122" w:firstLine="439"/>
        <w:jc w:val="left"/>
      </w:pPr>
      <w:r>
        <w:rPr>
          <w:spacing w:val="-5"/>
          <w:w w:val="100"/>
        </w:rPr>
        <w:t>注：根据《财政部</w:t>
      </w:r>
      <w:r>
        <w:rPr>
          <w:w w:val="100"/>
        </w:rPr>
        <w:t> </w:t>
      </w:r>
      <w:r>
        <w:rPr>
          <w:spacing w:val="-1"/>
          <w:w w:val="100"/>
        </w:rPr>
        <w:t>税务总局</w:t>
      </w:r>
      <w:r>
        <w:rPr>
          <w:w w:val="100"/>
        </w:rPr>
        <w:t> </w:t>
      </w:r>
      <w:r>
        <w:rPr>
          <w:spacing w:val="-6"/>
          <w:w w:val="100"/>
        </w:rPr>
        <w:t>海关总署关于深化增值税改革有关政策的公告》（财政部</w:t>
      </w:r>
      <w:r>
        <w:rPr>
          <w:spacing w:val="7"/>
          <w:w w:val="100"/>
        </w:rPr>
        <w:t> </w:t>
      </w:r>
      <w:r>
        <w:rPr>
          <w:spacing w:val="-1"/>
          <w:w w:val="100"/>
        </w:rPr>
        <w:t>税务总局</w:t>
      </w:r>
      <w:r>
        <w:rPr>
          <w:w w:val="100"/>
        </w:rPr>
        <w:t> </w:t>
      </w:r>
      <w:r>
        <w:rPr/>
        <w:t>海关总署公告 </w:t>
      </w:r>
      <w:r>
        <w:rPr>
          <w:rFonts w:ascii="Arial" w:hAnsi="Arial" w:cs="Arial" w:eastAsia="Arial" w:hint="default"/>
        </w:rPr>
        <w:t>2019 </w:t>
      </w:r>
      <w:r>
        <w:rPr/>
        <w:t>年第 </w:t>
      </w:r>
      <w:r>
        <w:rPr>
          <w:rFonts w:ascii="Arial" w:hAnsi="Arial" w:cs="Arial" w:eastAsia="Arial" w:hint="default"/>
        </w:rPr>
        <w:t>39</w:t>
      </w:r>
      <w:r>
        <w:rPr>
          <w:rFonts w:ascii="Arial" w:hAnsi="Arial" w:cs="Arial" w:eastAsia="Arial" w:hint="default"/>
          <w:spacing w:val="-28"/>
        </w:rPr>
        <w:t> </w:t>
      </w:r>
      <w:r>
        <w:rPr/>
        <w:t>号）规定增值税一般纳税人发生增值税应税销售行为或者进口货物，原</w:t>
      </w:r>
    </w:p>
    <w:p>
      <w:pPr>
        <w:spacing w:after="0" w:line="331"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3"/>
        <w:ind w:right="0"/>
        <w:jc w:val="both"/>
      </w:pPr>
      <w:r>
        <w:rPr/>
        <w:t>适用</w:t>
      </w:r>
      <w:r>
        <w:rPr>
          <w:spacing w:val="-57"/>
        </w:rPr>
        <w:t> </w:t>
      </w:r>
      <w:r>
        <w:rPr>
          <w:rFonts w:ascii="Arial" w:hAnsi="Arial" w:cs="Arial" w:eastAsia="Arial" w:hint="default"/>
        </w:rPr>
        <w:t>16%</w:t>
      </w:r>
      <w:r>
        <w:rPr/>
        <w:t>税率的，税率调整为</w:t>
      </w:r>
      <w:r>
        <w:rPr>
          <w:spacing w:val="-57"/>
        </w:rPr>
        <w:t> </w:t>
      </w:r>
      <w:r>
        <w:rPr>
          <w:rFonts w:ascii="Arial" w:hAnsi="Arial" w:cs="Arial" w:eastAsia="Arial" w:hint="default"/>
        </w:rPr>
        <w:t>13%</w:t>
      </w:r>
      <w:r>
        <w:rPr/>
        <w:t>；原使用</w:t>
      </w:r>
      <w:r>
        <w:rPr>
          <w:spacing w:val="-57"/>
        </w:rPr>
        <w:t> </w:t>
      </w:r>
      <w:r>
        <w:rPr>
          <w:rFonts w:ascii="Arial" w:hAnsi="Arial" w:cs="Arial" w:eastAsia="Arial" w:hint="default"/>
        </w:rPr>
        <w:t>10%</w:t>
      </w:r>
      <w:r>
        <w:rPr/>
        <w:t>税率的，税率调整为</w:t>
      </w:r>
      <w:r>
        <w:rPr>
          <w:spacing w:val="-57"/>
        </w:rPr>
        <w:t> </w:t>
      </w:r>
      <w:r>
        <w:rPr>
          <w:rFonts w:ascii="Arial" w:hAnsi="Arial" w:cs="Arial" w:eastAsia="Arial" w:hint="default"/>
        </w:rPr>
        <w:t>9%</w:t>
      </w:r>
      <w:r>
        <w:rPr/>
        <w:t>。</w:t>
      </w:r>
    </w:p>
    <w:p>
      <w:pPr>
        <w:pStyle w:val="Heading4"/>
        <w:spacing w:line="240" w:lineRule="auto" w:before="135"/>
        <w:ind w:left="635" w:right="1133"/>
        <w:jc w:val="left"/>
        <w:rPr>
          <w:b w:val="0"/>
          <w:bCs w:val="0"/>
        </w:rPr>
      </w:pPr>
      <w:r>
        <w:rPr>
          <w:rFonts w:ascii="Arial" w:hAnsi="Arial" w:cs="Arial" w:eastAsia="Arial" w:hint="default"/>
        </w:rPr>
        <w:t>2</w:t>
      </w:r>
      <w:r>
        <w:rPr/>
        <w:t>、税收优惠</w:t>
      </w:r>
      <w:r>
        <w:rPr>
          <w:b w:val="0"/>
          <w:bCs w:val="0"/>
        </w:rPr>
      </w:r>
    </w:p>
    <w:p>
      <w:pPr>
        <w:pStyle w:val="BodyText"/>
        <w:spacing w:line="314" w:lineRule="auto" w:before="138"/>
        <w:ind w:right="1016" w:firstLine="439"/>
        <w:jc w:val="left"/>
      </w:pPr>
      <w:r>
        <w:rPr>
          <w:spacing w:val="-3"/>
        </w:rPr>
        <w:t>（</w:t>
      </w:r>
      <w:r>
        <w:rPr>
          <w:rFonts w:ascii="Arial" w:hAnsi="Arial" w:cs="Arial" w:eastAsia="Arial" w:hint="default"/>
          <w:spacing w:val="-3"/>
        </w:rPr>
        <w:t>1</w:t>
      </w:r>
      <w:r>
        <w:rPr>
          <w:spacing w:val="-3"/>
        </w:rPr>
        <w:t>）根据</w:t>
      </w:r>
      <w:r>
        <w:rPr>
          <w:spacing w:val="-58"/>
        </w:rPr>
        <w:t> </w:t>
      </w:r>
      <w:r>
        <w:rPr>
          <w:rFonts w:ascii="Arial" w:hAnsi="Arial" w:cs="Arial" w:eastAsia="Arial" w:hint="default"/>
        </w:rPr>
        <w:t>2007</w:t>
      </w:r>
      <w:r>
        <w:rPr>
          <w:rFonts w:ascii="Arial" w:hAnsi="Arial" w:cs="Arial" w:eastAsia="Arial" w:hint="default"/>
          <w:spacing w:val="-10"/>
        </w:rPr>
        <w:t> </w:t>
      </w:r>
      <w:r>
        <w:rPr/>
        <w:t>年</w:t>
      </w:r>
      <w:r>
        <w:rPr>
          <w:spacing w:val="-58"/>
        </w:rPr>
        <w:t> </w:t>
      </w:r>
      <w:r>
        <w:rPr>
          <w:rFonts w:ascii="Arial" w:hAnsi="Arial" w:cs="Arial" w:eastAsia="Arial" w:hint="default"/>
        </w:rPr>
        <w:t>3</w:t>
      </w:r>
      <w:r>
        <w:rPr>
          <w:rFonts w:ascii="Arial" w:hAnsi="Arial" w:cs="Arial" w:eastAsia="Arial" w:hint="default"/>
          <w:spacing w:val="-12"/>
        </w:rPr>
        <w:t> </w:t>
      </w:r>
      <w:r>
        <w:rPr/>
        <w:t>月</w:t>
      </w:r>
      <w:r>
        <w:rPr>
          <w:spacing w:val="-58"/>
        </w:rPr>
        <w:t> </w:t>
      </w:r>
      <w:r>
        <w:rPr>
          <w:rFonts w:ascii="Arial" w:hAnsi="Arial" w:cs="Arial" w:eastAsia="Arial" w:hint="default"/>
        </w:rPr>
        <w:t>16</w:t>
      </w:r>
      <w:r>
        <w:rPr>
          <w:rFonts w:ascii="Arial" w:hAnsi="Arial" w:cs="Arial" w:eastAsia="Arial" w:hint="default"/>
          <w:spacing w:val="-10"/>
        </w:rPr>
        <w:t> </w:t>
      </w:r>
      <w:r>
        <w:rPr/>
        <w:t>日公布的《中华人民共和国企业所得税法》第二十八条的规定：国家</w:t>
      </w:r>
      <w:r>
        <w:rPr>
          <w:w w:val="100"/>
        </w:rPr>
        <w:t> </w:t>
      </w:r>
      <w:r>
        <w:rPr>
          <w:spacing w:val="-6"/>
        </w:rPr>
        <w:t>需要重点扶植的高新技术企业，减按</w:t>
      </w:r>
      <w:r>
        <w:rPr>
          <w:spacing w:val="4"/>
        </w:rPr>
        <w:t> </w:t>
      </w:r>
      <w:r>
        <w:rPr>
          <w:rFonts w:ascii="Arial" w:hAnsi="Arial" w:cs="Arial" w:eastAsia="Arial" w:hint="default"/>
          <w:spacing w:val="-6"/>
        </w:rPr>
        <w:t>15%</w:t>
      </w:r>
      <w:r>
        <w:rPr>
          <w:spacing w:val="-6"/>
        </w:rPr>
        <w:t>的税率征收企业所得税。根据《高新技术企业认定管理办法》</w:t>
      </w:r>
    </w:p>
    <w:p>
      <w:pPr>
        <w:pStyle w:val="BodyText"/>
        <w:spacing w:line="316" w:lineRule="auto" w:before="21"/>
        <w:ind w:right="1128"/>
        <w:jc w:val="both"/>
      </w:pPr>
      <w:r>
        <w:rPr>
          <w:spacing w:val="-3"/>
          <w:w w:val="100"/>
        </w:rPr>
        <w:t>（国科发火〔</w:t>
      </w:r>
      <w:r>
        <w:rPr>
          <w:rFonts w:ascii="Arial" w:hAnsi="Arial" w:cs="Arial" w:eastAsia="Arial" w:hint="default"/>
          <w:spacing w:val="-3"/>
          <w:w w:val="100"/>
        </w:rPr>
        <w:t>2016</w:t>
      </w:r>
      <w:r>
        <w:rPr>
          <w:spacing w:val="-3"/>
          <w:w w:val="100"/>
        </w:rPr>
        <w:t>〕</w:t>
      </w:r>
      <w:r>
        <w:rPr>
          <w:rFonts w:ascii="Arial" w:hAnsi="Arial" w:cs="Arial" w:eastAsia="Arial" w:hint="default"/>
          <w:spacing w:val="-3"/>
          <w:w w:val="100"/>
        </w:rPr>
        <w:t>32</w:t>
      </w:r>
      <w:r>
        <w:rPr>
          <w:rFonts w:ascii="Arial" w:hAnsi="Arial" w:cs="Arial" w:eastAsia="Arial" w:hint="default"/>
          <w:spacing w:val="-4"/>
          <w:w w:val="100"/>
        </w:rPr>
        <w:t> </w:t>
      </w:r>
      <w:r>
        <w:rPr>
          <w:spacing w:val="-6"/>
          <w:w w:val="100"/>
        </w:rPr>
        <w:t>号）和《高新技术企业认定管理工作指引》（国科发火〔</w:t>
      </w:r>
      <w:r>
        <w:rPr>
          <w:rFonts w:ascii="Arial" w:hAnsi="Arial" w:cs="Arial" w:eastAsia="Arial" w:hint="default"/>
          <w:spacing w:val="-6"/>
          <w:w w:val="100"/>
        </w:rPr>
        <w:t>2016</w:t>
      </w:r>
      <w:r>
        <w:rPr>
          <w:spacing w:val="-6"/>
          <w:w w:val="100"/>
        </w:rPr>
        <w:t>〕</w:t>
      </w:r>
      <w:r>
        <w:rPr>
          <w:rFonts w:ascii="Arial" w:hAnsi="Arial" w:cs="Arial" w:eastAsia="Arial" w:hint="default"/>
          <w:spacing w:val="-6"/>
          <w:w w:val="100"/>
        </w:rPr>
        <w:t>195</w:t>
      </w:r>
      <w:r>
        <w:rPr>
          <w:rFonts w:ascii="Arial" w:hAnsi="Arial" w:cs="Arial" w:eastAsia="Arial" w:hint="default"/>
          <w:spacing w:val="-2"/>
          <w:w w:val="100"/>
        </w:rPr>
        <w:t> </w:t>
      </w:r>
      <w:r>
        <w:rPr>
          <w:spacing w:val="-5"/>
          <w:w w:val="100"/>
        </w:rPr>
        <w:t>号）相关</w:t>
      </w:r>
      <w:r>
        <w:rPr>
          <w:spacing w:val="-108"/>
          <w:w w:val="100"/>
        </w:rPr>
        <w:t> </w:t>
      </w:r>
      <w:r>
        <w:rPr>
          <w:spacing w:val="-108"/>
          <w:w w:val="100"/>
        </w:rPr>
      </w:r>
      <w:r>
        <w:rPr>
          <w:spacing w:val="-5"/>
          <w:w w:val="100"/>
        </w:rPr>
        <w:t>规定，本公司通过了高新技术企业认定并取得高新技术企业证书</w:t>
      </w:r>
      <w:r>
        <w:rPr>
          <w:spacing w:val="-59"/>
          <w:w w:val="100"/>
        </w:rPr>
        <w:t> </w:t>
      </w:r>
      <w:r>
        <w:rPr>
          <w:rFonts w:ascii="Arial" w:hAnsi="Arial" w:cs="Arial" w:eastAsia="Arial" w:hint="default"/>
          <w:spacing w:val="-7"/>
          <w:w w:val="100"/>
        </w:rPr>
        <w:t>GR201731000219</w:t>
      </w:r>
      <w:r>
        <w:rPr>
          <w:spacing w:val="-7"/>
          <w:w w:val="100"/>
        </w:rPr>
        <w:t>，发证时间为</w:t>
      </w:r>
      <w:r>
        <w:rPr>
          <w:spacing w:val="-58"/>
          <w:w w:val="100"/>
        </w:rPr>
        <w:t> </w:t>
      </w:r>
      <w:r>
        <w:rPr>
          <w:rFonts w:ascii="Arial" w:hAnsi="Arial" w:cs="Arial" w:eastAsia="Arial" w:hint="default"/>
          <w:spacing w:val="-1"/>
          <w:w w:val="100"/>
        </w:rPr>
        <w:t>2017</w:t>
      </w:r>
      <w:r>
        <w:rPr>
          <w:rFonts w:ascii="Arial" w:hAnsi="Arial" w:cs="Arial" w:eastAsia="Arial" w:hint="default"/>
          <w:spacing w:val="-58"/>
          <w:w w:val="100"/>
        </w:rPr>
        <w:t> </w:t>
      </w:r>
      <w:r>
        <w:rPr>
          <w:rFonts w:ascii="Arial" w:hAnsi="Arial" w:cs="Arial" w:eastAsia="Arial" w:hint="default"/>
          <w:spacing w:val="-58"/>
          <w:w w:val="100"/>
        </w:rPr>
      </w:r>
      <w:r>
        <w:rPr/>
        <w:t>年</w:t>
      </w:r>
      <w:r>
        <w:rPr>
          <w:spacing w:val="-56"/>
        </w:rPr>
        <w:t> </w:t>
      </w:r>
      <w:r>
        <w:rPr>
          <w:rFonts w:ascii="Arial" w:hAnsi="Arial" w:cs="Arial" w:eastAsia="Arial" w:hint="default"/>
        </w:rPr>
        <w:t>10</w:t>
      </w:r>
      <w:r>
        <w:rPr>
          <w:rFonts w:ascii="Arial" w:hAnsi="Arial" w:cs="Arial" w:eastAsia="Arial" w:hint="default"/>
          <w:spacing w:val="-8"/>
        </w:rPr>
        <w:t> </w:t>
      </w:r>
      <w:r>
        <w:rPr/>
        <w:t>月</w:t>
      </w:r>
      <w:r>
        <w:rPr>
          <w:spacing w:val="-56"/>
        </w:rPr>
        <w:t> </w:t>
      </w:r>
      <w:r>
        <w:rPr>
          <w:rFonts w:ascii="Arial" w:hAnsi="Arial" w:cs="Arial" w:eastAsia="Arial" w:hint="default"/>
        </w:rPr>
        <w:t>23</w:t>
      </w:r>
      <w:r>
        <w:rPr>
          <w:rFonts w:ascii="Arial" w:hAnsi="Arial" w:cs="Arial" w:eastAsia="Arial" w:hint="default"/>
          <w:spacing w:val="-8"/>
        </w:rPr>
        <w:t> </w:t>
      </w:r>
      <w:r>
        <w:rPr/>
        <w:t>日，有效期三年。</w:t>
      </w:r>
      <w:r>
        <w:rPr>
          <w:rFonts w:ascii="Arial" w:hAnsi="Arial" w:cs="Arial" w:eastAsia="Arial" w:hint="default"/>
        </w:rPr>
        <w:t>2019</w:t>
      </w:r>
      <w:r>
        <w:rPr>
          <w:rFonts w:ascii="Arial" w:hAnsi="Arial" w:cs="Arial" w:eastAsia="Arial" w:hint="default"/>
          <w:spacing w:val="-8"/>
        </w:rPr>
        <w:t> </w:t>
      </w:r>
      <w:r>
        <w:rPr/>
        <w:t>年公司执行</w:t>
      </w:r>
      <w:r>
        <w:rPr>
          <w:spacing w:val="-59"/>
        </w:rPr>
        <w:t> </w:t>
      </w:r>
      <w:r>
        <w:rPr>
          <w:rFonts w:ascii="Arial" w:hAnsi="Arial" w:cs="Arial" w:eastAsia="Arial" w:hint="default"/>
        </w:rPr>
        <w:t>15%</w:t>
      </w:r>
      <w:r>
        <w:rPr/>
        <w:t>企业所得税税率。</w:t>
      </w:r>
    </w:p>
    <w:p>
      <w:pPr>
        <w:pStyle w:val="BodyText"/>
        <w:spacing w:line="321" w:lineRule="auto" w:before="59"/>
        <w:ind w:right="1019" w:firstLine="439"/>
        <w:jc w:val="left"/>
      </w:pPr>
      <w:r>
        <w:rPr>
          <w:spacing w:val="-3"/>
        </w:rPr>
        <w:t>（</w:t>
      </w:r>
      <w:r>
        <w:rPr>
          <w:rFonts w:ascii="Arial" w:hAnsi="Arial" w:cs="Arial" w:eastAsia="Arial" w:hint="default"/>
          <w:spacing w:val="-3"/>
        </w:rPr>
        <w:t>2</w:t>
      </w:r>
      <w:r>
        <w:rPr>
          <w:spacing w:val="-3"/>
        </w:rPr>
        <w:t>）经贵州省经贸易委员会</w:t>
      </w:r>
      <w:r>
        <w:rPr>
          <w:spacing w:val="-55"/>
        </w:rPr>
        <w:t> </w:t>
      </w:r>
      <w:r>
        <w:rPr>
          <w:rFonts w:ascii="Arial" w:hAnsi="Arial" w:cs="Arial" w:eastAsia="Arial" w:hint="default"/>
        </w:rPr>
        <w:t>2012</w:t>
      </w:r>
      <w:r>
        <w:rPr>
          <w:rFonts w:ascii="Arial" w:hAnsi="Arial" w:cs="Arial" w:eastAsia="Arial" w:hint="default"/>
          <w:spacing w:val="-7"/>
        </w:rPr>
        <w:t> </w:t>
      </w:r>
      <w:r>
        <w:rPr/>
        <w:t>年</w:t>
      </w:r>
      <w:r>
        <w:rPr>
          <w:spacing w:val="-55"/>
        </w:rPr>
        <w:t> </w:t>
      </w:r>
      <w:r>
        <w:rPr>
          <w:rFonts w:ascii="Arial" w:hAnsi="Arial" w:cs="Arial" w:eastAsia="Arial" w:hint="default"/>
        </w:rPr>
        <w:t>4</w:t>
      </w:r>
      <w:r>
        <w:rPr>
          <w:rFonts w:ascii="Arial" w:hAnsi="Arial" w:cs="Arial" w:eastAsia="Arial" w:hint="default"/>
          <w:spacing w:val="-9"/>
        </w:rPr>
        <w:t> </w:t>
      </w:r>
      <w:r>
        <w:rPr/>
        <w:t>月</w:t>
      </w:r>
      <w:r>
        <w:rPr>
          <w:spacing w:val="-55"/>
        </w:rPr>
        <w:t> </w:t>
      </w:r>
      <w:r>
        <w:rPr>
          <w:rFonts w:ascii="Arial" w:hAnsi="Arial" w:cs="Arial" w:eastAsia="Arial" w:hint="default"/>
        </w:rPr>
        <w:t>18</w:t>
      </w:r>
      <w:r>
        <w:rPr>
          <w:rFonts w:ascii="Arial" w:hAnsi="Arial" w:cs="Arial" w:eastAsia="Arial" w:hint="default"/>
          <w:spacing w:val="-7"/>
        </w:rPr>
        <w:t> </w:t>
      </w:r>
      <w:r>
        <w:rPr/>
        <w:t>日关于确认贵州新思维科技有限责任公司（以下简</w:t>
      </w:r>
      <w:r>
        <w:rPr>
          <w:w w:val="100"/>
        </w:rPr>
        <w:t> </w:t>
      </w:r>
      <w:r>
        <w:rPr>
          <w:spacing w:val="-2"/>
          <w:w w:val="100"/>
        </w:rPr>
        <w:t>称“新思维”）为“国家鼓励类产业企业”的批复，认为新思维主营业务或产品、技术符合《产业结</w:t>
      </w:r>
      <w:r>
        <w:rPr>
          <w:spacing w:val="-102"/>
          <w:w w:val="100"/>
        </w:rPr>
        <w:t> </w:t>
      </w:r>
      <w:r>
        <w:rPr>
          <w:spacing w:val="-102"/>
          <w:w w:val="100"/>
        </w:rPr>
      </w:r>
      <w:r>
        <w:rPr>
          <w:spacing w:val="-7"/>
          <w:w w:val="100"/>
        </w:rPr>
        <w:t>构调整指导目录（</w:t>
      </w:r>
      <w:r>
        <w:rPr>
          <w:rFonts w:ascii="Arial" w:hAnsi="Arial" w:cs="Arial" w:eastAsia="Arial" w:hint="default"/>
          <w:spacing w:val="-7"/>
          <w:w w:val="100"/>
        </w:rPr>
        <w:t>2011</w:t>
      </w:r>
      <w:r>
        <w:rPr>
          <w:rFonts w:ascii="Arial" w:hAnsi="Arial" w:cs="Arial" w:eastAsia="Arial" w:hint="default"/>
          <w:spacing w:val="-1"/>
          <w:w w:val="100"/>
        </w:rPr>
        <w:t> </w:t>
      </w:r>
      <w:r>
        <w:rPr>
          <w:spacing w:val="-15"/>
          <w:w w:val="100"/>
        </w:rPr>
        <w:t>年本）》鼓励类第二十八项“信息产业”第</w:t>
      </w:r>
      <w:r>
        <w:rPr>
          <w:spacing w:val="-45"/>
          <w:w w:val="100"/>
        </w:rPr>
        <w:t> </w:t>
      </w:r>
      <w:r>
        <w:rPr>
          <w:rFonts w:ascii="Arial" w:hAnsi="Arial" w:cs="Arial" w:eastAsia="Arial" w:hint="default"/>
          <w:w w:val="100"/>
        </w:rPr>
        <w:t>5</w:t>
      </w:r>
      <w:r>
        <w:rPr>
          <w:rFonts w:ascii="Arial" w:hAnsi="Arial" w:cs="Arial" w:eastAsia="Arial" w:hint="default"/>
          <w:spacing w:val="1"/>
          <w:w w:val="100"/>
        </w:rPr>
        <w:t> </w:t>
      </w:r>
      <w:r>
        <w:rPr>
          <w:spacing w:val="-12"/>
          <w:w w:val="100"/>
        </w:rPr>
        <w:t>条“数据通信网设备制造及建设”、</w:t>
      </w:r>
      <w:r>
        <w:rPr>
          <w:spacing w:val="-108"/>
          <w:w w:val="100"/>
        </w:rPr>
        <w:t> </w:t>
      </w:r>
      <w:r>
        <w:rPr>
          <w:spacing w:val="-108"/>
          <w:w w:val="100"/>
        </w:rPr>
      </w:r>
      <w:r>
        <w:rPr>
          <w:spacing w:val="-3"/>
        </w:rPr>
        <w:t>第二十四项“公路及道路运输”第</w:t>
      </w:r>
      <w:r>
        <w:rPr>
          <w:spacing w:val="-44"/>
        </w:rPr>
        <w:t> </w:t>
      </w:r>
      <w:r>
        <w:rPr>
          <w:rFonts w:ascii="Arial" w:hAnsi="Arial" w:cs="Arial" w:eastAsia="Arial" w:hint="default"/>
        </w:rPr>
        <w:t>2</w:t>
      </w:r>
      <w:r>
        <w:rPr>
          <w:rFonts w:ascii="Arial" w:hAnsi="Arial" w:cs="Arial" w:eastAsia="Arial" w:hint="default"/>
          <w:spacing w:val="3"/>
        </w:rPr>
        <w:t> </w:t>
      </w:r>
      <w:r>
        <w:rPr>
          <w:spacing w:val="-4"/>
        </w:rPr>
        <w:t>条“国省干线改造升级”及第</w:t>
      </w:r>
      <w:r>
        <w:rPr>
          <w:spacing w:val="-45"/>
        </w:rPr>
        <w:t> </w:t>
      </w:r>
      <w:r>
        <w:rPr>
          <w:rFonts w:ascii="Arial" w:hAnsi="Arial" w:cs="Arial" w:eastAsia="Arial" w:hint="default"/>
        </w:rPr>
        <w:t>4</w:t>
      </w:r>
      <w:r>
        <w:rPr>
          <w:rFonts w:ascii="Arial" w:hAnsi="Arial" w:cs="Arial" w:eastAsia="Arial" w:hint="default"/>
          <w:spacing w:val="3"/>
        </w:rPr>
        <w:t> </w:t>
      </w:r>
      <w:r>
        <w:rPr>
          <w:spacing w:val="-3"/>
        </w:rPr>
        <w:t>条“高速公路不停车收费系统相</w:t>
      </w:r>
      <w:r>
        <w:rPr>
          <w:spacing w:val="-87"/>
        </w:rPr>
        <w:t> </w:t>
      </w:r>
      <w:r>
        <w:rPr>
          <w:spacing w:val="-87"/>
        </w:rPr>
      </w:r>
      <w:r>
        <w:rPr>
          <w:spacing w:val="2"/>
        </w:rPr>
        <w:t>关技术开发及应用”的规定，若公司年度主营业务收入中符合上述规定的收入额占总收入的比例在</w:t>
      </w:r>
      <w:r>
        <w:rPr>
          <w:spacing w:val="-43"/>
        </w:rPr>
        <w:t> </w:t>
      </w:r>
      <w:r>
        <w:rPr>
          <w:spacing w:val="-43"/>
        </w:rPr>
      </w:r>
      <w:r>
        <w:rPr>
          <w:rFonts w:ascii="Arial" w:hAnsi="Arial" w:cs="Arial" w:eastAsia="Arial" w:hint="default"/>
          <w:spacing w:val="-3"/>
        </w:rPr>
        <w:t>70%</w:t>
      </w:r>
      <w:r>
        <w:rPr>
          <w:spacing w:val="-3"/>
        </w:rPr>
        <w:t>以上，可确认公司为国家鼓励类产业企业，减按</w:t>
      </w:r>
      <w:r>
        <w:rPr>
          <w:spacing w:val="-51"/>
        </w:rPr>
        <w:t> </w:t>
      </w:r>
      <w:r>
        <w:rPr>
          <w:rFonts w:ascii="Arial" w:hAnsi="Arial" w:cs="Arial" w:eastAsia="Arial" w:hint="default"/>
        </w:rPr>
        <w:t>15%</w:t>
      </w:r>
      <w:r>
        <w:rPr/>
        <w:t>缴纳企业所得税。公司</w:t>
      </w:r>
      <w:r>
        <w:rPr>
          <w:spacing w:val="-51"/>
        </w:rPr>
        <w:t> </w:t>
      </w:r>
      <w:r>
        <w:rPr>
          <w:rFonts w:ascii="Arial" w:hAnsi="Arial" w:cs="Arial" w:eastAsia="Arial" w:hint="default"/>
        </w:rPr>
        <w:t>2019</w:t>
      </w:r>
      <w:r>
        <w:rPr>
          <w:rFonts w:ascii="Arial" w:hAnsi="Arial" w:cs="Arial" w:eastAsia="Arial" w:hint="default"/>
          <w:spacing w:val="-5"/>
        </w:rPr>
        <w:t> </w:t>
      </w:r>
      <w:r>
        <w:rPr/>
        <w:t>年度主营业务</w:t>
      </w:r>
      <w:r>
        <w:rPr>
          <w:spacing w:val="-99"/>
        </w:rPr>
        <w:t> </w:t>
      </w:r>
      <w:r>
        <w:rPr>
          <w:spacing w:val="-99"/>
        </w:rPr>
      </w:r>
      <w:r>
        <w:rPr/>
        <w:t>中符合上述规定的收入占收入总额的比例为</w:t>
      </w:r>
      <w:r>
        <w:rPr>
          <w:spacing w:val="-56"/>
        </w:rPr>
        <w:t> </w:t>
      </w:r>
      <w:r>
        <w:rPr>
          <w:rFonts w:ascii="Arial" w:hAnsi="Arial" w:cs="Arial" w:eastAsia="Arial" w:hint="default"/>
        </w:rPr>
        <w:t>76.92%</w:t>
      </w:r>
      <w:r>
        <w:rPr/>
        <w:t>，故</w:t>
      </w:r>
      <w:r>
        <w:rPr>
          <w:spacing w:val="-56"/>
        </w:rPr>
        <w:t> </w:t>
      </w:r>
      <w:r>
        <w:rPr>
          <w:rFonts w:ascii="Arial" w:hAnsi="Arial" w:cs="Arial" w:eastAsia="Arial" w:hint="default"/>
        </w:rPr>
        <w:t>2019</w:t>
      </w:r>
      <w:r>
        <w:rPr>
          <w:rFonts w:ascii="Arial" w:hAnsi="Arial" w:cs="Arial" w:eastAsia="Arial" w:hint="default"/>
          <w:spacing w:val="-10"/>
        </w:rPr>
        <w:t> </w:t>
      </w:r>
      <w:r>
        <w:rPr/>
        <w:t>年公司执行</w:t>
      </w:r>
      <w:r>
        <w:rPr>
          <w:spacing w:val="-59"/>
        </w:rPr>
        <w:t> </w:t>
      </w:r>
      <w:r>
        <w:rPr>
          <w:rFonts w:ascii="Arial" w:hAnsi="Arial" w:cs="Arial" w:eastAsia="Arial" w:hint="default"/>
        </w:rPr>
        <w:t>15%</w:t>
      </w:r>
      <w:r>
        <w:rPr/>
        <w:t>企业所得税税率。</w:t>
      </w:r>
    </w:p>
    <w:p>
      <w:pPr>
        <w:pStyle w:val="BodyText"/>
        <w:spacing w:line="316" w:lineRule="auto" w:before="52"/>
        <w:ind w:right="1016" w:firstLine="439"/>
        <w:jc w:val="left"/>
      </w:pPr>
      <w:r>
        <w:rPr>
          <w:spacing w:val="-3"/>
        </w:rPr>
        <w:t>（</w:t>
      </w:r>
      <w:r>
        <w:rPr>
          <w:rFonts w:ascii="Arial" w:hAnsi="Arial" w:cs="Arial" w:eastAsia="Arial" w:hint="default"/>
          <w:spacing w:val="-3"/>
        </w:rPr>
        <w:t>3</w:t>
      </w:r>
      <w:r>
        <w:rPr>
          <w:spacing w:val="-3"/>
        </w:rPr>
        <w:t>）根据</w:t>
      </w:r>
      <w:r>
        <w:rPr>
          <w:spacing w:val="-58"/>
        </w:rPr>
        <w:t> </w:t>
      </w:r>
      <w:r>
        <w:rPr>
          <w:rFonts w:ascii="Arial" w:hAnsi="Arial" w:cs="Arial" w:eastAsia="Arial" w:hint="default"/>
        </w:rPr>
        <w:t>2007</w:t>
      </w:r>
      <w:r>
        <w:rPr>
          <w:rFonts w:ascii="Arial" w:hAnsi="Arial" w:cs="Arial" w:eastAsia="Arial" w:hint="default"/>
          <w:spacing w:val="-10"/>
        </w:rPr>
        <w:t> </w:t>
      </w:r>
      <w:r>
        <w:rPr/>
        <w:t>年</w:t>
      </w:r>
      <w:r>
        <w:rPr>
          <w:spacing w:val="-58"/>
        </w:rPr>
        <w:t> </w:t>
      </w:r>
      <w:r>
        <w:rPr>
          <w:rFonts w:ascii="Arial" w:hAnsi="Arial" w:cs="Arial" w:eastAsia="Arial" w:hint="default"/>
        </w:rPr>
        <w:t>3</w:t>
      </w:r>
      <w:r>
        <w:rPr>
          <w:rFonts w:ascii="Arial" w:hAnsi="Arial" w:cs="Arial" w:eastAsia="Arial" w:hint="default"/>
          <w:spacing w:val="-12"/>
        </w:rPr>
        <w:t> </w:t>
      </w:r>
      <w:r>
        <w:rPr/>
        <w:t>月</w:t>
      </w:r>
      <w:r>
        <w:rPr>
          <w:spacing w:val="-58"/>
        </w:rPr>
        <w:t> </w:t>
      </w:r>
      <w:r>
        <w:rPr>
          <w:rFonts w:ascii="Arial" w:hAnsi="Arial" w:cs="Arial" w:eastAsia="Arial" w:hint="default"/>
        </w:rPr>
        <w:t>16</w:t>
      </w:r>
      <w:r>
        <w:rPr>
          <w:rFonts w:ascii="Arial" w:hAnsi="Arial" w:cs="Arial" w:eastAsia="Arial" w:hint="default"/>
          <w:spacing w:val="-10"/>
        </w:rPr>
        <w:t> </w:t>
      </w:r>
      <w:r>
        <w:rPr/>
        <w:t>日公布的《中华人民共和国企业所得税法》第二十八条的规定：国家</w:t>
      </w:r>
      <w:r>
        <w:rPr>
          <w:w w:val="100"/>
        </w:rPr>
        <w:t> </w:t>
      </w:r>
      <w:r>
        <w:rPr>
          <w:spacing w:val="-6"/>
        </w:rPr>
        <w:t>需要重点扶植的高新技术企业，减按</w:t>
      </w:r>
      <w:r>
        <w:rPr>
          <w:spacing w:val="4"/>
        </w:rPr>
        <w:t> </w:t>
      </w:r>
      <w:r>
        <w:rPr>
          <w:rFonts w:ascii="Arial" w:hAnsi="Arial" w:cs="Arial" w:eastAsia="Arial" w:hint="default"/>
          <w:spacing w:val="-6"/>
        </w:rPr>
        <w:t>15%</w:t>
      </w:r>
      <w:r>
        <w:rPr>
          <w:spacing w:val="-6"/>
        </w:rPr>
        <w:t>的税率征收企业所得税。根据《高新技术企业认定管理办法》</w:t>
      </w:r>
    </w:p>
    <w:p>
      <w:pPr>
        <w:pStyle w:val="BodyText"/>
        <w:spacing w:line="326" w:lineRule="auto" w:before="16"/>
        <w:ind w:right="1018"/>
        <w:jc w:val="both"/>
      </w:pPr>
      <w:r>
        <w:rPr>
          <w:spacing w:val="-3"/>
          <w:w w:val="100"/>
        </w:rPr>
        <w:t>（国科发火〔</w:t>
      </w:r>
      <w:r>
        <w:rPr>
          <w:rFonts w:ascii="Arial" w:hAnsi="Arial" w:cs="Arial" w:eastAsia="Arial" w:hint="default"/>
          <w:spacing w:val="-3"/>
          <w:w w:val="100"/>
        </w:rPr>
        <w:t>2016</w:t>
      </w:r>
      <w:r>
        <w:rPr>
          <w:spacing w:val="-3"/>
          <w:w w:val="100"/>
        </w:rPr>
        <w:t>〕</w:t>
      </w:r>
      <w:r>
        <w:rPr>
          <w:rFonts w:ascii="Arial" w:hAnsi="Arial" w:cs="Arial" w:eastAsia="Arial" w:hint="default"/>
          <w:spacing w:val="-3"/>
          <w:w w:val="100"/>
        </w:rPr>
        <w:t>32</w:t>
      </w:r>
      <w:r>
        <w:rPr>
          <w:rFonts w:ascii="Arial" w:hAnsi="Arial" w:cs="Arial" w:eastAsia="Arial" w:hint="default"/>
          <w:spacing w:val="-7"/>
          <w:w w:val="100"/>
        </w:rPr>
        <w:t> </w:t>
      </w:r>
      <w:r>
        <w:rPr>
          <w:spacing w:val="-6"/>
          <w:w w:val="100"/>
        </w:rPr>
        <w:t>号）和《高新技术企业认定管理工作指引》（国科发火〔</w:t>
      </w:r>
      <w:r>
        <w:rPr>
          <w:rFonts w:ascii="Arial" w:hAnsi="Arial" w:cs="Arial" w:eastAsia="Arial" w:hint="default"/>
          <w:spacing w:val="-6"/>
          <w:w w:val="100"/>
        </w:rPr>
        <w:t>2016</w:t>
      </w:r>
      <w:r>
        <w:rPr>
          <w:spacing w:val="-6"/>
          <w:w w:val="100"/>
        </w:rPr>
        <w:t>〕</w:t>
      </w:r>
      <w:r>
        <w:rPr>
          <w:rFonts w:ascii="Arial" w:hAnsi="Arial" w:cs="Arial" w:eastAsia="Arial" w:hint="default"/>
          <w:spacing w:val="-6"/>
          <w:w w:val="100"/>
        </w:rPr>
        <w:t>195</w:t>
      </w:r>
      <w:r>
        <w:rPr>
          <w:rFonts w:ascii="Arial" w:hAnsi="Arial" w:cs="Arial" w:eastAsia="Arial" w:hint="default"/>
          <w:spacing w:val="-5"/>
          <w:w w:val="100"/>
        </w:rPr>
        <w:t> </w:t>
      </w:r>
      <w:r>
        <w:rPr>
          <w:spacing w:val="-5"/>
          <w:w w:val="100"/>
        </w:rPr>
        <w:t>号）相关</w:t>
      </w:r>
      <w:r>
        <w:rPr>
          <w:spacing w:val="-103"/>
          <w:w w:val="100"/>
        </w:rPr>
        <w:t> </w:t>
      </w:r>
      <w:r>
        <w:rPr>
          <w:spacing w:val="-103"/>
          <w:w w:val="100"/>
        </w:rPr>
      </w:r>
      <w:r>
        <w:rPr/>
        <w:t>规定，中远海运科技（北京）有限公司（曾用名：中远网络物流信息科技有限公司）通过了高新技术</w:t>
      </w:r>
      <w:r>
        <w:rPr>
          <w:w w:val="100"/>
        </w:rPr>
        <w:t> </w:t>
      </w:r>
      <w:r>
        <w:rPr>
          <w:spacing w:val="-1"/>
          <w:w w:val="100"/>
        </w:rPr>
        <w:t>企业认定并取得高新技术企业证书</w:t>
      </w:r>
      <w:r>
        <w:rPr>
          <w:spacing w:val="-56"/>
          <w:w w:val="100"/>
        </w:rPr>
        <w:t> </w:t>
      </w:r>
      <w:r>
        <w:rPr>
          <w:rFonts w:ascii="Arial" w:hAnsi="Arial" w:cs="Arial" w:eastAsia="Arial" w:hint="default"/>
          <w:spacing w:val="-7"/>
          <w:w w:val="100"/>
        </w:rPr>
        <w:t>GR201711002433</w:t>
      </w:r>
      <w:r>
        <w:rPr>
          <w:spacing w:val="-7"/>
          <w:w w:val="100"/>
        </w:rPr>
        <w:t>，发证时间为</w:t>
      </w:r>
      <w:r>
        <w:rPr>
          <w:spacing w:val="-54"/>
          <w:w w:val="100"/>
        </w:rPr>
        <w:t> </w:t>
      </w:r>
      <w:r>
        <w:rPr>
          <w:rFonts w:ascii="Arial" w:hAnsi="Arial" w:cs="Arial" w:eastAsia="Arial" w:hint="default"/>
          <w:spacing w:val="-1"/>
          <w:w w:val="100"/>
        </w:rPr>
        <w:t>2017</w:t>
      </w:r>
      <w:r>
        <w:rPr>
          <w:rFonts w:ascii="Arial" w:hAnsi="Arial" w:cs="Arial" w:eastAsia="Arial" w:hint="default"/>
          <w:spacing w:val="-6"/>
          <w:w w:val="100"/>
        </w:rPr>
        <w:t> </w:t>
      </w:r>
      <w:r>
        <w:rPr>
          <w:w w:val="100"/>
        </w:rPr>
        <w:t>年</w:t>
      </w:r>
      <w:r>
        <w:rPr>
          <w:spacing w:val="-57"/>
          <w:w w:val="100"/>
        </w:rPr>
        <w:t> </w:t>
      </w:r>
      <w:r>
        <w:rPr>
          <w:rFonts w:ascii="Arial" w:hAnsi="Arial" w:cs="Arial" w:eastAsia="Arial" w:hint="default"/>
          <w:spacing w:val="-1"/>
          <w:w w:val="100"/>
        </w:rPr>
        <w:t>10</w:t>
      </w:r>
      <w:r>
        <w:rPr>
          <w:rFonts w:ascii="Arial" w:hAnsi="Arial" w:cs="Arial" w:eastAsia="Arial" w:hint="default"/>
          <w:spacing w:val="-6"/>
          <w:w w:val="100"/>
        </w:rPr>
        <w:t> </w:t>
      </w:r>
      <w:r>
        <w:rPr>
          <w:w w:val="100"/>
        </w:rPr>
        <w:t>月</w:t>
      </w:r>
      <w:r>
        <w:rPr>
          <w:spacing w:val="-54"/>
          <w:w w:val="100"/>
        </w:rPr>
        <w:t> </w:t>
      </w:r>
      <w:r>
        <w:rPr>
          <w:rFonts w:ascii="Arial" w:hAnsi="Arial" w:cs="Arial" w:eastAsia="Arial" w:hint="default"/>
          <w:spacing w:val="-1"/>
          <w:w w:val="100"/>
        </w:rPr>
        <w:t>25</w:t>
      </w:r>
      <w:r>
        <w:rPr>
          <w:rFonts w:ascii="Arial" w:hAnsi="Arial" w:cs="Arial" w:eastAsia="Arial" w:hint="default"/>
          <w:spacing w:val="-6"/>
          <w:w w:val="100"/>
        </w:rPr>
        <w:t> </w:t>
      </w:r>
      <w:r>
        <w:rPr>
          <w:spacing w:val="-15"/>
          <w:w w:val="100"/>
        </w:rPr>
        <w:t>日，有效期三年。</w:t>
      </w:r>
    </w:p>
    <w:p>
      <w:pPr>
        <w:pStyle w:val="BodyText"/>
        <w:spacing w:line="240" w:lineRule="auto" w:before="6"/>
        <w:ind w:right="0"/>
        <w:jc w:val="both"/>
      </w:pPr>
      <w:r>
        <w:rPr>
          <w:rFonts w:ascii="Arial" w:hAnsi="Arial" w:cs="Arial" w:eastAsia="Arial" w:hint="default"/>
        </w:rPr>
        <w:t>2019 </w:t>
      </w:r>
      <w:r>
        <w:rPr/>
        <w:t>年公司执行</w:t>
      </w:r>
      <w:r>
        <w:rPr>
          <w:spacing w:val="-64"/>
        </w:rPr>
        <w:t> </w:t>
      </w:r>
      <w:r>
        <w:rPr>
          <w:rFonts w:ascii="Arial" w:hAnsi="Arial" w:cs="Arial" w:eastAsia="Arial" w:hint="default"/>
        </w:rPr>
        <w:t>15%</w:t>
      </w:r>
      <w:r>
        <w:rPr/>
        <w:t>企业所得税税率。</w:t>
      </w:r>
    </w:p>
    <w:p>
      <w:pPr>
        <w:pStyle w:val="BodyText"/>
        <w:spacing w:line="319" w:lineRule="auto" w:before="138"/>
        <w:ind w:right="1016" w:firstLine="439"/>
        <w:jc w:val="left"/>
      </w:pPr>
      <w:r>
        <w:rPr>
          <w:spacing w:val="-3"/>
          <w:w w:val="100"/>
        </w:rPr>
        <w:t>（</w:t>
      </w:r>
      <w:r>
        <w:rPr>
          <w:rFonts w:ascii="Arial" w:hAnsi="Arial" w:cs="Arial" w:eastAsia="Arial" w:hint="default"/>
          <w:spacing w:val="-3"/>
          <w:w w:val="100"/>
        </w:rPr>
        <w:t>4</w:t>
      </w:r>
      <w:r>
        <w:rPr>
          <w:spacing w:val="-3"/>
          <w:w w:val="100"/>
        </w:rPr>
        <w:t>）根据财税</w:t>
      </w:r>
      <w:r>
        <w:rPr>
          <w:rFonts w:ascii="Arial" w:hAnsi="Arial" w:cs="Arial" w:eastAsia="Arial" w:hint="default"/>
          <w:spacing w:val="-3"/>
          <w:w w:val="100"/>
        </w:rPr>
        <w:t>[2019]13</w:t>
      </w:r>
      <w:r>
        <w:rPr>
          <w:rFonts w:ascii="Arial" w:hAnsi="Arial" w:cs="Arial" w:eastAsia="Arial" w:hint="default"/>
          <w:w w:val="100"/>
        </w:rPr>
        <w:t> </w:t>
      </w:r>
      <w:r>
        <w:rPr>
          <w:spacing w:val="-7"/>
          <w:w w:val="100"/>
        </w:rPr>
        <w:t>号《关于实施小微企业普惠性税收减免政策的通知》，对小型微利企业年</w:t>
      </w:r>
      <w:r>
        <w:rPr>
          <w:w w:val="100"/>
        </w:rPr>
        <w:t> </w:t>
      </w:r>
      <w:r>
        <w:rPr/>
        <w:t>应纳税所得额不超过</w:t>
      </w:r>
      <w:r>
        <w:rPr>
          <w:spacing w:val="-49"/>
        </w:rPr>
        <w:t> </w:t>
      </w:r>
      <w:r>
        <w:rPr>
          <w:rFonts w:ascii="Arial" w:hAnsi="Arial" w:cs="Arial" w:eastAsia="Arial" w:hint="default"/>
        </w:rPr>
        <w:t>100</w:t>
      </w:r>
      <w:r>
        <w:rPr>
          <w:rFonts w:ascii="Arial" w:hAnsi="Arial" w:cs="Arial" w:eastAsia="Arial" w:hint="default"/>
          <w:spacing w:val="-1"/>
        </w:rPr>
        <w:t> </w:t>
      </w:r>
      <w:r>
        <w:rPr>
          <w:spacing w:val="-6"/>
        </w:rPr>
        <w:t>万元的部分，减按</w:t>
      </w:r>
      <w:r>
        <w:rPr>
          <w:spacing w:val="-49"/>
        </w:rPr>
        <w:t> </w:t>
      </w:r>
      <w:r>
        <w:rPr>
          <w:rFonts w:ascii="Arial" w:hAnsi="Arial" w:cs="Arial" w:eastAsia="Arial" w:hint="default"/>
          <w:spacing w:val="-5"/>
        </w:rPr>
        <w:t>25%</w:t>
      </w:r>
      <w:r>
        <w:rPr>
          <w:spacing w:val="-5"/>
        </w:rPr>
        <w:t>计入应纳税所得额，按</w:t>
      </w:r>
      <w:r>
        <w:rPr>
          <w:spacing w:val="-49"/>
        </w:rPr>
        <w:t> </w:t>
      </w:r>
      <w:r>
        <w:rPr>
          <w:rFonts w:ascii="Arial" w:hAnsi="Arial" w:cs="Arial" w:eastAsia="Arial" w:hint="default"/>
        </w:rPr>
        <w:t>20%</w:t>
      </w:r>
      <w:r>
        <w:rPr/>
        <w:t>的税率缴纳企业所得税；</w:t>
      </w:r>
      <w:r>
        <w:rPr>
          <w:spacing w:val="-108"/>
        </w:rPr>
        <w:t> </w:t>
      </w:r>
      <w:r>
        <w:rPr>
          <w:spacing w:val="-108"/>
        </w:rPr>
      </w:r>
      <w:r>
        <w:rPr/>
        <w:t>对年应纳税所得额超过</w:t>
      </w:r>
      <w:r>
        <w:rPr>
          <w:spacing w:val="-57"/>
        </w:rPr>
        <w:t> </w:t>
      </w:r>
      <w:r>
        <w:rPr>
          <w:rFonts w:ascii="Arial" w:hAnsi="Arial" w:cs="Arial" w:eastAsia="Arial" w:hint="default"/>
        </w:rPr>
        <w:t>100</w:t>
      </w:r>
      <w:r>
        <w:rPr>
          <w:rFonts w:ascii="Arial" w:hAnsi="Arial" w:cs="Arial" w:eastAsia="Arial" w:hint="default"/>
          <w:spacing w:val="-8"/>
        </w:rPr>
        <w:t> </w:t>
      </w:r>
      <w:r>
        <w:rPr/>
        <w:t>万元但不超过</w:t>
      </w:r>
      <w:r>
        <w:rPr>
          <w:spacing w:val="-57"/>
        </w:rPr>
        <w:t> </w:t>
      </w:r>
      <w:r>
        <w:rPr>
          <w:rFonts w:ascii="Arial" w:hAnsi="Arial" w:cs="Arial" w:eastAsia="Arial" w:hint="default"/>
        </w:rPr>
        <w:t>300</w:t>
      </w:r>
      <w:r>
        <w:rPr>
          <w:rFonts w:ascii="Arial" w:hAnsi="Arial" w:cs="Arial" w:eastAsia="Arial" w:hint="default"/>
          <w:spacing w:val="-11"/>
        </w:rPr>
        <w:t> </w:t>
      </w:r>
      <w:r>
        <w:rPr/>
        <w:t>万元的部分，减按</w:t>
      </w:r>
      <w:r>
        <w:rPr>
          <w:spacing w:val="-57"/>
        </w:rPr>
        <w:t> </w:t>
      </w:r>
      <w:r>
        <w:rPr>
          <w:rFonts w:ascii="Arial" w:hAnsi="Arial" w:cs="Arial" w:eastAsia="Arial" w:hint="default"/>
        </w:rPr>
        <w:t>50%</w:t>
      </w:r>
      <w:r>
        <w:rPr/>
        <w:t>计入应纳税所得额，按</w:t>
      </w:r>
      <w:r>
        <w:rPr>
          <w:spacing w:val="-57"/>
        </w:rPr>
        <w:t> </w:t>
      </w:r>
      <w:r>
        <w:rPr>
          <w:rFonts w:ascii="Arial" w:hAnsi="Arial" w:cs="Arial" w:eastAsia="Arial" w:hint="default"/>
        </w:rPr>
        <w:t>20%</w:t>
      </w:r>
      <w:r>
        <w:rPr/>
        <w:t>的</w:t>
      </w:r>
      <w:r>
        <w:rPr>
          <w:w w:val="100"/>
        </w:rPr>
        <w:t> </w:t>
      </w:r>
      <w:r>
        <w:rPr/>
        <w:t>税率缴纳企业所得税。北京中远海运数字科技有限公司通过小型微利企业认定，适用企业所得税税率</w:t>
      </w:r>
      <w:r>
        <w:rPr>
          <w:w w:val="100"/>
        </w:rPr>
        <w:t> </w:t>
      </w:r>
      <w:r>
        <w:rPr/>
        <w:t>为</w:t>
      </w:r>
      <w:r>
        <w:rPr>
          <w:spacing w:val="-54"/>
        </w:rPr>
        <w:t> </w:t>
      </w:r>
      <w:r>
        <w:rPr>
          <w:rFonts w:ascii="Arial" w:hAnsi="Arial" w:cs="Arial" w:eastAsia="Arial" w:hint="default"/>
        </w:rPr>
        <w:t>20%</w:t>
      </w:r>
      <w:r>
        <w:rPr/>
        <w:t>。</w:t>
      </w:r>
    </w:p>
    <w:p>
      <w:pPr>
        <w:spacing w:line="240" w:lineRule="auto" w:before="7"/>
        <w:rPr>
          <w:rFonts w:ascii="宋体" w:hAnsi="宋体" w:cs="宋体" w:eastAsia="宋体" w:hint="default"/>
          <w:sz w:val="16"/>
          <w:szCs w:val="16"/>
        </w:rPr>
      </w:pPr>
    </w:p>
    <w:p>
      <w:pPr>
        <w:pStyle w:val="Heading3"/>
        <w:spacing w:line="240" w:lineRule="auto"/>
        <w:ind w:right="0"/>
        <w:jc w:val="both"/>
        <w:rPr>
          <w:b w:val="0"/>
          <w:bCs w:val="0"/>
        </w:rPr>
      </w:pPr>
      <w:r>
        <w:rPr/>
        <w:t>八、合并财务报表主要项目注释</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592" w:right="0"/>
        <w:jc w:val="left"/>
        <w:rPr>
          <w:rFonts w:ascii="Arial" w:hAnsi="Arial" w:cs="Arial" w:eastAsia="Arial" w:hint="default"/>
        </w:rPr>
      </w:pPr>
      <w:r>
        <w:rPr/>
        <w:t>下列所披露的财务报表数据，除特别注明之外，</w:t>
      </w:r>
      <w:r>
        <w:rPr>
          <w:rFonts w:ascii="Arial" w:hAnsi="Arial" w:cs="Arial" w:eastAsia="Arial" w:hint="default"/>
        </w:rPr>
        <w:t>“</w:t>
      </w:r>
      <w:r>
        <w:rPr/>
        <w:t>年初</w:t>
      </w:r>
      <w:r>
        <w:rPr>
          <w:rFonts w:ascii="Arial" w:hAnsi="Arial" w:cs="Arial" w:eastAsia="Arial" w:hint="default"/>
        </w:rPr>
        <w:t>”</w:t>
      </w:r>
      <w:r>
        <w:rPr/>
        <w:t>系指</w:t>
      </w:r>
      <w:r>
        <w:rPr>
          <w:spacing w:val="-51"/>
        </w:rPr>
        <w:t> </w:t>
      </w:r>
      <w:r>
        <w:rPr>
          <w:rFonts w:ascii="Arial" w:hAnsi="Arial" w:cs="Arial" w:eastAsia="Arial" w:hint="default"/>
        </w:rPr>
        <w:t>2019</w:t>
      </w:r>
      <w:r>
        <w:rPr>
          <w:rFonts w:ascii="Arial" w:hAnsi="Arial" w:cs="Arial" w:eastAsia="Arial" w:hint="default"/>
          <w:spacing w:val="-3"/>
        </w:rPr>
        <w:t> </w:t>
      </w:r>
      <w:r>
        <w:rPr/>
        <w:t>年</w:t>
      </w:r>
      <w:r>
        <w:rPr>
          <w:spacing w:val="-51"/>
        </w:rPr>
        <w:t> </w:t>
      </w:r>
      <w:r>
        <w:rPr>
          <w:rFonts w:ascii="Arial" w:hAnsi="Arial" w:cs="Arial" w:eastAsia="Arial" w:hint="default"/>
        </w:rPr>
        <w:t>1</w:t>
      </w:r>
      <w:r>
        <w:rPr>
          <w:rFonts w:ascii="Arial" w:hAnsi="Arial" w:cs="Arial" w:eastAsia="Arial" w:hint="default"/>
          <w:spacing w:val="-3"/>
        </w:rPr>
        <w:t> </w:t>
      </w:r>
      <w:r>
        <w:rPr/>
        <w:t>月</w:t>
      </w:r>
      <w:r>
        <w:rPr>
          <w:spacing w:val="-54"/>
        </w:rPr>
        <w:t> </w:t>
      </w:r>
      <w:r>
        <w:rPr>
          <w:rFonts w:ascii="Arial" w:hAnsi="Arial" w:cs="Arial" w:eastAsia="Arial" w:hint="default"/>
        </w:rPr>
        <w:t>1</w:t>
      </w:r>
      <w:r>
        <w:rPr>
          <w:rFonts w:ascii="Arial" w:hAnsi="Arial" w:cs="Arial" w:eastAsia="Arial" w:hint="default"/>
          <w:spacing w:val="-3"/>
        </w:rPr>
        <w:t> </w:t>
      </w:r>
      <w:r>
        <w:rPr/>
        <w:t>日，</w:t>
      </w:r>
      <w:r>
        <w:rPr>
          <w:rFonts w:ascii="Arial" w:hAnsi="Arial" w:cs="Arial" w:eastAsia="Arial" w:hint="default"/>
        </w:rPr>
        <w:t>“</w:t>
      </w:r>
      <w:r>
        <w:rPr/>
        <w:t>年末</w:t>
      </w:r>
      <w:r>
        <w:rPr>
          <w:rFonts w:ascii="Arial" w:hAnsi="Arial" w:cs="Arial" w:eastAsia="Arial" w:hint="default"/>
        </w:rPr>
        <w:t>”</w:t>
      </w:r>
      <w:r>
        <w:rPr/>
        <w:t>系指</w:t>
      </w:r>
      <w:r>
        <w:rPr>
          <w:spacing w:val="-51"/>
        </w:rPr>
        <w:t> </w:t>
      </w:r>
      <w:r>
        <w:rPr>
          <w:rFonts w:ascii="Arial" w:hAnsi="Arial" w:cs="Arial" w:eastAsia="Arial" w:hint="default"/>
        </w:rPr>
        <w:t>2019</w:t>
      </w:r>
    </w:p>
    <w:p>
      <w:pPr>
        <w:pStyle w:val="BodyText"/>
        <w:spacing w:line="240" w:lineRule="auto" w:before="95"/>
        <w:ind w:right="0"/>
        <w:jc w:val="both"/>
      </w:pPr>
      <w:r>
        <w:rPr/>
        <w:t>年</w:t>
      </w:r>
      <w:r>
        <w:rPr>
          <w:spacing w:val="-53"/>
        </w:rPr>
        <w:t> </w:t>
      </w:r>
      <w:r>
        <w:rPr>
          <w:rFonts w:ascii="Arial" w:hAnsi="Arial" w:cs="Arial" w:eastAsia="Arial" w:hint="default"/>
        </w:rPr>
        <w:t>12</w:t>
      </w:r>
      <w:r>
        <w:rPr>
          <w:rFonts w:ascii="Arial" w:hAnsi="Arial" w:cs="Arial" w:eastAsia="Arial" w:hint="default"/>
          <w:spacing w:val="-5"/>
        </w:rPr>
        <w:t> </w:t>
      </w:r>
      <w:r>
        <w:rPr/>
        <w:t>月</w:t>
      </w:r>
      <w:r>
        <w:rPr>
          <w:spacing w:val="-54"/>
        </w:rPr>
        <w:t> </w:t>
      </w:r>
      <w:r>
        <w:rPr>
          <w:rFonts w:ascii="Arial" w:hAnsi="Arial" w:cs="Arial" w:eastAsia="Arial" w:hint="default"/>
        </w:rPr>
        <w:t>31</w:t>
      </w:r>
      <w:r>
        <w:rPr>
          <w:rFonts w:ascii="Arial" w:hAnsi="Arial" w:cs="Arial" w:eastAsia="Arial" w:hint="default"/>
          <w:spacing w:val="-5"/>
        </w:rPr>
        <w:t> </w:t>
      </w:r>
      <w:r>
        <w:rPr/>
        <w:t>日，</w:t>
      </w:r>
      <w:r>
        <w:rPr>
          <w:rFonts w:ascii="Arial" w:hAnsi="Arial" w:cs="Arial" w:eastAsia="Arial" w:hint="default"/>
        </w:rPr>
        <w:t>“</w:t>
      </w:r>
      <w:r>
        <w:rPr/>
        <w:t>本年</w:t>
      </w:r>
      <w:r>
        <w:rPr>
          <w:rFonts w:ascii="Arial" w:hAnsi="Arial" w:cs="Arial" w:eastAsia="Arial" w:hint="default"/>
        </w:rPr>
        <w:t>”</w:t>
      </w:r>
      <w:r>
        <w:rPr/>
        <w:t>系指</w:t>
      </w:r>
      <w:r>
        <w:rPr>
          <w:spacing w:val="-53"/>
        </w:rPr>
        <w:t> </w:t>
      </w:r>
      <w:r>
        <w:rPr>
          <w:rFonts w:ascii="Arial" w:hAnsi="Arial" w:cs="Arial" w:eastAsia="Arial" w:hint="default"/>
        </w:rPr>
        <w:t>2019</w:t>
      </w:r>
      <w:r>
        <w:rPr>
          <w:rFonts w:ascii="Arial" w:hAnsi="Arial" w:cs="Arial" w:eastAsia="Arial" w:hint="default"/>
          <w:spacing w:val="-5"/>
        </w:rPr>
        <w:t> </w:t>
      </w:r>
      <w:r>
        <w:rPr/>
        <w:t>年</w:t>
      </w:r>
      <w:r>
        <w:rPr>
          <w:spacing w:val="-54"/>
        </w:rPr>
        <w:t> </w:t>
      </w:r>
      <w:r>
        <w:rPr>
          <w:rFonts w:ascii="Arial" w:hAnsi="Arial" w:cs="Arial" w:eastAsia="Arial" w:hint="default"/>
        </w:rPr>
        <w:t>1</w:t>
      </w:r>
      <w:r>
        <w:rPr>
          <w:rFonts w:ascii="Arial" w:hAnsi="Arial" w:cs="Arial" w:eastAsia="Arial" w:hint="default"/>
          <w:spacing w:val="-5"/>
        </w:rPr>
        <w:t> </w:t>
      </w:r>
      <w:r>
        <w:rPr/>
        <w:t>月</w:t>
      </w:r>
      <w:r>
        <w:rPr>
          <w:spacing w:val="-56"/>
        </w:rPr>
        <w:t> </w:t>
      </w:r>
      <w:r>
        <w:rPr>
          <w:rFonts w:ascii="Arial" w:hAnsi="Arial" w:cs="Arial" w:eastAsia="Arial" w:hint="default"/>
        </w:rPr>
        <w:t>1</w:t>
      </w:r>
      <w:r>
        <w:rPr>
          <w:rFonts w:ascii="Arial" w:hAnsi="Arial" w:cs="Arial" w:eastAsia="Arial" w:hint="default"/>
          <w:spacing w:val="-5"/>
        </w:rPr>
        <w:t> </w:t>
      </w:r>
      <w:r>
        <w:rPr/>
        <w:t>日至</w:t>
      </w:r>
      <w:r>
        <w:rPr>
          <w:spacing w:val="-54"/>
        </w:rPr>
        <w:t> </w:t>
      </w:r>
      <w:r>
        <w:rPr>
          <w:rFonts w:ascii="Arial" w:hAnsi="Arial" w:cs="Arial" w:eastAsia="Arial" w:hint="default"/>
        </w:rPr>
        <w:t>12</w:t>
      </w:r>
      <w:r>
        <w:rPr>
          <w:rFonts w:ascii="Arial" w:hAnsi="Arial" w:cs="Arial" w:eastAsia="Arial" w:hint="default"/>
          <w:spacing w:val="-5"/>
        </w:rPr>
        <w:t> </w:t>
      </w:r>
      <w:r>
        <w:rPr/>
        <w:t>月</w:t>
      </w:r>
      <w:r>
        <w:rPr>
          <w:spacing w:val="-53"/>
        </w:rPr>
        <w:t> </w:t>
      </w:r>
      <w:r>
        <w:rPr>
          <w:rFonts w:ascii="Arial" w:hAnsi="Arial" w:cs="Arial" w:eastAsia="Arial" w:hint="default"/>
        </w:rPr>
        <w:t>31</w:t>
      </w:r>
      <w:r>
        <w:rPr>
          <w:rFonts w:ascii="Arial" w:hAnsi="Arial" w:cs="Arial" w:eastAsia="Arial" w:hint="default"/>
          <w:spacing w:val="-5"/>
        </w:rPr>
        <w:t> </w:t>
      </w:r>
      <w:r>
        <w:rPr/>
        <w:t>日，</w:t>
      </w:r>
      <w:r>
        <w:rPr>
          <w:rFonts w:ascii="Arial" w:hAnsi="Arial" w:cs="Arial" w:eastAsia="Arial" w:hint="default"/>
        </w:rPr>
        <w:t>“</w:t>
      </w:r>
      <w:r>
        <w:rPr/>
        <w:t>上年</w:t>
      </w:r>
      <w:r>
        <w:rPr>
          <w:rFonts w:ascii="Arial" w:hAnsi="Arial" w:cs="Arial" w:eastAsia="Arial" w:hint="default"/>
        </w:rPr>
        <w:t>”</w:t>
      </w:r>
      <w:r>
        <w:rPr>
          <w:rFonts w:ascii="Arial" w:hAnsi="Arial" w:cs="Arial" w:eastAsia="Arial" w:hint="default"/>
          <w:spacing w:val="49"/>
        </w:rPr>
        <w:t> </w:t>
      </w:r>
      <w:r>
        <w:rPr/>
        <w:t>系指</w:t>
      </w:r>
      <w:r>
        <w:rPr>
          <w:spacing w:val="-56"/>
        </w:rPr>
        <w:t> </w:t>
      </w:r>
      <w:r>
        <w:rPr>
          <w:rFonts w:ascii="Arial" w:hAnsi="Arial" w:cs="Arial" w:eastAsia="Arial" w:hint="default"/>
        </w:rPr>
        <w:t>2018</w:t>
      </w:r>
      <w:r>
        <w:rPr>
          <w:rFonts w:ascii="Arial" w:hAnsi="Arial" w:cs="Arial" w:eastAsia="Arial" w:hint="default"/>
          <w:spacing w:val="-5"/>
        </w:rPr>
        <w:t> </w:t>
      </w:r>
      <w:r>
        <w:rPr/>
        <w:t>年</w:t>
      </w:r>
      <w:r>
        <w:rPr>
          <w:spacing w:val="-54"/>
        </w:rPr>
        <w:t> </w:t>
      </w:r>
      <w:r>
        <w:rPr>
          <w:rFonts w:ascii="Arial" w:hAnsi="Arial" w:cs="Arial" w:eastAsia="Arial" w:hint="default"/>
        </w:rPr>
        <w:t>1</w:t>
      </w:r>
      <w:r>
        <w:rPr>
          <w:rFonts w:ascii="Arial" w:hAnsi="Arial" w:cs="Arial" w:eastAsia="Arial" w:hint="default"/>
          <w:spacing w:val="-5"/>
        </w:rPr>
        <w:t> </w:t>
      </w:r>
      <w:r>
        <w:rPr/>
        <w:t>月</w:t>
      </w:r>
      <w:r>
        <w:rPr>
          <w:spacing w:val="-54"/>
        </w:rPr>
        <w:t> </w:t>
      </w:r>
      <w:r>
        <w:rPr>
          <w:rFonts w:ascii="Arial" w:hAnsi="Arial" w:cs="Arial" w:eastAsia="Arial" w:hint="default"/>
        </w:rPr>
        <w:t>1</w:t>
      </w:r>
      <w:r>
        <w:rPr>
          <w:rFonts w:ascii="Arial" w:hAnsi="Arial" w:cs="Arial" w:eastAsia="Arial" w:hint="default"/>
          <w:spacing w:val="-5"/>
        </w:rPr>
        <w:t> </w:t>
      </w:r>
      <w:r>
        <w:rPr/>
        <w:t>日至</w:t>
      </w:r>
      <w:r>
        <w:rPr>
          <w:spacing w:val="-54"/>
        </w:rPr>
        <w:t> </w:t>
      </w:r>
      <w:r>
        <w:rPr>
          <w:rFonts w:ascii="Arial" w:hAnsi="Arial" w:cs="Arial" w:eastAsia="Arial" w:hint="default"/>
        </w:rPr>
        <w:t>12</w:t>
      </w:r>
      <w:r>
        <w:rPr>
          <w:rFonts w:ascii="Arial" w:hAnsi="Arial" w:cs="Arial" w:eastAsia="Arial" w:hint="default"/>
          <w:spacing w:val="-8"/>
        </w:rPr>
        <w:t> </w:t>
      </w:r>
      <w:r>
        <w:rPr/>
        <w:t>月</w:t>
      </w:r>
    </w:p>
    <w:p>
      <w:pPr>
        <w:pStyle w:val="BodyText"/>
        <w:spacing w:line="240" w:lineRule="auto" w:before="97"/>
        <w:ind w:right="0"/>
        <w:jc w:val="both"/>
      </w:pPr>
      <w:r>
        <w:rPr>
          <w:rFonts w:ascii="Arial" w:hAnsi="Arial" w:cs="Arial" w:eastAsia="Arial" w:hint="default"/>
        </w:rPr>
        <w:t>31</w:t>
      </w:r>
      <w:r>
        <w:rPr>
          <w:rFonts w:ascii="Arial" w:hAnsi="Arial" w:cs="Arial" w:eastAsia="Arial" w:hint="default"/>
          <w:spacing w:val="-6"/>
        </w:rPr>
        <w:t> </w:t>
      </w:r>
      <w:r>
        <w:rPr/>
        <w:t>日，货币单位为人民币元。</w:t>
      </w:r>
    </w:p>
    <w:p>
      <w:pPr>
        <w:pStyle w:val="Heading4"/>
        <w:spacing w:line="240" w:lineRule="auto" w:before="135"/>
        <w:ind w:right="1133"/>
        <w:jc w:val="left"/>
        <w:rPr>
          <w:b w:val="0"/>
          <w:bCs w:val="0"/>
        </w:rPr>
      </w:pPr>
      <w:r>
        <w:rPr>
          <w:rFonts w:ascii="Arial" w:hAnsi="Arial" w:cs="Arial" w:eastAsia="Arial" w:hint="default"/>
        </w:rPr>
        <w:t>1</w:t>
      </w:r>
      <w:r>
        <w:rPr/>
        <w:t>、</w:t>
      </w:r>
      <w:r>
        <w:rPr>
          <w:spacing w:val="-57"/>
        </w:rPr>
        <w:t> </w:t>
      </w:r>
      <w:r>
        <w:rPr/>
        <w:t>货币资金</w:t>
      </w:r>
      <w:r>
        <w:rPr>
          <w:b w:val="0"/>
          <w:bCs w:val="0"/>
        </w:rPr>
      </w:r>
    </w:p>
    <w:p>
      <w:pPr>
        <w:spacing w:line="240" w:lineRule="auto" w:before="9"/>
        <w:rPr>
          <w:rFonts w:ascii="宋体" w:hAnsi="宋体" w:cs="宋体" w:eastAsia="宋体" w:hint="default"/>
          <w:b/>
          <w:bCs/>
          <w:sz w:val="2"/>
          <w:szCs w:val="2"/>
        </w:rPr>
      </w:pPr>
    </w:p>
    <w:tbl>
      <w:tblPr>
        <w:tblW w:w="0" w:type="auto"/>
        <w:jc w:val="left"/>
        <w:tblInd w:w="580" w:type="dxa"/>
        <w:tblLayout w:type="fixed"/>
        <w:tblCellMar>
          <w:top w:w="0" w:type="dxa"/>
          <w:left w:w="0" w:type="dxa"/>
          <w:bottom w:w="0" w:type="dxa"/>
          <w:right w:w="0" w:type="dxa"/>
        </w:tblCellMar>
        <w:tblLook w:val="01E0"/>
      </w:tblPr>
      <w:tblGrid>
        <w:gridCol w:w="3392"/>
        <w:gridCol w:w="2674"/>
        <w:gridCol w:w="2674"/>
      </w:tblGrid>
      <w:tr>
        <w:trPr>
          <w:trHeight w:val="497" w:hRule="exact"/>
        </w:trPr>
        <w:tc>
          <w:tcPr>
            <w:tcW w:w="339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49"/>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7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9"/>
              <w:ind w:left="4"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67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99" w:hRule="exact"/>
        </w:trPr>
        <w:tc>
          <w:tcPr>
            <w:tcW w:w="339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26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764" w:right="0"/>
              <w:jc w:val="left"/>
              <w:rPr>
                <w:rFonts w:ascii="Arial" w:hAnsi="Arial" w:cs="Arial" w:eastAsia="Arial" w:hint="default"/>
                <w:sz w:val="18"/>
                <w:szCs w:val="18"/>
              </w:rPr>
            </w:pPr>
            <w:r>
              <w:rPr>
                <w:rFonts w:ascii="Arial"/>
                <w:sz w:val="18"/>
              </w:rPr>
              <w:t>14,192.71</w:t>
            </w:r>
          </w:p>
        </w:tc>
        <w:tc>
          <w:tcPr>
            <w:tcW w:w="267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762" w:right="0"/>
              <w:jc w:val="left"/>
              <w:rPr>
                <w:rFonts w:ascii="Arial" w:hAnsi="Arial" w:cs="Arial" w:eastAsia="Arial" w:hint="default"/>
                <w:sz w:val="18"/>
                <w:szCs w:val="18"/>
              </w:rPr>
            </w:pPr>
            <w:r>
              <w:rPr>
                <w:rFonts w:ascii="Arial"/>
                <w:sz w:val="18"/>
              </w:rPr>
              <w:t>37,749.79</w:t>
            </w:r>
          </w:p>
        </w:tc>
      </w:tr>
    </w:tbl>
    <w:p>
      <w:pPr>
        <w:spacing w:after="0" w:line="240" w:lineRule="auto"/>
        <w:jc w:val="left"/>
        <w:rPr>
          <w:rFonts w:ascii="Arial" w:hAnsi="Arial" w:cs="Arial" w:eastAsia="Arial"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580" w:type="dxa"/>
        <w:tblLayout w:type="fixed"/>
        <w:tblCellMar>
          <w:top w:w="0" w:type="dxa"/>
          <w:left w:w="0" w:type="dxa"/>
          <w:bottom w:w="0" w:type="dxa"/>
          <w:right w:w="0" w:type="dxa"/>
        </w:tblCellMar>
        <w:tblLook w:val="01E0"/>
      </w:tblPr>
      <w:tblGrid>
        <w:gridCol w:w="3392"/>
        <w:gridCol w:w="2674"/>
        <w:gridCol w:w="2674"/>
      </w:tblGrid>
      <w:tr>
        <w:trPr>
          <w:trHeight w:val="500" w:hRule="exact"/>
        </w:trPr>
        <w:tc>
          <w:tcPr>
            <w:tcW w:w="339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2"/>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7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left="4"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67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85" w:hRule="exact"/>
        </w:trPr>
        <w:tc>
          <w:tcPr>
            <w:tcW w:w="33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26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1,266,129,082.66</w:t>
            </w:r>
          </w:p>
        </w:tc>
        <w:tc>
          <w:tcPr>
            <w:tcW w:w="26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7"/>
              <w:jc w:val="right"/>
              <w:rPr>
                <w:rFonts w:ascii="Arial" w:hAnsi="Arial" w:cs="Arial" w:eastAsia="Arial" w:hint="default"/>
                <w:sz w:val="18"/>
                <w:szCs w:val="18"/>
              </w:rPr>
            </w:pPr>
            <w:r>
              <w:rPr>
                <w:rFonts w:ascii="Arial"/>
                <w:spacing w:val="-2"/>
                <w:sz w:val="18"/>
              </w:rPr>
              <w:t>969,114,340.54</w:t>
            </w:r>
          </w:p>
        </w:tc>
      </w:tr>
      <w:tr>
        <w:trPr>
          <w:trHeight w:val="485" w:hRule="exact"/>
        </w:trPr>
        <w:tc>
          <w:tcPr>
            <w:tcW w:w="33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26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32,303,208.84</w:t>
            </w:r>
          </w:p>
        </w:tc>
        <w:tc>
          <w:tcPr>
            <w:tcW w:w="26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7"/>
              <w:jc w:val="right"/>
              <w:rPr>
                <w:rFonts w:ascii="Arial" w:hAnsi="Arial" w:cs="Arial" w:eastAsia="Arial" w:hint="default"/>
                <w:sz w:val="18"/>
                <w:szCs w:val="18"/>
              </w:rPr>
            </w:pPr>
            <w:r>
              <w:rPr>
                <w:rFonts w:ascii="Arial"/>
                <w:spacing w:val="-1"/>
                <w:sz w:val="18"/>
              </w:rPr>
              <w:t>33,152,038.14</w:t>
            </w:r>
          </w:p>
        </w:tc>
      </w:tr>
      <w:tr>
        <w:trPr>
          <w:trHeight w:val="485" w:hRule="exact"/>
        </w:trPr>
        <w:tc>
          <w:tcPr>
            <w:tcW w:w="33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1,298,446,484.21</w:t>
            </w:r>
          </w:p>
        </w:tc>
        <w:tc>
          <w:tcPr>
            <w:tcW w:w="26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1,002,304,128.47</w:t>
            </w:r>
          </w:p>
        </w:tc>
      </w:tr>
      <w:tr>
        <w:trPr>
          <w:trHeight w:val="497" w:hRule="exact"/>
        </w:trPr>
        <w:tc>
          <w:tcPr>
            <w:tcW w:w="339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2674" w:type="dxa"/>
            <w:tcBorders>
              <w:top w:val="single" w:sz="2" w:space="0" w:color="000000"/>
              <w:left w:val="single" w:sz="2" w:space="0" w:color="000000"/>
              <w:bottom w:val="single" w:sz="12" w:space="0" w:color="000000"/>
              <w:right w:val="single" w:sz="2" w:space="0" w:color="000000"/>
            </w:tcBorders>
          </w:tcPr>
          <w:p>
            <w:pPr/>
          </w:p>
        </w:tc>
        <w:tc>
          <w:tcPr>
            <w:tcW w:w="2674" w:type="dxa"/>
            <w:tcBorders>
              <w:top w:val="single" w:sz="2" w:space="0" w:color="000000"/>
              <w:left w:val="single" w:sz="2" w:space="0" w:color="000000"/>
              <w:bottom w:val="single" w:sz="12" w:space="0" w:color="000000"/>
              <w:right w:val="nil" w:sz="6" w:space="0" w:color="auto"/>
            </w:tcBorders>
          </w:tcPr>
          <w:p>
            <w:pPr/>
          </w:p>
        </w:tc>
      </w:tr>
    </w:tbl>
    <w:p>
      <w:pPr>
        <w:pStyle w:val="BodyText"/>
        <w:spacing w:line="316" w:lineRule="auto" w:before="62"/>
        <w:ind w:right="1119" w:firstLine="439"/>
        <w:jc w:val="left"/>
      </w:pPr>
      <w:r>
        <w:rPr/>
        <w:t>注：年末其他货币资金</w:t>
      </w:r>
      <w:r>
        <w:rPr>
          <w:spacing w:val="-65"/>
        </w:rPr>
        <w:t> </w:t>
      </w:r>
      <w:r>
        <w:rPr>
          <w:rFonts w:ascii="Arial" w:hAnsi="Arial" w:cs="Arial" w:eastAsia="Arial" w:hint="default"/>
        </w:rPr>
        <w:t>32,303,208.84</w:t>
      </w:r>
      <w:r>
        <w:rPr>
          <w:rFonts w:ascii="Arial" w:hAnsi="Arial" w:cs="Arial" w:eastAsia="Arial" w:hint="default"/>
          <w:spacing w:val="-17"/>
        </w:rPr>
        <w:t> </w:t>
      </w:r>
      <w:r>
        <w:rPr/>
        <w:t>元，因支付银行保函保证金以及银行承兑汇票保证金而受</w:t>
      </w:r>
      <w:r>
        <w:rPr>
          <w:w w:val="100"/>
        </w:rPr>
        <w:t> </w:t>
      </w:r>
      <w:r>
        <w:rPr/>
        <w:t>限。</w:t>
      </w:r>
    </w:p>
    <w:p>
      <w:pPr>
        <w:pStyle w:val="Heading4"/>
        <w:spacing w:line="240" w:lineRule="auto" w:before="43"/>
        <w:ind w:right="1133"/>
        <w:jc w:val="left"/>
        <w:rPr>
          <w:b w:val="0"/>
          <w:bCs w:val="0"/>
        </w:rPr>
      </w:pPr>
      <w:r>
        <w:rPr>
          <w:rFonts w:ascii="Arial" w:hAnsi="Arial" w:cs="Arial" w:eastAsia="Arial" w:hint="default"/>
        </w:rPr>
        <w:t>2</w:t>
      </w:r>
      <w:r>
        <w:rPr/>
        <w:t>、</w:t>
      </w:r>
      <w:r>
        <w:rPr>
          <w:spacing w:val="-57"/>
        </w:rPr>
        <w:t> </w:t>
      </w:r>
      <w:r>
        <w:rPr/>
        <w:t>应收票据</w:t>
      </w:r>
      <w:r>
        <w:rPr>
          <w:b w:val="0"/>
          <w:bCs w:val="0"/>
        </w:rPr>
      </w:r>
    </w:p>
    <w:p>
      <w:pPr>
        <w:pStyle w:val="BodyText"/>
        <w:spacing w:line="240" w:lineRule="auto" w:before="95"/>
        <w:ind w:left="592" w:right="1133"/>
        <w:jc w:val="left"/>
      </w:pPr>
      <w:r>
        <w:rPr/>
        <w:t>（</w:t>
      </w:r>
      <w:r>
        <w:rPr>
          <w:rFonts w:ascii="Arial" w:hAnsi="Arial" w:cs="Arial" w:eastAsia="Arial" w:hint="default"/>
        </w:rPr>
        <w:t>1</w:t>
      </w:r>
      <w:r>
        <w:rPr/>
        <w:t>）应收票据分类列示</w:t>
      </w:r>
    </w:p>
    <w:p>
      <w:pPr>
        <w:spacing w:line="240" w:lineRule="auto" w:before="9"/>
        <w:rPr>
          <w:rFonts w:ascii="宋体" w:hAnsi="宋体" w:cs="宋体" w:eastAsia="宋体" w:hint="default"/>
          <w:sz w:val="2"/>
          <w:szCs w:val="2"/>
        </w:rPr>
      </w:pPr>
    </w:p>
    <w:tbl>
      <w:tblPr>
        <w:tblW w:w="0" w:type="auto"/>
        <w:jc w:val="left"/>
        <w:tblInd w:w="580" w:type="dxa"/>
        <w:tblLayout w:type="fixed"/>
        <w:tblCellMar>
          <w:top w:w="0" w:type="dxa"/>
          <w:left w:w="0" w:type="dxa"/>
          <w:bottom w:w="0" w:type="dxa"/>
          <w:right w:w="0" w:type="dxa"/>
        </w:tblCellMar>
        <w:tblLook w:val="01E0"/>
      </w:tblPr>
      <w:tblGrid>
        <w:gridCol w:w="3382"/>
        <w:gridCol w:w="2688"/>
        <w:gridCol w:w="2669"/>
      </w:tblGrid>
      <w:tr>
        <w:trPr>
          <w:trHeight w:val="499" w:hRule="exact"/>
        </w:trPr>
        <w:tc>
          <w:tcPr>
            <w:tcW w:w="338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2"/>
              <w:ind w:right="1498"/>
              <w:jc w:val="right"/>
              <w:rPr>
                <w:rFonts w:ascii="宋体" w:hAnsi="宋体" w:cs="宋体" w:eastAsia="宋体" w:hint="default"/>
                <w:sz w:val="18"/>
                <w:szCs w:val="18"/>
              </w:rPr>
            </w:pPr>
            <w:r>
              <w:rPr>
                <w:rFonts w:ascii="宋体" w:hAnsi="宋体" w:cs="宋体" w:eastAsia="宋体" w:hint="default"/>
                <w:sz w:val="18"/>
                <w:szCs w:val="18"/>
              </w:rPr>
              <w:t>项目</w:t>
            </w:r>
          </w:p>
        </w:tc>
        <w:tc>
          <w:tcPr>
            <w:tcW w:w="268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66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85" w:hRule="exact"/>
        </w:trPr>
        <w:tc>
          <w:tcPr>
            <w:tcW w:w="33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6,530,103.30</w:t>
            </w:r>
          </w:p>
        </w:tc>
        <w:tc>
          <w:tcPr>
            <w:tcW w:w="26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7"/>
              <w:jc w:val="right"/>
              <w:rPr>
                <w:rFonts w:ascii="Arial" w:hAnsi="Arial" w:cs="Arial" w:eastAsia="Arial" w:hint="default"/>
                <w:sz w:val="18"/>
                <w:szCs w:val="18"/>
              </w:rPr>
            </w:pPr>
            <w:r>
              <w:rPr>
                <w:rFonts w:ascii="Arial"/>
                <w:spacing w:val="-1"/>
                <w:sz w:val="18"/>
              </w:rPr>
              <w:t>4,443,499.31</w:t>
            </w:r>
          </w:p>
        </w:tc>
      </w:tr>
      <w:tr>
        <w:trPr>
          <w:trHeight w:val="485" w:hRule="exact"/>
        </w:trPr>
        <w:tc>
          <w:tcPr>
            <w:tcW w:w="33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688" w:type="dxa"/>
            <w:tcBorders>
              <w:top w:val="single" w:sz="2" w:space="0" w:color="000000"/>
              <w:left w:val="single" w:sz="2" w:space="0" w:color="000000"/>
              <w:bottom w:val="single" w:sz="2" w:space="0" w:color="000000"/>
              <w:right w:val="single" w:sz="2" w:space="0" w:color="000000"/>
            </w:tcBorders>
          </w:tcPr>
          <w:p>
            <w:pPr/>
          </w:p>
        </w:tc>
        <w:tc>
          <w:tcPr>
            <w:tcW w:w="26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7"/>
              <w:jc w:val="right"/>
              <w:rPr>
                <w:rFonts w:ascii="Arial" w:hAnsi="Arial" w:cs="Arial" w:eastAsia="Arial" w:hint="default"/>
                <w:sz w:val="18"/>
                <w:szCs w:val="18"/>
              </w:rPr>
            </w:pPr>
            <w:r>
              <w:rPr>
                <w:rFonts w:ascii="Arial"/>
                <w:spacing w:val="-1"/>
                <w:sz w:val="18"/>
              </w:rPr>
              <w:t>8,690,622.00</w:t>
            </w:r>
          </w:p>
        </w:tc>
      </w:tr>
      <w:tr>
        <w:trPr>
          <w:trHeight w:val="497" w:hRule="exact"/>
        </w:trPr>
        <w:tc>
          <w:tcPr>
            <w:tcW w:w="338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right="1498"/>
              <w:jc w:val="right"/>
              <w:rPr>
                <w:rFonts w:ascii="宋体" w:hAnsi="宋体" w:cs="宋体" w:eastAsia="宋体" w:hint="default"/>
                <w:sz w:val="18"/>
                <w:szCs w:val="18"/>
              </w:rPr>
            </w:pPr>
            <w:r>
              <w:rPr>
                <w:rFonts w:ascii="宋体" w:hAnsi="宋体" w:cs="宋体" w:eastAsia="宋体" w:hint="default"/>
                <w:sz w:val="18"/>
                <w:szCs w:val="18"/>
              </w:rPr>
              <w:t>合计</w:t>
            </w:r>
          </w:p>
        </w:tc>
        <w:tc>
          <w:tcPr>
            <w:tcW w:w="268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6,530,103.30</w:t>
            </w:r>
          </w:p>
        </w:tc>
        <w:tc>
          <w:tcPr>
            <w:tcW w:w="266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13,134,121.31</w:t>
            </w:r>
          </w:p>
        </w:tc>
      </w:tr>
    </w:tbl>
    <w:p>
      <w:pPr>
        <w:pStyle w:val="BodyText"/>
        <w:spacing w:line="240" w:lineRule="auto" w:before="62"/>
        <w:ind w:left="592" w:right="1133"/>
        <w:jc w:val="left"/>
      </w:pPr>
      <w:r>
        <w:rPr/>
        <w:t>（</w:t>
      </w:r>
      <w:r>
        <w:rPr>
          <w:rFonts w:ascii="Arial" w:hAnsi="Arial" w:cs="Arial" w:eastAsia="Arial" w:hint="default"/>
        </w:rPr>
        <w:t>2</w:t>
      </w:r>
      <w:r>
        <w:rPr/>
        <w:t>）年末已经背书或贴现且在资产负债表日尚未到期的应收票据</w:t>
      </w:r>
    </w:p>
    <w:p>
      <w:pPr>
        <w:spacing w:line="240" w:lineRule="auto" w:before="9"/>
        <w:rPr>
          <w:rFonts w:ascii="宋体" w:hAnsi="宋体" w:cs="宋体" w:eastAsia="宋体" w:hint="default"/>
          <w:sz w:val="2"/>
          <w:szCs w:val="2"/>
        </w:rPr>
      </w:pPr>
    </w:p>
    <w:tbl>
      <w:tblPr>
        <w:tblW w:w="0" w:type="auto"/>
        <w:jc w:val="left"/>
        <w:tblInd w:w="580" w:type="dxa"/>
        <w:tblLayout w:type="fixed"/>
        <w:tblCellMar>
          <w:top w:w="0" w:type="dxa"/>
          <w:left w:w="0" w:type="dxa"/>
          <w:bottom w:w="0" w:type="dxa"/>
          <w:right w:w="0" w:type="dxa"/>
        </w:tblCellMar>
        <w:tblLook w:val="01E0"/>
      </w:tblPr>
      <w:tblGrid>
        <w:gridCol w:w="3370"/>
        <w:gridCol w:w="2712"/>
        <w:gridCol w:w="2657"/>
      </w:tblGrid>
      <w:tr>
        <w:trPr>
          <w:trHeight w:val="497" w:hRule="exact"/>
        </w:trPr>
        <w:tc>
          <w:tcPr>
            <w:tcW w:w="337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0"/>
              <w:ind w:right="1493"/>
              <w:jc w:val="right"/>
              <w:rPr>
                <w:rFonts w:ascii="宋体" w:hAnsi="宋体" w:cs="宋体" w:eastAsia="宋体" w:hint="default"/>
                <w:sz w:val="18"/>
                <w:szCs w:val="18"/>
              </w:rPr>
            </w:pPr>
            <w:r>
              <w:rPr>
                <w:rFonts w:ascii="宋体" w:hAnsi="宋体" w:cs="宋体" w:eastAsia="宋体" w:hint="default"/>
                <w:sz w:val="18"/>
                <w:szCs w:val="18"/>
              </w:rPr>
              <w:t>项目</w:t>
            </w:r>
          </w:p>
        </w:tc>
        <w:tc>
          <w:tcPr>
            <w:tcW w:w="271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0"/>
              <w:ind w:left="633" w:right="0"/>
              <w:jc w:val="left"/>
              <w:rPr>
                <w:rFonts w:ascii="宋体" w:hAnsi="宋体" w:cs="宋体" w:eastAsia="宋体" w:hint="default"/>
                <w:sz w:val="18"/>
                <w:szCs w:val="18"/>
              </w:rPr>
            </w:pPr>
            <w:r>
              <w:rPr>
                <w:rFonts w:ascii="宋体" w:hAnsi="宋体" w:cs="宋体" w:eastAsia="宋体" w:hint="default"/>
                <w:sz w:val="18"/>
                <w:szCs w:val="18"/>
              </w:rPr>
              <w:t>年末终止确认金额</w:t>
            </w:r>
          </w:p>
        </w:tc>
        <w:tc>
          <w:tcPr>
            <w:tcW w:w="265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0"/>
              <w:ind w:left="516" w:right="0"/>
              <w:jc w:val="left"/>
              <w:rPr>
                <w:rFonts w:ascii="宋体" w:hAnsi="宋体" w:cs="宋体" w:eastAsia="宋体" w:hint="default"/>
                <w:sz w:val="18"/>
                <w:szCs w:val="18"/>
              </w:rPr>
            </w:pPr>
            <w:r>
              <w:rPr>
                <w:rFonts w:ascii="宋体" w:hAnsi="宋体" w:cs="宋体" w:eastAsia="宋体" w:hint="default"/>
                <w:sz w:val="18"/>
                <w:szCs w:val="18"/>
              </w:rPr>
              <w:t>年末未终止确认金额</w:t>
            </w:r>
          </w:p>
        </w:tc>
      </w:tr>
      <w:tr>
        <w:trPr>
          <w:trHeight w:val="487" w:hRule="exact"/>
        </w:trPr>
        <w:tc>
          <w:tcPr>
            <w:tcW w:w="33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2"/>
              <w:ind w:left="1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7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1,550,000.00</w:t>
            </w:r>
          </w:p>
        </w:tc>
        <w:tc>
          <w:tcPr>
            <w:tcW w:w="2657" w:type="dxa"/>
            <w:tcBorders>
              <w:top w:val="single" w:sz="2" w:space="0" w:color="000000"/>
              <w:left w:val="single" w:sz="2" w:space="0" w:color="000000"/>
              <w:bottom w:val="single" w:sz="2" w:space="0" w:color="000000"/>
              <w:right w:val="nil" w:sz="6" w:space="0" w:color="auto"/>
            </w:tcBorders>
          </w:tcPr>
          <w:p>
            <w:pPr/>
          </w:p>
        </w:tc>
      </w:tr>
      <w:tr>
        <w:trPr>
          <w:trHeight w:val="497" w:hRule="exact"/>
        </w:trPr>
        <w:tc>
          <w:tcPr>
            <w:tcW w:w="337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right="1493"/>
              <w:jc w:val="right"/>
              <w:rPr>
                <w:rFonts w:ascii="宋体" w:hAnsi="宋体" w:cs="宋体" w:eastAsia="宋体" w:hint="default"/>
                <w:sz w:val="18"/>
                <w:szCs w:val="18"/>
              </w:rPr>
            </w:pPr>
            <w:r>
              <w:rPr>
                <w:rFonts w:ascii="宋体" w:hAnsi="宋体" w:cs="宋体" w:eastAsia="宋体" w:hint="default"/>
                <w:sz w:val="18"/>
                <w:szCs w:val="18"/>
              </w:rPr>
              <w:t>合计</w:t>
            </w:r>
          </w:p>
        </w:tc>
        <w:tc>
          <w:tcPr>
            <w:tcW w:w="271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1,550,000.00</w:t>
            </w:r>
          </w:p>
        </w:tc>
        <w:tc>
          <w:tcPr>
            <w:tcW w:w="2657" w:type="dxa"/>
            <w:tcBorders>
              <w:top w:val="single" w:sz="2" w:space="0" w:color="000000"/>
              <w:left w:val="single" w:sz="2" w:space="0" w:color="000000"/>
              <w:bottom w:val="single" w:sz="12" w:space="0" w:color="000000"/>
              <w:right w:val="nil" w:sz="6" w:space="0" w:color="auto"/>
            </w:tcBorders>
          </w:tcPr>
          <w:p>
            <w:pPr/>
          </w:p>
        </w:tc>
      </w:tr>
    </w:tbl>
    <w:p>
      <w:pPr>
        <w:pStyle w:val="BodyText"/>
        <w:spacing w:line="240" w:lineRule="auto" w:before="62"/>
        <w:ind w:left="592" w:right="1133"/>
        <w:jc w:val="left"/>
      </w:pPr>
      <w:r>
        <w:rPr/>
        <w:t>（</w:t>
      </w:r>
      <w:r>
        <w:rPr>
          <w:rFonts w:ascii="Arial" w:hAnsi="Arial" w:cs="Arial" w:eastAsia="Arial" w:hint="default"/>
        </w:rPr>
        <w:t>3</w:t>
      </w:r>
      <w:r>
        <w:rPr/>
        <w:t>）按坏账计提方法分类列示</w:t>
      </w:r>
    </w:p>
    <w:p>
      <w:pPr>
        <w:spacing w:line="240" w:lineRule="auto" w:before="9"/>
        <w:rPr>
          <w:rFonts w:ascii="宋体" w:hAnsi="宋体" w:cs="宋体" w:eastAsia="宋体" w:hint="default"/>
          <w:sz w:val="2"/>
          <w:szCs w:val="2"/>
        </w:rPr>
      </w:pPr>
    </w:p>
    <w:tbl>
      <w:tblPr>
        <w:tblW w:w="0" w:type="auto"/>
        <w:jc w:val="left"/>
        <w:tblInd w:w="580" w:type="dxa"/>
        <w:tblLayout w:type="fixed"/>
        <w:tblCellMar>
          <w:top w:w="0" w:type="dxa"/>
          <w:left w:w="0" w:type="dxa"/>
          <w:bottom w:w="0" w:type="dxa"/>
          <w:right w:w="0" w:type="dxa"/>
        </w:tblCellMar>
        <w:tblLook w:val="01E0"/>
      </w:tblPr>
      <w:tblGrid>
        <w:gridCol w:w="2535"/>
        <w:gridCol w:w="1416"/>
        <w:gridCol w:w="1136"/>
        <w:gridCol w:w="708"/>
        <w:gridCol w:w="1416"/>
        <w:gridCol w:w="1529"/>
      </w:tblGrid>
      <w:tr>
        <w:trPr>
          <w:trHeight w:val="497" w:hRule="exact"/>
        </w:trPr>
        <w:tc>
          <w:tcPr>
            <w:tcW w:w="2535"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205" w:type="dxa"/>
            <w:gridSpan w:val="5"/>
            <w:tcBorders>
              <w:top w:val="single" w:sz="12" w:space="0" w:color="000000"/>
              <w:left w:val="single" w:sz="2" w:space="0" w:color="000000"/>
              <w:bottom w:val="single" w:sz="2" w:space="0" w:color="000000"/>
              <w:right w:val="nil" w:sz="6" w:space="0" w:color="auto"/>
            </w:tcBorders>
          </w:tcPr>
          <w:p>
            <w:pPr>
              <w:pStyle w:val="TableParagraph"/>
              <w:spacing w:line="240" w:lineRule="auto" w:before="149"/>
              <w:ind w:right="3"/>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485" w:hRule="exact"/>
        </w:trPr>
        <w:tc>
          <w:tcPr>
            <w:tcW w:w="2535" w:type="dxa"/>
            <w:vMerge/>
            <w:tcBorders>
              <w:left w:val="nil" w:sz="6" w:space="0" w:color="auto"/>
              <w:right w:val="single" w:sz="2" w:space="0" w:color="000000"/>
            </w:tcBorders>
          </w:tcPr>
          <w:p>
            <w:pPr/>
          </w:p>
        </w:tc>
        <w:tc>
          <w:tcPr>
            <w:tcW w:w="255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24"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29" w:type="dxa"/>
            <w:vMerge w:val="restart"/>
            <w:tcBorders>
              <w:top w:val="single" w:sz="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40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85" w:hRule="exact"/>
        </w:trPr>
        <w:tc>
          <w:tcPr>
            <w:tcW w:w="2535" w:type="dxa"/>
            <w:vMerge/>
            <w:tcBorders>
              <w:left w:val="nil" w:sz="6" w:space="0" w:color="auto"/>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244" w:right="0"/>
              <w:jc w:val="left"/>
              <w:rPr>
                <w:rFonts w:ascii="Arial" w:hAnsi="Arial" w:cs="Arial" w:eastAsia="Arial"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17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203" w:right="0"/>
              <w:jc w:val="left"/>
              <w:rPr>
                <w:rFonts w:ascii="Arial" w:hAnsi="Arial" w:cs="Arial" w:eastAsia="Arial" w:hint="default"/>
                <w:sz w:val="18"/>
                <w:szCs w:val="18"/>
              </w:rPr>
            </w:pPr>
            <w:r>
              <w:rPr>
                <w:rFonts w:ascii="宋体" w:hAnsi="宋体" w:cs="宋体" w:eastAsia="宋体" w:hint="default"/>
                <w:sz w:val="18"/>
                <w:szCs w:val="18"/>
              </w:rPr>
              <w:t>计提比例</w:t>
            </w:r>
            <w:r>
              <w:rPr>
                <w:rFonts w:ascii="Arial" w:hAnsi="Arial" w:cs="Arial" w:eastAsia="Arial" w:hint="default"/>
                <w:sz w:val="18"/>
                <w:szCs w:val="18"/>
              </w:rPr>
              <w:t>(%)</w:t>
            </w:r>
          </w:p>
        </w:tc>
        <w:tc>
          <w:tcPr>
            <w:tcW w:w="1529" w:type="dxa"/>
            <w:vMerge/>
            <w:tcBorders>
              <w:left w:val="single" w:sz="2" w:space="0" w:color="000000"/>
              <w:bottom w:val="single" w:sz="2" w:space="0" w:color="000000"/>
              <w:right w:val="nil" w:sz="6" w:space="0" w:color="auto"/>
            </w:tcBorders>
          </w:tcPr>
          <w:p>
            <w:pPr/>
          </w:p>
        </w:tc>
      </w:tr>
      <w:tr>
        <w:trPr>
          <w:trHeight w:val="488" w:hRule="exact"/>
        </w:trPr>
        <w:tc>
          <w:tcPr>
            <w:tcW w:w="2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2"/>
              <w:ind w:left="124"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6,530,103.30</w:t>
            </w:r>
          </w:p>
        </w:tc>
        <w:tc>
          <w:tcPr>
            <w:tcW w:w="11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100</w:t>
            </w:r>
            <w:r>
              <w:rPr>
                <w:rFonts w:ascii="Times New Roman"/>
                <w:spacing w:val="-1"/>
                <w:sz w:val="18"/>
              </w:rPr>
              <w:t>.</w:t>
            </w:r>
            <w:r>
              <w:rPr>
                <w:rFonts w:ascii="Arial"/>
                <w:spacing w:val="-1"/>
                <w:sz w:val="18"/>
              </w:rPr>
              <w:t>00</w:t>
            </w:r>
          </w:p>
        </w:tc>
        <w:tc>
          <w:tcPr>
            <w:tcW w:w="708"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
        </w:tc>
        <w:tc>
          <w:tcPr>
            <w:tcW w:w="15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6,530,103.30</w:t>
            </w:r>
          </w:p>
        </w:tc>
      </w:tr>
      <w:tr>
        <w:trPr>
          <w:trHeight w:val="485" w:hRule="exact"/>
        </w:trPr>
        <w:tc>
          <w:tcPr>
            <w:tcW w:w="2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其中：银行承兑汇票组合</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6,530,103.30</w:t>
            </w:r>
          </w:p>
        </w:tc>
        <w:tc>
          <w:tcPr>
            <w:tcW w:w="11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100</w:t>
            </w:r>
            <w:r>
              <w:rPr>
                <w:rFonts w:ascii="Times New Roman"/>
                <w:spacing w:val="-1"/>
                <w:sz w:val="18"/>
              </w:rPr>
              <w:t>.</w:t>
            </w:r>
            <w:r>
              <w:rPr>
                <w:rFonts w:ascii="Arial"/>
                <w:spacing w:val="-1"/>
                <w:sz w:val="18"/>
              </w:rPr>
              <w:t>00</w:t>
            </w:r>
          </w:p>
        </w:tc>
        <w:tc>
          <w:tcPr>
            <w:tcW w:w="708"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
        </w:tc>
        <w:tc>
          <w:tcPr>
            <w:tcW w:w="15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6,530,103.30</w:t>
            </w:r>
          </w:p>
        </w:tc>
      </w:tr>
      <w:tr>
        <w:trPr>
          <w:trHeight w:val="485" w:hRule="exact"/>
        </w:trPr>
        <w:tc>
          <w:tcPr>
            <w:tcW w:w="2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商业承兑汇票组合</w:t>
            </w:r>
          </w:p>
        </w:tc>
        <w:tc>
          <w:tcPr>
            <w:tcW w:w="1416"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
        </w:tc>
        <w:tc>
          <w:tcPr>
            <w:tcW w:w="1529" w:type="dxa"/>
            <w:tcBorders>
              <w:top w:val="single" w:sz="2" w:space="0" w:color="000000"/>
              <w:left w:val="single" w:sz="2" w:space="0" w:color="000000"/>
              <w:bottom w:val="single" w:sz="2" w:space="0" w:color="000000"/>
              <w:right w:val="nil" w:sz="6" w:space="0" w:color="auto"/>
            </w:tcBorders>
          </w:tcPr>
          <w:p>
            <w:pPr/>
          </w:p>
        </w:tc>
      </w:tr>
      <w:tr>
        <w:trPr>
          <w:trHeight w:val="497" w:hRule="exact"/>
        </w:trPr>
        <w:tc>
          <w:tcPr>
            <w:tcW w:w="253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6,530,103.30</w:t>
            </w:r>
          </w:p>
        </w:tc>
        <w:tc>
          <w:tcPr>
            <w:tcW w:w="113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100</w:t>
            </w:r>
            <w:r>
              <w:rPr>
                <w:rFonts w:ascii="Times New Roman"/>
                <w:spacing w:val="-1"/>
                <w:sz w:val="18"/>
              </w:rPr>
              <w:t>.</w:t>
            </w:r>
            <w:r>
              <w:rPr>
                <w:rFonts w:ascii="Arial"/>
                <w:spacing w:val="-1"/>
                <w:sz w:val="18"/>
              </w:rPr>
              <w:t>00</w:t>
            </w:r>
          </w:p>
        </w:tc>
        <w:tc>
          <w:tcPr>
            <w:tcW w:w="708" w:type="dxa"/>
            <w:tcBorders>
              <w:top w:val="single" w:sz="2" w:space="0" w:color="000000"/>
              <w:left w:val="single" w:sz="2" w:space="0" w:color="000000"/>
              <w:bottom w:val="single" w:sz="12" w:space="0" w:color="000000"/>
              <w:right w:val="single" w:sz="2" w:space="0" w:color="000000"/>
            </w:tcBorders>
          </w:tcPr>
          <w:p>
            <w:pPr/>
          </w:p>
        </w:tc>
        <w:tc>
          <w:tcPr>
            <w:tcW w:w="1416" w:type="dxa"/>
            <w:tcBorders>
              <w:top w:val="single" w:sz="2" w:space="0" w:color="000000"/>
              <w:left w:val="single" w:sz="2" w:space="0" w:color="000000"/>
              <w:bottom w:val="single" w:sz="12" w:space="0" w:color="000000"/>
              <w:right w:val="single" w:sz="2" w:space="0" w:color="000000"/>
            </w:tcBorders>
          </w:tcPr>
          <w:p>
            <w:pPr/>
          </w:p>
        </w:tc>
        <w:tc>
          <w:tcPr>
            <w:tcW w:w="152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6,530,103.30</w:t>
            </w:r>
          </w:p>
        </w:tc>
      </w:tr>
    </w:tbl>
    <w:p>
      <w:pPr>
        <w:spacing w:line="240" w:lineRule="auto" w:before="5"/>
        <w:rPr>
          <w:rFonts w:ascii="宋体" w:hAnsi="宋体" w:cs="宋体" w:eastAsia="宋体" w:hint="default"/>
          <w:sz w:val="5"/>
          <w:szCs w:val="5"/>
        </w:rPr>
      </w:pPr>
    </w:p>
    <w:p>
      <w:pPr>
        <w:pStyle w:val="BodyText"/>
        <w:spacing w:line="240" w:lineRule="auto" w:before="32"/>
        <w:ind w:left="592" w:right="1133"/>
        <w:jc w:val="left"/>
      </w:pPr>
      <w:r>
        <w:rPr/>
        <w:t>（续）</w:t>
      </w:r>
    </w:p>
    <w:p>
      <w:pPr>
        <w:spacing w:line="240" w:lineRule="auto" w:before="11"/>
        <w:rPr>
          <w:rFonts w:ascii="宋体" w:hAnsi="宋体" w:cs="宋体" w:eastAsia="宋体" w:hint="default"/>
          <w:sz w:val="6"/>
          <w:szCs w:val="6"/>
        </w:rPr>
      </w:pPr>
    </w:p>
    <w:tbl>
      <w:tblPr>
        <w:tblW w:w="0" w:type="auto"/>
        <w:jc w:val="left"/>
        <w:tblInd w:w="609" w:type="dxa"/>
        <w:tblLayout w:type="fixed"/>
        <w:tblCellMar>
          <w:top w:w="0" w:type="dxa"/>
          <w:left w:w="0" w:type="dxa"/>
          <w:bottom w:w="0" w:type="dxa"/>
          <w:right w:w="0" w:type="dxa"/>
        </w:tblCellMar>
        <w:tblLook w:val="01E0"/>
      </w:tblPr>
      <w:tblGrid>
        <w:gridCol w:w="2518"/>
        <w:gridCol w:w="1560"/>
        <w:gridCol w:w="994"/>
        <w:gridCol w:w="708"/>
        <w:gridCol w:w="1418"/>
        <w:gridCol w:w="1527"/>
      </w:tblGrid>
      <w:tr>
        <w:trPr>
          <w:trHeight w:val="499" w:hRule="exact"/>
        </w:trPr>
        <w:tc>
          <w:tcPr>
            <w:tcW w:w="2518"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207" w:type="dxa"/>
            <w:gridSpan w:val="5"/>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left="2"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85" w:hRule="exact"/>
        </w:trPr>
        <w:tc>
          <w:tcPr>
            <w:tcW w:w="2518" w:type="dxa"/>
            <w:vMerge/>
            <w:tcBorders>
              <w:left w:val="nil" w:sz="6" w:space="0" w:color="auto"/>
              <w:right w:val="single" w:sz="2" w:space="0" w:color="000000"/>
            </w:tcBorders>
          </w:tcPr>
          <w:p>
            <w:pPr/>
          </w:p>
        </w:tc>
        <w:tc>
          <w:tcPr>
            <w:tcW w:w="2554"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26"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left="70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27" w:type="dxa"/>
            <w:vMerge w:val="restart"/>
            <w:tcBorders>
              <w:top w:val="single" w:sz="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40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97" w:hRule="exact"/>
        </w:trPr>
        <w:tc>
          <w:tcPr>
            <w:tcW w:w="2518" w:type="dxa"/>
            <w:vMerge/>
            <w:tcBorders>
              <w:left w:val="nil" w:sz="6" w:space="0" w:color="auto"/>
              <w:bottom w:val="single" w:sz="12" w:space="0" w:color="000000"/>
              <w:right w:val="single" w:sz="2" w:space="0" w:color="000000"/>
            </w:tcBorders>
          </w:tcPr>
          <w:p>
            <w:pP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9"/>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9"/>
              <w:ind w:left="175" w:right="0"/>
              <w:jc w:val="left"/>
              <w:rPr>
                <w:rFonts w:ascii="Arial" w:hAnsi="Arial" w:cs="Arial" w:eastAsia="Arial"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p>
        </w:tc>
        <w:tc>
          <w:tcPr>
            <w:tcW w:w="7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9"/>
              <w:ind w:left="17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9"/>
              <w:ind w:left="206" w:right="0"/>
              <w:jc w:val="left"/>
              <w:rPr>
                <w:rFonts w:ascii="Arial" w:hAnsi="Arial" w:cs="Arial" w:eastAsia="Arial" w:hint="default"/>
                <w:sz w:val="18"/>
                <w:szCs w:val="18"/>
              </w:rPr>
            </w:pPr>
            <w:r>
              <w:rPr>
                <w:rFonts w:ascii="宋体" w:hAnsi="宋体" w:cs="宋体" w:eastAsia="宋体" w:hint="default"/>
                <w:sz w:val="18"/>
                <w:szCs w:val="18"/>
              </w:rPr>
              <w:t>计提比例</w:t>
            </w:r>
            <w:r>
              <w:rPr>
                <w:rFonts w:ascii="Arial" w:hAnsi="Arial" w:cs="Arial" w:eastAsia="Arial" w:hint="default"/>
                <w:sz w:val="18"/>
                <w:szCs w:val="18"/>
              </w:rPr>
              <w:t>(%)</w:t>
            </w:r>
          </w:p>
        </w:tc>
        <w:tc>
          <w:tcPr>
            <w:tcW w:w="1527" w:type="dxa"/>
            <w:vMerge/>
            <w:tcBorders>
              <w:left w:val="single" w:sz="2" w:space="0" w:color="000000"/>
              <w:bottom w:val="single" w:sz="12" w:space="0" w:color="000000"/>
              <w:right w:val="nil" w:sz="6" w:space="0" w:color="auto"/>
            </w:tcBorders>
          </w:tcPr>
          <w:p>
            <w:pPr/>
          </w:p>
        </w:tc>
      </w:tr>
    </w:tbl>
    <w:p>
      <w:pPr>
        <w:spacing w:after="0"/>
        <w:sectPr>
          <w:footerReference w:type="default" r:id="rId18"/>
          <w:pgSz w:w="11910" w:h="16840"/>
          <w:pgMar w:footer="979" w:header="745" w:top="1060" w:bottom="1160" w:left="980" w:right="0"/>
          <w:pgNumType w:start="120"/>
        </w:sectPr>
      </w:pPr>
    </w:p>
    <w:p>
      <w:pPr>
        <w:spacing w:line="240" w:lineRule="auto" w:before="6"/>
        <w:rPr>
          <w:rFonts w:ascii="宋体" w:hAnsi="宋体" w:cs="宋体" w:eastAsia="宋体" w:hint="default"/>
          <w:sz w:val="28"/>
          <w:szCs w:val="28"/>
        </w:rPr>
      </w:pPr>
    </w:p>
    <w:tbl>
      <w:tblPr>
        <w:tblW w:w="0" w:type="auto"/>
        <w:jc w:val="left"/>
        <w:tblInd w:w="580" w:type="dxa"/>
        <w:tblLayout w:type="fixed"/>
        <w:tblCellMar>
          <w:top w:w="0" w:type="dxa"/>
          <w:left w:w="0" w:type="dxa"/>
          <w:bottom w:w="0" w:type="dxa"/>
          <w:right w:w="0" w:type="dxa"/>
        </w:tblCellMar>
        <w:tblLook w:val="01E0"/>
      </w:tblPr>
      <w:tblGrid>
        <w:gridCol w:w="2533"/>
        <w:gridCol w:w="1560"/>
        <w:gridCol w:w="994"/>
        <w:gridCol w:w="708"/>
        <w:gridCol w:w="1418"/>
        <w:gridCol w:w="1527"/>
      </w:tblGrid>
      <w:tr>
        <w:trPr>
          <w:trHeight w:val="500" w:hRule="exact"/>
        </w:trPr>
        <w:tc>
          <w:tcPr>
            <w:tcW w:w="2533"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207" w:type="dxa"/>
            <w:gridSpan w:val="5"/>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left="2"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85" w:hRule="exact"/>
        </w:trPr>
        <w:tc>
          <w:tcPr>
            <w:tcW w:w="2533" w:type="dxa"/>
            <w:vMerge/>
            <w:tcBorders>
              <w:left w:val="nil" w:sz="6" w:space="0" w:color="auto"/>
              <w:right w:val="single" w:sz="2" w:space="0" w:color="000000"/>
            </w:tcBorders>
          </w:tcPr>
          <w:p>
            <w:pPr/>
          </w:p>
        </w:tc>
        <w:tc>
          <w:tcPr>
            <w:tcW w:w="2554"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26"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70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27" w:type="dxa"/>
            <w:vMerge w:val="restart"/>
            <w:tcBorders>
              <w:top w:val="single" w:sz="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40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85" w:hRule="exact"/>
        </w:trPr>
        <w:tc>
          <w:tcPr>
            <w:tcW w:w="2533" w:type="dxa"/>
            <w:vMerge/>
            <w:tcBorders>
              <w:left w:val="nil" w:sz="6" w:space="0" w:color="auto"/>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71"/>
              <w:jc w:val="right"/>
              <w:rPr>
                <w:rFonts w:ascii="Arial" w:hAnsi="Arial" w:cs="Arial" w:eastAsia="Arial" w:hint="default"/>
                <w:sz w:val="18"/>
                <w:szCs w:val="18"/>
              </w:rPr>
            </w:pPr>
            <w:r>
              <w:rPr>
                <w:rFonts w:ascii="宋体" w:hAnsi="宋体" w:cs="宋体" w:eastAsia="宋体" w:hint="default"/>
                <w:w w:val="95"/>
                <w:sz w:val="18"/>
                <w:szCs w:val="18"/>
              </w:rPr>
              <w:t>比例</w:t>
            </w:r>
            <w:r>
              <w:rPr>
                <w:rFonts w:ascii="Arial" w:hAnsi="Arial" w:cs="Arial" w:eastAsia="Arial" w:hint="default"/>
                <w:w w:val="95"/>
                <w:sz w:val="18"/>
                <w:szCs w:val="18"/>
              </w:rPr>
              <w:t>(%)</w:t>
            </w:r>
            <w:r>
              <w:rPr>
                <w:rFonts w:ascii="Arial" w:hAnsi="Arial" w:cs="Arial" w:eastAsia="Arial" w:hint="default"/>
                <w:sz w:val="18"/>
                <w:szCs w:val="18"/>
              </w:rPr>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17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206" w:right="0"/>
              <w:jc w:val="left"/>
              <w:rPr>
                <w:rFonts w:ascii="Arial" w:hAnsi="Arial" w:cs="Arial" w:eastAsia="Arial" w:hint="default"/>
                <w:sz w:val="18"/>
                <w:szCs w:val="18"/>
              </w:rPr>
            </w:pPr>
            <w:r>
              <w:rPr>
                <w:rFonts w:ascii="宋体" w:hAnsi="宋体" w:cs="宋体" w:eastAsia="宋体" w:hint="default"/>
                <w:sz w:val="18"/>
                <w:szCs w:val="18"/>
              </w:rPr>
              <w:t>计提比例</w:t>
            </w:r>
            <w:r>
              <w:rPr>
                <w:rFonts w:ascii="Arial" w:hAnsi="Arial" w:cs="Arial" w:eastAsia="Arial" w:hint="default"/>
                <w:sz w:val="18"/>
                <w:szCs w:val="18"/>
              </w:rPr>
              <w:t>(%)</w:t>
            </w:r>
          </w:p>
        </w:tc>
        <w:tc>
          <w:tcPr>
            <w:tcW w:w="1527" w:type="dxa"/>
            <w:vMerge/>
            <w:tcBorders>
              <w:left w:val="single" w:sz="2" w:space="0" w:color="000000"/>
              <w:bottom w:val="single" w:sz="2" w:space="0" w:color="000000"/>
              <w:right w:val="nil" w:sz="6" w:space="0" w:color="auto"/>
            </w:tcBorders>
          </w:tcPr>
          <w:p>
            <w:pPr/>
          </w:p>
        </w:tc>
      </w:tr>
      <w:tr>
        <w:trPr>
          <w:trHeight w:val="485" w:hRule="exact"/>
        </w:trPr>
        <w:tc>
          <w:tcPr>
            <w:tcW w:w="2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13,134,121.31</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708"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15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13,134,121.31</w:t>
            </w:r>
          </w:p>
        </w:tc>
      </w:tr>
      <w:tr>
        <w:trPr>
          <w:trHeight w:val="485" w:hRule="exact"/>
        </w:trPr>
        <w:tc>
          <w:tcPr>
            <w:tcW w:w="2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其中：银行承兑汇票组合</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4,443,499.31</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w w:val="95"/>
                <w:sz w:val="18"/>
              </w:rPr>
              <w:t>33.83</w:t>
            </w:r>
            <w:r>
              <w:rPr>
                <w:rFonts w:ascii="Arial"/>
                <w:sz w:val="18"/>
              </w:rPr>
            </w:r>
          </w:p>
        </w:tc>
        <w:tc>
          <w:tcPr>
            <w:tcW w:w="708"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15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7"/>
              <w:jc w:val="right"/>
              <w:rPr>
                <w:rFonts w:ascii="Arial" w:hAnsi="Arial" w:cs="Arial" w:eastAsia="Arial" w:hint="default"/>
                <w:sz w:val="18"/>
                <w:szCs w:val="18"/>
              </w:rPr>
            </w:pPr>
            <w:r>
              <w:rPr>
                <w:rFonts w:ascii="Arial"/>
                <w:spacing w:val="-1"/>
                <w:sz w:val="18"/>
              </w:rPr>
              <w:t>4,443,499.31</w:t>
            </w:r>
          </w:p>
        </w:tc>
      </w:tr>
      <w:tr>
        <w:trPr>
          <w:trHeight w:val="485" w:hRule="exact"/>
        </w:trPr>
        <w:tc>
          <w:tcPr>
            <w:tcW w:w="2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664" w:right="0"/>
              <w:jc w:val="left"/>
              <w:rPr>
                <w:rFonts w:ascii="宋体" w:hAnsi="宋体" w:cs="宋体" w:eastAsia="宋体" w:hint="default"/>
                <w:sz w:val="18"/>
                <w:szCs w:val="18"/>
              </w:rPr>
            </w:pPr>
            <w:r>
              <w:rPr>
                <w:rFonts w:ascii="宋体" w:hAnsi="宋体" w:cs="宋体" w:eastAsia="宋体" w:hint="default"/>
                <w:sz w:val="18"/>
                <w:szCs w:val="18"/>
              </w:rPr>
              <w:t>商业承兑汇票组合</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8,690,622.00</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w w:val="95"/>
                <w:sz w:val="18"/>
              </w:rPr>
              <w:t>66.17</w:t>
            </w:r>
            <w:r>
              <w:rPr>
                <w:rFonts w:ascii="Arial"/>
                <w:sz w:val="18"/>
              </w:rPr>
            </w:r>
          </w:p>
        </w:tc>
        <w:tc>
          <w:tcPr>
            <w:tcW w:w="708"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15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7"/>
              <w:jc w:val="right"/>
              <w:rPr>
                <w:rFonts w:ascii="Arial" w:hAnsi="Arial" w:cs="Arial" w:eastAsia="Arial" w:hint="default"/>
                <w:sz w:val="18"/>
                <w:szCs w:val="18"/>
              </w:rPr>
            </w:pPr>
            <w:r>
              <w:rPr>
                <w:rFonts w:ascii="Arial"/>
                <w:spacing w:val="-1"/>
                <w:sz w:val="18"/>
              </w:rPr>
              <w:t>8,690,622.00</w:t>
            </w:r>
          </w:p>
        </w:tc>
      </w:tr>
      <w:tr>
        <w:trPr>
          <w:trHeight w:val="500" w:hRule="exact"/>
        </w:trPr>
        <w:tc>
          <w:tcPr>
            <w:tcW w:w="253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13,134,121.31</w:t>
            </w:r>
          </w:p>
        </w:tc>
        <w:tc>
          <w:tcPr>
            <w:tcW w:w="9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708" w:type="dxa"/>
            <w:tcBorders>
              <w:top w:val="single" w:sz="2" w:space="0" w:color="000000"/>
              <w:left w:val="single" w:sz="2" w:space="0" w:color="000000"/>
              <w:bottom w:val="single" w:sz="12" w:space="0" w:color="000000"/>
              <w:right w:val="single" w:sz="2" w:space="0" w:color="000000"/>
            </w:tcBorders>
          </w:tcPr>
          <w:p>
            <w:pPr/>
          </w:p>
        </w:tc>
        <w:tc>
          <w:tcPr>
            <w:tcW w:w="1418" w:type="dxa"/>
            <w:tcBorders>
              <w:top w:val="single" w:sz="2" w:space="0" w:color="000000"/>
              <w:left w:val="single" w:sz="2" w:space="0" w:color="000000"/>
              <w:bottom w:val="single" w:sz="12" w:space="0" w:color="000000"/>
              <w:right w:val="single" w:sz="2" w:space="0" w:color="000000"/>
            </w:tcBorders>
          </w:tcPr>
          <w:p>
            <w:pPr/>
          </w:p>
        </w:tc>
        <w:tc>
          <w:tcPr>
            <w:tcW w:w="152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13,134,121.31</w:t>
            </w:r>
          </w:p>
        </w:tc>
      </w:tr>
    </w:tbl>
    <w:p>
      <w:pPr>
        <w:spacing w:line="240" w:lineRule="auto" w:before="5"/>
        <w:rPr>
          <w:rFonts w:ascii="宋体" w:hAnsi="宋体" w:cs="宋体" w:eastAsia="宋体" w:hint="default"/>
          <w:sz w:val="5"/>
          <w:szCs w:val="5"/>
        </w:rPr>
      </w:pPr>
    </w:p>
    <w:p>
      <w:pPr>
        <w:pStyle w:val="BodyText"/>
        <w:spacing w:line="240" w:lineRule="auto" w:before="32"/>
        <w:ind w:left="592" w:right="1133"/>
        <w:jc w:val="left"/>
      </w:pPr>
      <w:r>
        <w:rPr/>
        <w:t>按组合计提应收票据坏账准备</w:t>
      </w:r>
    </w:p>
    <w:p>
      <w:pPr>
        <w:spacing w:line="240" w:lineRule="auto" w:before="11"/>
        <w:rPr>
          <w:rFonts w:ascii="宋体" w:hAnsi="宋体" w:cs="宋体" w:eastAsia="宋体" w:hint="default"/>
          <w:sz w:val="6"/>
          <w:szCs w:val="6"/>
        </w:rPr>
      </w:pPr>
    </w:p>
    <w:tbl>
      <w:tblPr>
        <w:tblW w:w="0" w:type="auto"/>
        <w:jc w:val="left"/>
        <w:tblInd w:w="580" w:type="dxa"/>
        <w:tblLayout w:type="fixed"/>
        <w:tblCellMar>
          <w:top w:w="0" w:type="dxa"/>
          <w:left w:w="0" w:type="dxa"/>
          <w:bottom w:w="0" w:type="dxa"/>
          <w:right w:w="0" w:type="dxa"/>
        </w:tblCellMar>
        <w:tblLook w:val="01E0"/>
      </w:tblPr>
      <w:tblGrid>
        <w:gridCol w:w="2974"/>
        <w:gridCol w:w="1983"/>
        <w:gridCol w:w="1884"/>
        <w:gridCol w:w="1899"/>
      </w:tblGrid>
      <w:tr>
        <w:trPr>
          <w:trHeight w:val="499" w:hRule="exact"/>
        </w:trPr>
        <w:tc>
          <w:tcPr>
            <w:tcW w:w="2974"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20"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5766"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490" w:hRule="exact"/>
        </w:trPr>
        <w:tc>
          <w:tcPr>
            <w:tcW w:w="2974" w:type="dxa"/>
            <w:vMerge/>
            <w:tcBorders>
              <w:left w:val="nil" w:sz="6" w:space="0" w:color="auto"/>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6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57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Arial" w:hAnsi="Arial" w:cs="Arial" w:eastAsia="Arial" w:hint="default"/>
                <w:sz w:val="18"/>
                <w:szCs w:val="18"/>
              </w:rPr>
              <w:t>%</w:t>
            </w:r>
            <w:r>
              <w:rPr>
                <w:rFonts w:ascii="宋体" w:hAnsi="宋体" w:cs="宋体" w:eastAsia="宋体" w:hint="default"/>
                <w:sz w:val="18"/>
                <w:szCs w:val="18"/>
              </w:rPr>
              <w:t>）</w:t>
            </w:r>
          </w:p>
        </w:tc>
      </w:tr>
      <w:tr>
        <w:trPr>
          <w:trHeight w:val="490" w:hRule="exact"/>
        </w:trPr>
        <w:tc>
          <w:tcPr>
            <w:tcW w:w="2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银行承兑汇票组合</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18"/>
                <w:szCs w:val="18"/>
              </w:rPr>
            </w:pPr>
            <w:r>
              <w:rPr>
                <w:rFonts w:ascii="Arial"/>
                <w:spacing w:val="-1"/>
                <w:sz w:val="18"/>
              </w:rPr>
              <w:t>6,530,103.30</w:t>
            </w:r>
          </w:p>
        </w:tc>
        <w:tc>
          <w:tcPr>
            <w:tcW w:w="1884"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2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2"/>
              <w:ind w:left="124" w:right="0"/>
              <w:jc w:val="left"/>
              <w:rPr>
                <w:rFonts w:ascii="宋体" w:hAnsi="宋体" w:cs="宋体" w:eastAsia="宋体" w:hint="default"/>
                <w:sz w:val="18"/>
                <w:szCs w:val="18"/>
              </w:rPr>
            </w:pPr>
            <w:r>
              <w:rPr>
                <w:rFonts w:ascii="宋体" w:hAnsi="宋体" w:cs="宋体" w:eastAsia="宋体" w:hint="default"/>
                <w:sz w:val="18"/>
                <w:szCs w:val="18"/>
              </w:rPr>
              <w:t>商业承兑汇票组合</w:t>
            </w:r>
          </w:p>
        </w:tc>
        <w:tc>
          <w:tcPr>
            <w:tcW w:w="1983"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nil" w:sz="6" w:space="0" w:color="auto"/>
            </w:tcBorders>
          </w:tcPr>
          <w:p>
            <w:pPr/>
          </w:p>
        </w:tc>
      </w:tr>
      <w:tr>
        <w:trPr>
          <w:trHeight w:val="499" w:hRule="exact"/>
        </w:trPr>
        <w:tc>
          <w:tcPr>
            <w:tcW w:w="297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49"/>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18"/>
                <w:szCs w:val="18"/>
              </w:rPr>
            </w:pPr>
            <w:r>
              <w:rPr>
                <w:rFonts w:ascii="Arial"/>
                <w:spacing w:val="-1"/>
                <w:sz w:val="18"/>
              </w:rPr>
              <w:t>6,530,103.30</w:t>
            </w:r>
          </w:p>
        </w:tc>
        <w:tc>
          <w:tcPr>
            <w:tcW w:w="1884" w:type="dxa"/>
            <w:tcBorders>
              <w:top w:val="single" w:sz="4" w:space="0" w:color="000000"/>
              <w:left w:val="single" w:sz="4" w:space="0" w:color="000000"/>
              <w:bottom w:val="single" w:sz="12" w:space="0" w:color="000000"/>
              <w:right w:val="single" w:sz="4" w:space="0" w:color="000000"/>
            </w:tcBorders>
          </w:tcPr>
          <w:p>
            <w:pPr/>
          </w:p>
        </w:tc>
        <w:tc>
          <w:tcPr>
            <w:tcW w:w="189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326" w:lineRule="auto" w:before="62"/>
        <w:ind w:left="592" w:right="4997"/>
        <w:jc w:val="left"/>
        <w:rPr>
          <w:rFonts w:ascii="宋体" w:hAnsi="宋体" w:cs="宋体" w:eastAsia="宋体" w:hint="default"/>
        </w:rPr>
      </w:pPr>
      <w:r>
        <w:rPr/>
        <w:t>（</w:t>
      </w:r>
      <w:r>
        <w:rPr>
          <w:rFonts w:ascii="Arial" w:hAnsi="Arial" w:cs="Arial" w:eastAsia="Arial" w:hint="default"/>
        </w:rPr>
        <w:t>4</w:t>
      </w:r>
      <w:r>
        <w:rPr/>
        <w:t>）本年计提、收回、转回的应收票据坏账准备</w:t>
      </w:r>
      <w:r>
        <w:rPr>
          <w:w w:val="100"/>
        </w:rPr>
        <w:t> </w:t>
      </w:r>
      <w:r>
        <w:rPr>
          <w:spacing w:val="-2"/>
        </w:rPr>
        <w:t>本年无计提、收回、转回的应收票据坏账准备情况。</w:t>
      </w:r>
      <w:r>
        <w:rPr>
          <w:spacing w:val="-71"/>
        </w:rPr>
        <w:t> </w:t>
      </w:r>
      <w:r>
        <w:rPr>
          <w:spacing w:val="-71"/>
        </w:rPr>
      </w:r>
      <w:r>
        <w:rPr>
          <w:rFonts w:ascii="Arial" w:hAnsi="Arial" w:cs="Arial" w:eastAsia="Arial" w:hint="default"/>
          <w:b/>
          <w:bCs/>
        </w:rPr>
        <w:t>3</w:t>
      </w:r>
      <w:r>
        <w:rPr>
          <w:rFonts w:ascii="宋体" w:hAnsi="宋体" w:cs="宋体" w:eastAsia="宋体" w:hint="default"/>
          <w:b/>
          <w:bCs/>
        </w:rPr>
        <w:t>、</w:t>
      </w:r>
      <w:r>
        <w:rPr>
          <w:rFonts w:ascii="宋体" w:hAnsi="宋体" w:cs="宋体" w:eastAsia="宋体" w:hint="default"/>
          <w:b/>
          <w:bCs/>
          <w:spacing w:val="-57"/>
        </w:rPr>
        <w:t> </w:t>
      </w:r>
      <w:r>
        <w:rPr>
          <w:rFonts w:ascii="宋体" w:hAnsi="宋体" w:cs="宋体" w:eastAsia="宋体" w:hint="default"/>
          <w:b/>
          <w:bCs/>
        </w:rPr>
        <w:t>应收账款</w:t>
      </w:r>
      <w:r>
        <w:rPr>
          <w:rFonts w:ascii="宋体" w:hAnsi="宋体" w:cs="宋体" w:eastAsia="宋体" w:hint="default"/>
        </w:rPr>
      </w:r>
    </w:p>
    <w:p>
      <w:pPr>
        <w:pStyle w:val="BodyText"/>
        <w:spacing w:line="240" w:lineRule="auto" w:before="6"/>
        <w:ind w:left="592" w:right="1133"/>
        <w:jc w:val="left"/>
      </w:pPr>
      <w:r>
        <w:rPr/>
        <w:t>（</w:t>
      </w:r>
      <w:r>
        <w:rPr>
          <w:rFonts w:ascii="Arial" w:hAnsi="Arial" w:cs="Arial" w:eastAsia="Arial" w:hint="default"/>
        </w:rPr>
        <w:t>1</w:t>
      </w:r>
      <w:r>
        <w:rPr/>
        <w:t>）应收账款按坏账计提方法分类列示</w:t>
      </w:r>
    </w:p>
    <w:p>
      <w:pPr>
        <w:spacing w:line="240" w:lineRule="auto" w:before="9"/>
        <w:rPr>
          <w:rFonts w:ascii="宋体" w:hAnsi="宋体" w:cs="宋体" w:eastAsia="宋体" w:hint="default"/>
          <w:sz w:val="2"/>
          <w:szCs w:val="2"/>
        </w:rPr>
      </w:pPr>
    </w:p>
    <w:tbl>
      <w:tblPr>
        <w:tblW w:w="0" w:type="auto"/>
        <w:jc w:val="left"/>
        <w:tblInd w:w="580" w:type="dxa"/>
        <w:tblLayout w:type="fixed"/>
        <w:tblCellMar>
          <w:top w:w="0" w:type="dxa"/>
          <w:left w:w="0" w:type="dxa"/>
          <w:bottom w:w="0" w:type="dxa"/>
          <w:right w:w="0" w:type="dxa"/>
        </w:tblCellMar>
        <w:tblLook w:val="01E0"/>
      </w:tblPr>
      <w:tblGrid>
        <w:gridCol w:w="2110"/>
        <w:gridCol w:w="1606"/>
        <w:gridCol w:w="929"/>
        <w:gridCol w:w="1496"/>
        <w:gridCol w:w="991"/>
        <w:gridCol w:w="1608"/>
      </w:tblGrid>
      <w:tr>
        <w:trPr>
          <w:trHeight w:val="497" w:hRule="exact"/>
        </w:trPr>
        <w:tc>
          <w:tcPr>
            <w:tcW w:w="2110"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630" w:type="dxa"/>
            <w:gridSpan w:val="5"/>
            <w:tcBorders>
              <w:top w:val="single" w:sz="12" w:space="0" w:color="000000"/>
              <w:left w:val="single" w:sz="2" w:space="0" w:color="000000"/>
              <w:bottom w:val="single" w:sz="2" w:space="0" w:color="000000"/>
              <w:right w:val="nil" w:sz="6" w:space="0" w:color="auto"/>
            </w:tcBorders>
          </w:tcPr>
          <w:p>
            <w:pPr>
              <w:pStyle w:val="TableParagraph"/>
              <w:spacing w:line="240" w:lineRule="auto" w:before="149"/>
              <w:ind w:right="1"/>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485" w:hRule="exact"/>
        </w:trPr>
        <w:tc>
          <w:tcPr>
            <w:tcW w:w="2110" w:type="dxa"/>
            <w:vMerge/>
            <w:tcBorders>
              <w:left w:val="nil" w:sz="6" w:space="0" w:color="auto"/>
              <w:right w:val="single" w:sz="2" w:space="0" w:color="000000"/>
            </w:tcBorders>
          </w:tcPr>
          <w:p>
            <w:pPr/>
          </w:p>
        </w:tc>
        <w:tc>
          <w:tcPr>
            <w:tcW w:w="2535"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87"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608" w:type="dxa"/>
            <w:vMerge w:val="restart"/>
            <w:tcBorders>
              <w:top w:val="single" w:sz="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44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886" w:hRule="exact"/>
        </w:trPr>
        <w:tc>
          <w:tcPr>
            <w:tcW w:w="2110" w:type="dxa"/>
            <w:vMerge/>
            <w:tcBorders>
              <w:left w:val="nil" w:sz="6" w:space="0" w:color="auto"/>
              <w:bottom w:val="single" w:sz="2" w:space="0" w:color="000000"/>
              <w:right w:val="single" w:sz="2" w:space="0" w:color="000000"/>
            </w:tcBorders>
          </w:tcPr>
          <w:p>
            <w:pP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37"/>
              <w:jc w:val="right"/>
              <w:rPr>
                <w:rFonts w:ascii="Arial" w:hAnsi="Arial" w:cs="Arial" w:eastAsia="Arial" w:hint="default"/>
                <w:sz w:val="18"/>
                <w:szCs w:val="18"/>
              </w:rPr>
            </w:pPr>
            <w:r>
              <w:rPr>
                <w:rFonts w:ascii="宋体" w:hAnsi="宋体" w:cs="宋体" w:eastAsia="宋体" w:hint="default"/>
                <w:w w:val="95"/>
                <w:sz w:val="18"/>
                <w:szCs w:val="18"/>
              </w:rPr>
              <w:t>比例</w:t>
            </w:r>
            <w:r>
              <w:rPr>
                <w:rFonts w:ascii="Arial" w:hAnsi="Arial" w:cs="Arial" w:eastAsia="Arial" w:hint="default"/>
                <w:w w:val="95"/>
                <w:sz w:val="18"/>
                <w:szCs w:val="18"/>
              </w:rPr>
              <w:t>(%)</w:t>
            </w:r>
            <w:r>
              <w:rPr>
                <w:rFonts w:ascii="Arial" w:hAnsi="Arial" w:cs="Arial" w:eastAsia="Arial" w:hint="default"/>
                <w:sz w:val="18"/>
                <w:szCs w:val="18"/>
              </w:rPr>
            </w:r>
          </w:p>
        </w:tc>
        <w:tc>
          <w:tcPr>
            <w:tcW w:w="14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2"/>
              <w:ind w:right="14"/>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76" w:right="0"/>
              <w:jc w:val="center"/>
              <w:rPr>
                <w:rFonts w:ascii="Arial" w:hAnsi="Arial" w:cs="Arial" w:eastAsia="Arial" w:hint="default"/>
                <w:sz w:val="18"/>
                <w:szCs w:val="18"/>
              </w:rPr>
            </w:pPr>
            <w:r>
              <w:rPr>
                <w:rFonts w:ascii="Arial"/>
                <w:sz w:val="18"/>
              </w:rPr>
              <w:t>(%)</w:t>
            </w:r>
          </w:p>
        </w:tc>
        <w:tc>
          <w:tcPr>
            <w:tcW w:w="1608" w:type="dxa"/>
            <w:vMerge/>
            <w:tcBorders>
              <w:left w:val="single" w:sz="2" w:space="0" w:color="000000"/>
              <w:bottom w:val="single" w:sz="2" w:space="0" w:color="000000"/>
              <w:right w:val="nil" w:sz="6" w:space="0" w:color="auto"/>
            </w:tcBorders>
          </w:tcPr>
          <w:p>
            <w:pPr/>
          </w:p>
        </w:tc>
      </w:tr>
      <w:tr>
        <w:trPr>
          <w:trHeight w:val="485" w:hRule="exact"/>
        </w:trPr>
        <w:tc>
          <w:tcPr>
            <w:tcW w:w="21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141,550,015.75</w:t>
            </w:r>
          </w:p>
        </w:tc>
        <w:tc>
          <w:tcPr>
            <w:tcW w:w="9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100.00</w:t>
            </w:r>
          </w:p>
        </w:tc>
        <w:tc>
          <w:tcPr>
            <w:tcW w:w="14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8" w:right="0"/>
              <w:jc w:val="center"/>
              <w:rPr>
                <w:rFonts w:ascii="Arial" w:hAnsi="Arial" w:cs="Arial" w:eastAsia="Arial" w:hint="default"/>
                <w:sz w:val="18"/>
                <w:szCs w:val="18"/>
              </w:rPr>
            </w:pPr>
            <w:r>
              <w:rPr>
                <w:rFonts w:ascii="Arial"/>
                <w:sz w:val="18"/>
              </w:rPr>
              <w:t>18,675,660.61</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w w:val="95"/>
                <w:sz w:val="18"/>
              </w:rPr>
              <w:t>13.19</w:t>
            </w:r>
            <w:r>
              <w:rPr>
                <w:rFonts w:ascii="Arial"/>
                <w:sz w:val="18"/>
              </w:rPr>
            </w:r>
          </w:p>
        </w:tc>
        <w:tc>
          <w:tcPr>
            <w:tcW w:w="16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122,874,355.14</w:t>
            </w:r>
          </w:p>
        </w:tc>
      </w:tr>
      <w:tr>
        <w:trPr>
          <w:trHeight w:val="485" w:hRule="exact"/>
        </w:trPr>
        <w:tc>
          <w:tcPr>
            <w:tcW w:w="21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Arial" w:hAnsi="Arial" w:cs="Arial" w:eastAsia="Arial" w:hint="default"/>
                <w:sz w:val="18"/>
                <w:szCs w:val="18"/>
              </w:rPr>
              <w:t>1</w:t>
            </w:r>
            <w:r>
              <w:rPr>
                <w:rFonts w:ascii="宋体" w:hAnsi="宋体" w:cs="宋体" w:eastAsia="宋体" w:hint="default"/>
                <w:sz w:val="18"/>
                <w:szCs w:val="18"/>
              </w:rPr>
              <w:t>：账龄组合</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76,821,060.82</w:t>
            </w:r>
          </w:p>
        </w:tc>
        <w:tc>
          <w:tcPr>
            <w:tcW w:w="9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w w:val="95"/>
                <w:sz w:val="18"/>
              </w:rPr>
              <w:t>54.27</w:t>
            </w:r>
            <w:r>
              <w:rPr>
                <w:rFonts w:ascii="Arial"/>
                <w:sz w:val="18"/>
              </w:rPr>
            </w:r>
          </w:p>
        </w:tc>
        <w:tc>
          <w:tcPr>
            <w:tcW w:w="14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8" w:right="0"/>
              <w:jc w:val="center"/>
              <w:rPr>
                <w:rFonts w:ascii="Arial" w:hAnsi="Arial" w:cs="Arial" w:eastAsia="Arial" w:hint="default"/>
                <w:sz w:val="18"/>
                <w:szCs w:val="18"/>
              </w:rPr>
            </w:pPr>
            <w:r>
              <w:rPr>
                <w:rFonts w:ascii="Arial"/>
                <w:sz w:val="18"/>
              </w:rPr>
              <w:t>18,675,660.61</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w w:val="95"/>
                <w:sz w:val="18"/>
              </w:rPr>
              <w:t>24.31</w:t>
            </w:r>
            <w:r>
              <w:rPr>
                <w:rFonts w:ascii="Arial"/>
                <w:sz w:val="18"/>
              </w:rPr>
            </w:r>
          </w:p>
        </w:tc>
        <w:tc>
          <w:tcPr>
            <w:tcW w:w="16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58,145,400.21</w:t>
            </w:r>
          </w:p>
        </w:tc>
      </w:tr>
      <w:tr>
        <w:trPr>
          <w:trHeight w:val="485" w:hRule="exact"/>
        </w:trPr>
        <w:tc>
          <w:tcPr>
            <w:tcW w:w="21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Arial" w:hAnsi="Arial" w:cs="Arial" w:eastAsia="Arial" w:hint="default"/>
                <w:sz w:val="18"/>
                <w:szCs w:val="18"/>
              </w:rPr>
              <w:t>2</w:t>
            </w:r>
            <w:r>
              <w:rPr>
                <w:rFonts w:ascii="宋体" w:hAnsi="宋体" w:cs="宋体" w:eastAsia="宋体" w:hint="default"/>
                <w:sz w:val="18"/>
                <w:szCs w:val="18"/>
              </w:rPr>
              <w:t>：关联方组合</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64,728,954.93</w:t>
            </w:r>
          </w:p>
        </w:tc>
        <w:tc>
          <w:tcPr>
            <w:tcW w:w="9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w w:val="95"/>
                <w:sz w:val="18"/>
              </w:rPr>
              <w:t>45.73</w:t>
            </w:r>
            <w:r>
              <w:rPr>
                <w:rFonts w:ascii="Arial"/>
                <w:sz w:val="18"/>
              </w:rPr>
            </w:r>
          </w:p>
        </w:tc>
        <w:tc>
          <w:tcPr>
            <w:tcW w:w="1496" w:type="dxa"/>
            <w:tcBorders>
              <w:top w:val="single" w:sz="2" w:space="0" w:color="000000"/>
              <w:left w:val="single" w:sz="2" w:space="0" w:color="000000"/>
              <w:bottom w:val="single" w:sz="2" w:space="0" w:color="000000"/>
              <w:right w:val="single" w:sz="2" w:space="0" w:color="000000"/>
            </w:tcBorders>
          </w:tcPr>
          <w:p>
            <w:pPr/>
          </w:p>
        </w:tc>
        <w:tc>
          <w:tcPr>
            <w:tcW w:w="991" w:type="dxa"/>
            <w:tcBorders>
              <w:top w:val="single" w:sz="2" w:space="0" w:color="000000"/>
              <w:left w:val="single" w:sz="2" w:space="0" w:color="000000"/>
              <w:bottom w:val="single" w:sz="2" w:space="0" w:color="000000"/>
              <w:right w:val="single" w:sz="2" w:space="0" w:color="000000"/>
            </w:tcBorders>
          </w:tcPr>
          <w:p>
            <w:pPr/>
          </w:p>
        </w:tc>
        <w:tc>
          <w:tcPr>
            <w:tcW w:w="16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64,728,954.93</w:t>
            </w:r>
          </w:p>
        </w:tc>
      </w:tr>
      <w:tr>
        <w:trPr>
          <w:trHeight w:val="499" w:hRule="exact"/>
        </w:trPr>
        <w:tc>
          <w:tcPr>
            <w:tcW w:w="211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52"/>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141,550,015.75</w:t>
            </w:r>
          </w:p>
        </w:tc>
        <w:tc>
          <w:tcPr>
            <w:tcW w:w="92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100.00</w:t>
            </w:r>
          </w:p>
        </w:tc>
        <w:tc>
          <w:tcPr>
            <w:tcW w:w="14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8" w:right="0"/>
              <w:jc w:val="center"/>
              <w:rPr>
                <w:rFonts w:ascii="Arial" w:hAnsi="Arial" w:cs="Arial" w:eastAsia="Arial" w:hint="default"/>
                <w:sz w:val="18"/>
                <w:szCs w:val="18"/>
              </w:rPr>
            </w:pPr>
            <w:r>
              <w:rPr>
                <w:rFonts w:ascii="Arial"/>
                <w:sz w:val="18"/>
              </w:rPr>
              <w:t>18,675,660.61</w:t>
            </w:r>
          </w:p>
        </w:tc>
        <w:tc>
          <w:tcPr>
            <w:tcW w:w="99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2"/>
              <w:ind w:right="11"/>
              <w:jc w:val="right"/>
              <w:rPr>
                <w:rFonts w:ascii="宋体" w:hAnsi="宋体" w:cs="宋体" w:eastAsia="宋体" w:hint="default"/>
                <w:sz w:val="18"/>
                <w:szCs w:val="18"/>
              </w:rPr>
            </w:pPr>
            <w:r>
              <w:rPr>
                <w:rFonts w:ascii="宋体"/>
                <w:sz w:val="18"/>
              </w:rPr>
              <w:t> </w:t>
            </w:r>
          </w:p>
        </w:tc>
        <w:tc>
          <w:tcPr>
            <w:tcW w:w="160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122,874,355.14</w:t>
            </w:r>
          </w:p>
        </w:tc>
      </w:tr>
    </w:tbl>
    <w:p>
      <w:pPr>
        <w:pStyle w:val="BodyText"/>
        <w:spacing w:line="240" w:lineRule="auto" w:before="62"/>
        <w:ind w:left="592" w:right="1133"/>
        <w:jc w:val="left"/>
      </w:pPr>
      <w:r>
        <w:rPr/>
        <w:t>（续）</w:t>
      </w:r>
    </w:p>
    <w:p>
      <w:pPr>
        <w:spacing w:line="240" w:lineRule="auto" w:before="11"/>
        <w:rPr>
          <w:rFonts w:ascii="宋体" w:hAnsi="宋体" w:cs="宋体" w:eastAsia="宋体" w:hint="default"/>
          <w:sz w:val="3"/>
          <w:szCs w:val="3"/>
        </w:rPr>
      </w:pPr>
    </w:p>
    <w:tbl>
      <w:tblPr>
        <w:tblW w:w="0" w:type="auto"/>
        <w:jc w:val="left"/>
        <w:tblInd w:w="609" w:type="dxa"/>
        <w:tblLayout w:type="fixed"/>
        <w:tblCellMar>
          <w:top w:w="0" w:type="dxa"/>
          <w:left w:w="0" w:type="dxa"/>
          <w:bottom w:w="0" w:type="dxa"/>
          <w:right w:w="0" w:type="dxa"/>
        </w:tblCellMar>
        <w:tblLook w:val="01E0"/>
      </w:tblPr>
      <w:tblGrid>
        <w:gridCol w:w="2028"/>
        <w:gridCol w:w="1640"/>
        <w:gridCol w:w="862"/>
        <w:gridCol w:w="1496"/>
        <w:gridCol w:w="1030"/>
        <w:gridCol w:w="1671"/>
      </w:tblGrid>
      <w:tr>
        <w:trPr>
          <w:trHeight w:val="497" w:hRule="exact"/>
        </w:trPr>
        <w:tc>
          <w:tcPr>
            <w:tcW w:w="2028"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697" w:type="dxa"/>
            <w:gridSpan w:val="5"/>
            <w:tcBorders>
              <w:top w:val="single" w:sz="12" w:space="0" w:color="000000"/>
              <w:left w:val="single" w:sz="2" w:space="0" w:color="000000"/>
              <w:bottom w:val="single" w:sz="2" w:space="0" w:color="000000"/>
              <w:right w:val="nil" w:sz="6" w:space="0" w:color="auto"/>
            </w:tcBorders>
          </w:tcPr>
          <w:p>
            <w:pPr>
              <w:pStyle w:val="TableParagraph"/>
              <w:spacing w:line="240" w:lineRule="auto" w:before="149"/>
              <w:ind w:left="2"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85" w:hRule="exact"/>
        </w:trPr>
        <w:tc>
          <w:tcPr>
            <w:tcW w:w="2028" w:type="dxa"/>
            <w:vMerge/>
            <w:tcBorders>
              <w:left w:val="nil" w:sz="6" w:space="0" w:color="auto"/>
              <w:right w:val="single" w:sz="2" w:space="0" w:color="000000"/>
            </w:tcBorders>
          </w:tcPr>
          <w:p>
            <w:pPr/>
          </w:p>
        </w:tc>
        <w:tc>
          <w:tcPr>
            <w:tcW w:w="2501"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5"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25"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671" w:type="dxa"/>
            <w:vMerge w:val="restart"/>
            <w:tcBorders>
              <w:top w:val="single" w:sz="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475" w:right="0"/>
              <w:jc w:val="left"/>
              <w:rPr>
                <w:rFonts w:ascii="宋体" w:hAnsi="宋体" w:cs="宋体" w:eastAsia="宋体" w:hint="default"/>
                <w:sz w:val="18"/>
                <w:szCs w:val="18"/>
              </w:rPr>
            </w:pPr>
            <w:r>
              <w:rPr>
                <w:rFonts w:ascii="宋体" w:hAnsi="宋体" w:cs="宋体" w:eastAsia="宋体" w:hint="default"/>
                <w:sz w:val="18"/>
                <w:szCs w:val="18"/>
              </w:rPr>
              <w:t>账面价值</w:t>
            </w:r>
          </w:p>
          <w:p>
            <w:pPr>
              <w:pStyle w:val="TableParagraph"/>
              <w:spacing w:line="240" w:lineRule="auto" w:before="48"/>
              <w:ind w:left="-46" w:right="0"/>
              <w:jc w:val="left"/>
              <w:rPr>
                <w:rFonts w:ascii="Arial" w:hAnsi="Arial" w:cs="Arial" w:eastAsia="Arial" w:hint="default"/>
                <w:sz w:val="18"/>
                <w:szCs w:val="18"/>
              </w:rPr>
            </w:pPr>
            <w:r>
              <w:rPr>
                <w:rFonts w:ascii="Arial"/>
                <w:w w:val="99"/>
                <w:sz w:val="18"/>
              </w:rPr>
              <w:t>)</w:t>
            </w:r>
            <w:r>
              <w:rPr>
                <w:rFonts w:ascii="Arial"/>
                <w:sz w:val="18"/>
              </w:rPr>
            </w:r>
          </w:p>
        </w:tc>
      </w:tr>
      <w:tr>
        <w:trPr>
          <w:trHeight w:val="499" w:hRule="exact"/>
        </w:trPr>
        <w:tc>
          <w:tcPr>
            <w:tcW w:w="2028" w:type="dxa"/>
            <w:vMerge/>
            <w:tcBorders>
              <w:left w:val="nil" w:sz="6" w:space="0" w:color="auto"/>
              <w:bottom w:val="single" w:sz="12" w:space="0" w:color="000000"/>
              <w:right w:val="single" w:sz="2" w:space="0" w:color="000000"/>
            </w:tcBorders>
          </w:tcPr>
          <w:p>
            <w:pPr/>
          </w:p>
        </w:tc>
        <w:tc>
          <w:tcPr>
            <w:tcW w:w="16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9"/>
              <w:ind w:left="108" w:right="0"/>
              <w:jc w:val="left"/>
              <w:rPr>
                <w:rFonts w:ascii="Arial" w:hAnsi="Arial" w:cs="Arial" w:eastAsia="Arial"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p>
        </w:tc>
        <w:tc>
          <w:tcPr>
            <w:tcW w:w="14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9"/>
              <w:ind w:left="43" w:right="0"/>
              <w:jc w:val="left"/>
              <w:rPr>
                <w:rFonts w:ascii="Arial" w:hAnsi="Arial" w:cs="Arial" w:eastAsia="Arial" w:hint="default"/>
                <w:sz w:val="18"/>
                <w:szCs w:val="18"/>
              </w:rPr>
            </w:pPr>
            <w:r>
              <w:rPr>
                <w:rFonts w:ascii="宋体" w:hAnsi="宋体" w:cs="宋体" w:eastAsia="宋体" w:hint="default"/>
                <w:sz w:val="18"/>
                <w:szCs w:val="18"/>
              </w:rPr>
              <w:t>计提比例</w:t>
            </w:r>
            <w:r>
              <w:rPr>
                <w:rFonts w:ascii="Arial" w:hAnsi="Arial" w:cs="Arial" w:eastAsia="Arial" w:hint="default"/>
                <w:sz w:val="18"/>
                <w:szCs w:val="18"/>
              </w:rPr>
              <w:t>(%</w:t>
            </w:r>
          </w:p>
        </w:tc>
        <w:tc>
          <w:tcPr>
            <w:tcW w:w="1671" w:type="dxa"/>
            <w:vMerge/>
            <w:tcBorders>
              <w:left w:val="single" w:sz="2" w:space="0" w:color="000000"/>
              <w:bottom w:val="single" w:sz="12" w:space="0" w:color="000000"/>
              <w:right w:val="nil" w:sz="6" w:space="0" w:color="auto"/>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600" w:type="dxa"/>
        <w:tblLayout w:type="fixed"/>
        <w:tblCellMar>
          <w:top w:w="0" w:type="dxa"/>
          <w:left w:w="0" w:type="dxa"/>
          <w:bottom w:w="0" w:type="dxa"/>
          <w:right w:w="0" w:type="dxa"/>
        </w:tblCellMar>
        <w:tblLook w:val="01E0"/>
      </w:tblPr>
      <w:tblGrid>
        <w:gridCol w:w="2042"/>
        <w:gridCol w:w="1640"/>
        <w:gridCol w:w="862"/>
        <w:gridCol w:w="1496"/>
        <w:gridCol w:w="1030"/>
        <w:gridCol w:w="1671"/>
      </w:tblGrid>
      <w:tr>
        <w:trPr>
          <w:trHeight w:val="500" w:hRule="exact"/>
        </w:trPr>
        <w:tc>
          <w:tcPr>
            <w:tcW w:w="2042"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697" w:type="dxa"/>
            <w:gridSpan w:val="5"/>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left="2"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85" w:hRule="exact"/>
        </w:trPr>
        <w:tc>
          <w:tcPr>
            <w:tcW w:w="2042" w:type="dxa"/>
            <w:vMerge/>
            <w:tcBorders>
              <w:left w:val="nil" w:sz="6" w:space="0" w:color="auto"/>
              <w:right w:val="single" w:sz="2" w:space="0" w:color="000000"/>
            </w:tcBorders>
          </w:tcPr>
          <w:p>
            <w:pPr/>
          </w:p>
        </w:tc>
        <w:tc>
          <w:tcPr>
            <w:tcW w:w="2501"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5"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25"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671" w:type="dxa"/>
            <w:vMerge w:val="restart"/>
            <w:tcBorders>
              <w:top w:val="single" w:sz="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475" w:right="0"/>
              <w:jc w:val="left"/>
              <w:rPr>
                <w:rFonts w:ascii="宋体" w:hAnsi="宋体" w:cs="宋体" w:eastAsia="宋体" w:hint="default"/>
                <w:sz w:val="18"/>
                <w:szCs w:val="18"/>
              </w:rPr>
            </w:pPr>
            <w:r>
              <w:rPr>
                <w:rFonts w:ascii="宋体" w:hAnsi="宋体" w:cs="宋体" w:eastAsia="宋体" w:hint="default"/>
                <w:sz w:val="18"/>
                <w:szCs w:val="18"/>
              </w:rPr>
              <w:t>账面价值</w:t>
            </w:r>
          </w:p>
          <w:p>
            <w:pPr>
              <w:pStyle w:val="TableParagraph"/>
              <w:spacing w:line="240" w:lineRule="auto" w:before="48"/>
              <w:ind w:left="-46" w:right="0"/>
              <w:jc w:val="left"/>
              <w:rPr>
                <w:rFonts w:ascii="Arial" w:hAnsi="Arial" w:cs="Arial" w:eastAsia="Arial" w:hint="default"/>
                <w:sz w:val="18"/>
                <w:szCs w:val="18"/>
              </w:rPr>
            </w:pPr>
            <w:r>
              <w:rPr>
                <w:rFonts w:ascii="Arial"/>
                <w:w w:val="99"/>
                <w:sz w:val="18"/>
              </w:rPr>
              <w:t>)</w:t>
            </w:r>
            <w:r>
              <w:rPr>
                <w:rFonts w:ascii="Arial"/>
                <w:sz w:val="18"/>
              </w:rPr>
            </w:r>
          </w:p>
        </w:tc>
      </w:tr>
      <w:tr>
        <w:trPr>
          <w:trHeight w:val="485" w:hRule="exact"/>
        </w:trPr>
        <w:tc>
          <w:tcPr>
            <w:tcW w:w="2042" w:type="dxa"/>
            <w:vMerge/>
            <w:tcBorders>
              <w:left w:val="nil" w:sz="6" w:space="0" w:color="auto"/>
              <w:bottom w:val="single" w:sz="2" w:space="0" w:color="000000"/>
              <w:right w:val="single" w:sz="2" w:space="0" w:color="000000"/>
            </w:tcBorders>
          </w:tcPr>
          <w:p>
            <w:pPr/>
          </w:p>
        </w:tc>
        <w:tc>
          <w:tcPr>
            <w:tcW w:w="16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6"/>
              <w:jc w:val="right"/>
              <w:rPr>
                <w:rFonts w:ascii="Arial" w:hAnsi="Arial" w:cs="Arial" w:eastAsia="Arial" w:hint="default"/>
                <w:sz w:val="18"/>
                <w:szCs w:val="18"/>
              </w:rPr>
            </w:pPr>
            <w:r>
              <w:rPr>
                <w:rFonts w:ascii="宋体" w:hAnsi="宋体" w:cs="宋体" w:eastAsia="宋体" w:hint="default"/>
                <w:w w:val="95"/>
                <w:sz w:val="18"/>
                <w:szCs w:val="18"/>
              </w:rPr>
              <w:t>比例</w:t>
            </w:r>
            <w:r>
              <w:rPr>
                <w:rFonts w:ascii="Arial" w:hAnsi="Arial" w:cs="Arial" w:eastAsia="Arial" w:hint="default"/>
                <w:w w:val="95"/>
                <w:sz w:val="18"/>
                <w:szCs w:val="18"/>
              </w:rPr>
              <w:t>(%)</w:t>
            </w:r>
            <w:r>
              <w:rPr>
                <w:rFonts w:ascii="Arial" w:hAnsi="Arial" w:cs="Arial" w:eastAsia="Arial" w:hint="default"/>
                <w:sz w:val="18"/>
                <w:szCs w:val="18"/>
              </w:rPr>
            </w:r>
          </w:p>
        </w:tc>
        <w:tc>
          <w:tcPr>
            <w:tcW w:w="14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39"/>
              <w:jc w:val="right"/>
              <w:rPr>
                <w:rFonts w:ascii="Arial" w:hAnsi="Arial" w:cs="Arial" w:eastAsia="Arial" w:hint="default"/>
                <w:sz w:val="18"/>
                <w:szCs w:val="18"/>
              </w:rPr>
            </w:pPr>
            <w:r>
              <w:rPr>
                <w:rFonts w:ascii="宋体" w:hAnsi="宋体" w:cs="宋体" w:eastAsia="宋体" w:hint="default"/>
                <w:w w:val="95"/>
                <w:sz w:val="18"/>
                <w:szCs w:val="18"/>
              </w:rPr>
              <w:t>计提比例</w:t>
            </w:r>
            <w:r>
              <w:rPr>
                <w:rFonts w:ascii="Arial" w:hAnsi="Arial" w:cs="Arial" w:eastAsia="Arial" w:hint="default"/>
                <w:w w:val="95"/>
                <w:sz w:val="18"/>
                <w:szCs w:val="18"/>
              </w:rPr>
              <w:t>(%</w:t>
            </w:r>
            <w:r>
              <w:rPr>
                <w:rFonts w:ascii="Arial" w:hAnsi="Arial" w:cs="Arial" w:eastAsia="Arial" w:hint="default"/>
                <w:sz w:val="18"/>
                <w:szCs w:val="18"/>
              </w:rPr>
            </w:r>
          </w:p>
        </w:tc>
        <w:tc>
          <w:tcPr>
            <w:tcW w:w="1671" w:type="dxa"/>
            <w:vMerge/>
            <w:tcBorders>
              <w:left w:val="single" w:sz="2" w:space="0" w:color="000000"/>
              <w:bottom w:val="single" w:sz="2" w:space="0" w:color="000000"/>
              <w:right w:val="nil" w:sz="6" w:space="0" w:color="auto"/>
            </w:tcBorders>
          </w:tcPr>
          <w:p>
            <w:pPr/>
          </w:p>
        </w:tc>
      </w:tr>
      <w:tr>
        <w:trPr>
          <w:trHeight w:val="485" w:hRule="exact"/>
        </w:trPr>
        <w:tc>
          <w:tcPr>
            <w:tcW w:w="20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6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143,207,796.48</w:t>
            </w:r>
          </w:p>
        </w:tc>
        <w:tc>
          <w:tcPr>
            <w:tcW w:w="8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100.00</w:t>
            </w:r>
          </w:p>
        </w:tc>
        <w:tc>
          <w:tcPr>
            <w:tcW w:w="14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15,473,692.34</w:t>
            </w:r>
          </w:p>
        </w:tc>
        <w:tc>
          <w:tcPr>
            <w:tcW w:w="10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w w:val="95"/>
                <w:sz w:val="18"/>
              </w:rPr>
              <w:t>10.81</w:t>
            </w:r>
            <w:r>
              <w:rPr>
                <w:rFonts w:ascii="Arial"/>
                <w:sz w:val="18"/>
              </w:rPr>
            </w:r>
          </w:p>
        </w:tc>
        <w:tc>
          <w:tcPr>
            <w:tcW w:w="16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127,734,104.14</w:t>
            </w:r>
          </w:p>
        </w:tc>
      </w:tr>
      <w:tr>
        <w:trPr>
          <w:trHeight w:val="485" w:hRule="exact"/>
        </w:trPr>
        <w:tc>
          <w:tcPr>
            <w:tcW w:w="20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Arial" w:hAnsi="Arial" w:cs="Arial" w:eastAsia="Arial" w:hint="default"/>
                <w:sz w:val="18"/>
                <w:szCs w:val="18"/>
              </w:rPr>
              <w:t>1</w:t>
            </w:r>
            <w:r>
              <w:rPr>
                <w:rFonts w:ascii="宋体" w:hAnsi="宋体" w:cs="宋体" w:eastAsia="宋体" w:hint="default"/>
                <w:sz w:val="18"/>
                <w:szCs w:val="18"/>
              </w:rPr>
              <w:t>：账龄组合</w:t>
            </w:r>
          </w:p>
        </w:tc>
        <w:tc>
          <w:tcPr>
            <w:tcW w:w="16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74,446,821.98</w:t>
            </w:r>
          </w:p>
        </w:tc>
        <w:tc>
          <w:tcPr>
            <w:tcW w:w="8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w w:val="95"/>
                <w:sz w:val="18"/>
              </w:rPr>
              <w:t>51.99</w:t>
            </w:r>
            <w:r>
              <w:rPr>
                <w:rFonts w:ascii="Arial"/>
                <w:sz w:val="18"/>
              </w:rPr>
            </w:r>
          </w:p>
        </w:tc>
        <w:tc>
          <w:tcPr>
            <w:tcW w:w="14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15,473,692.34</w:t>
            </w:r>
          </w:p>
        </w:tc>
        <w:tc>
          <w:tcPr>
            <w:tcW w:w="10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w w:val="95"/>
                <w:sz w:val="18"/>
              </w:rPr>
              <w:t>20.78</w:t>
            </w:r>
            <w:r>
              <w:rPr>
                <w:rFonts w:ascii="Arial"/>
                <w:sz w:val="18"/>
              </w:rPr>
            </w:r>
          </w:p>
        </w:tc>
        <w:tc>
          <w:tcPr>
            <w:tcW w:w="16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58,973,129.64</w:t>
            </w:r>
          </w:p>
        </w:tc>
      </w:tr>
      <w:tr>
        <w:trPr>
          <w:trHeight w:val="485" w:hRule="exact"/>
        </w:trPr>
        <w:tc>
          <w:tcPr>
            <w:tcW w:w="20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Arial" w:hAnsi="Arial" w:cs="Arial" w:eastAsia="Arial" w:hint="default"/>
                <w:sz w:val="18"/>
                <w:szCs w:val="18"/>
              </w:rPr>
              <w:t>2</w:t>
            </w:r>
            <w:r>
              <w:rPr>
                <w:rFonts w:ascii="宋体" w:hAnsi="宋体" w:cs="宋体" w:eastAsia="宋体" w:hint="default"/>
                <w:sz w:val="18"/>
                <w:szCs w:val="18"/>
              </w:rPr>
              <w:t>：关联方组合</w:t>
            </w:r>
          </w:p>
        </w:tc>
        <w:tc>
          <w:tcPr>
            <w:tcW w:w="16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68,760,974.50</w:t>
            </w:r>
          </w:p>
        </w:tc>
        <w:tc>
          <w:tcPr>
            <w:tcW w:w="8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w w:val="95"/>
                <w:sz w:val="18"/>
              </w:rPr>
              <w:t>48.01</w:t>
            </w:r>
            <w:r>
              <w:rPr>
                <w:rFonts w:ascii="Arial"/>
                <w:sz w:val="18"/>
              </w:rPr>
            </w:r>
          </w:p>
        </w:tc>
        <w:tc>
          <w:tcPr>
            <w:tcW w:w="1496" w:type="dxa"/>
            <w:tcBorders>
              <w:top w:val="single" w:sz="2" w:space="0" w:color="000000"/>
              <w:left w:val="single" w:sz="2" w:space="0" w:color="000000"/>
              <w:bottom w:val="single" w:sz="2" w:space="0" w:color="000000"/>
              <w:right w:val="single" w:sz="2" w:space="0" w:color="000000"/>
            </w:tcBorders>
          </w:tcPr>
          <w:p>
            <w:pPr/>
          </w:p>
        </w:tc>
        <w:tc>
          <w:tcPr>
            <w:tcW w:w="1030" w:type="dxa"/>
            <w:tcBorders>
              <w:top w:val="single" w:sz="2" w:space="0" w:color="000000"/>
              <w:left w:val="single" w:sz="2" w:space="0" w:color="000000"/>
              <w:bottom w:val="single" w:sz="2" w:space="0" w:color="000000"/>
              <w:right w:val="single" w:sz="2" w:space="0" w:color="000000"/>
            </w:tcBorders>
          </w:tcPr>
          <w:p>
            <w:pPr/>
          </w:p>
        </w:tc>
        <w:tc>
          <w:tcPr>
            <w:tcW w:w="16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68,760,974.50</w:t>
            </w:r>
          </w:p>
        </w:tc>
      </w:tr>
      <w:tr>
        <w:trPr>
          <w:trHeight w:val="500" w:hRule="exact"/>
        </w:trPr>
        <w:tc>
          <w:tcPr>
            <w:tcW w:w="204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143,207,796.48</w:t>
            </w:r>
          </w:p>
        </w:tc>
        <w:tc>
          <w:tcPr>
            <w:tcW w:w="8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100.00</w:t>
            </w:r>
          </w:p>
        </w:tc>
        <w:tc>
          <w:tcPr>
            <w:tcW w:w="14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15,473,692.34</w:t>
            </w:r>
          </w:p>
        </w:tc>
        <w:tc>
          <w:tcPr>
            <w:tcW w:w="1030" w:type="dxa"/>
            <w:tcBorders>
              <w:top w:val="single" w:sz="2" w:space="0" w:color="000000"/>
              <w:left w:val="single" w:sz="2" w:space="0" w:color="000000"/>
              <w:bottom w:val="single" w:sz="12" w:space="0" w:color="000000"/>
              <w:right w:val="single" w:sz="2" w:space="0" w:color="000000"/>
            </w:tcBorders>
          </w:tcPr>
          <w:p>
            <w:pPr/>
          </w:p>
        </w:tc>
        <w:tc>
          <w:tcPr>
            <w:tcW w:w="167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127,734,104.14</w:t>
            </w:r>
          </w:p>
        </w:tc>
      </w:tr>
    </w:tbl>
    <w:p>
      <w:pPr>
        <w:pStyle w:val="BodyText"/>
        <w:spacing w:line="240" w:lineRule="auto" w:before="62"/>
        <w:ind w:left="612" w:right="0"/>
        <w:jc w:val="left"/>
      </w:pPr>
      <w:r>
        <w:rPr/>
        <w:t>按账龄组合计提应收账款坏账准备</w:t>
      </w:r>
    </w:p>
    <w:p>
      <w:pPr>
        <w:spacing w:line="240" w:lineRule="auto" w:before="9"/>
        <w:rPr>
          <w:rFonts w:ascii="宋体" w:hAnsi="宋体" w:cs="宋体" w:eastAsia="宋体" w:hint="default"/>
          <w:sz w:val="3"/>
          <w:szCs w:val="3"/>
        </w:rPr>
      </w:pPr>
    </w:p>
    <w:tbl>
      <w:tblPr>
        <w:tblW w:w="0" w:type="auto"/>
        <w:jc w:val="left"/>
        <w:tblInd w:w="600" w:type="dxa"/>
        <w:tblLayout w:type="fixed"/>
        <w:tblCellMar>
          <w:top w:w="0" w:type="dxa"/>
          <w:left w:w="0" w:type="dxa"/>
          <w:bottom w:w="0" w:type="dxa"/>
          <w:right w:w="0" w:type="dxa"/>
        </w:tblCellMar>
        <w:tblLook w:val="01E0"/>
      </w:tblPr>
      <w:tblGrid>
        <w:gridCol w:w="2974"/>
        <w:gridCol w:w="1983"/>
        <w:gridCol w:w="1884"/>
        <w:gridCol w:w="1899"/>
      </w:tblGrid>
      <w:tr>
        <w:trPr>
          <w:trHeight w:val="502" w:hRule="exact"/>
        </w:trPr>
        <w:tc>
          <w:tcPr>
            <w:tcW w:w="2974"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0"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5766"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490" w:hRule="exact"/>
        </w:trPr>
        <w:tc>
          <w:tcPr>
            <w:tcW w:w="2974" w:type="dxa"/>
            <w:vMerge/>
            <w:tcBorders>
              <w:left w:val="nil" w:sz="6" w:space="0" w:color="auto"/>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6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57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9"/>
              <w:ind w:left="32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Arial" w:hAnsi="Arial" w:cs="Arial" w:eastAsia="Arial" w:hint="default"/>
                <w:sz w:val="18"/>
                <w:szCs w:val="18"/>
              </w:rPr>
              <w:t>%</w:t>
            </w:r>
            <w:r>
              <w:rPr>
                <w:rFonts w:ascii="宋体" w:hAnsi="宋体" w:cs="宋体" w:eastAsia="宋体" w:hint="default"/>
                <w:sz w:val="18"/>
                <w:szCs w:val="18"/>
              </w:rPr>
              <w:t>）</w:t>
            </w:r>
          </w:p>
        </w:tc>
      </w:tr>
      <w:tr>
        <w:trPr>
          <w:trHeight w:val="490" w:hRule="exact"/>
        </w:trPr>
        <w:tc>
          <w:tcPr>
            <w:tcW w:w="2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18"/>
                <w:szCs w:val="18"/>
              </w:rPr>
            </w:pPr>
            <w:r>
              <w:rPr>
                <w:rFonts w:ascii="Arial"/>
                <w:spacing w:val="-1"/>
                <w:sz w:val="18"/>
              </w:rPr>
              <w:t>32,813,954.98</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1,639,535.66</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7"/>
              <w:jc w:val="right"/>
              <w:rPr>
                <w:rFonts w:ascii="Arial" w:hAnsi="Arial" w:cs="Arial" w:eastAsia="Arial" w:hint="default"/>
                <w:sz w:val="18"/>
                <w:szCs w:val="18"/>
              </w:rPr>
            </w:pPr>
            <w:r>
              <w:rPr>
                <w:rFonts w:ascii="Arial"/>
                <w:spacing w:val="-1"/>
                <w:w w:val="95"/>
                <w:sz w:val="18"/>
              </w:rPr>
              <w:t>5</w:t>
            </w:r>
            <w:r>
              <w:rPr>
                <w:rFonts w:ascii="Times New Roman"/>
                <w:spacing w:val="-1"/>
                <w:w w:val="95"/>
                <w:sz w:val="18"/>
              </w:rPr>
              <w:t>.</w:t>
            </w:r>
            <w:r>
              <w:rPr>
                <w:rFonts w:ascii="Arial"/>
                <w:spacing w:val="-1"/>
                <w:w w:val="95"/>
                <w:sz w:val="18"/>
              </w:rPr>
              <w:t>00</w:t>
            </w:r>
            <w:r>
              <w:rPr>
                <w:rFonts w:ascii="Arial"/>
                <w:sz w:val="18"/>
              </w:rPr>
            </w:r>
          </w:p>
        </w:tc>
      </w:tr>
      <w:tr>
        <w:trPr>
          <w:trHeight w:val="490" w:hRule="exact"/>
        </w:trPr>
        <w:tc>
          <w:tcPr>
            <w:tcW w:w="2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18"/>
                <w:szCs w:val="18"/>
              </w:rPr>
            </w:pPr>
            <w:r>
              <w:rPr>
                <w:rFonts w:ascii="Arial"/>
                <w:spacing w:val="-1"/>
                <w:sz w:val="18"/>
              </w:rPr>
              <w:t>4,987,614.55</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18"/>
                <w:szCs w:val="18"/>
              </w:rPr>
            </w:pPr>
            <w:r>
              <w:rPr>
                <w:rFonts w:ascii="Arial"/>
                <w:spacing w:val="-1"/>
                <w:sz w:val="18"/>
              </w:rPr>
              <w:t>498,761.45</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10</w:t>
            </w:r>
            <w:r>
              <w:rPr>
                <w:rFonts w:ascii="Times New Roman"/>
                <w:spacing w:val="-1"/>
                <w:sz w:val="18"/>
              </w:rPr>
              <w:t>.</w:t>
            </w:r>
            <w:r>
              <w:rPr>
                <w:rFonts w:ascii="Arial"/>
                <w:spacing w:val="-1"/>
                <w:sz w:val="18"/>
              </w:rPr>
              <w:t>00</w:t>
            </w:r>
          </w:p>
        </w:tc>
      </w:tr>
      <w:tr>
        <w:trPr>
          <w:trHeight w:val="490" w:hRule="exact"/>
        </w:trPr>
        <w:tc>
          <w:tcPr>
            <w:tcW w:w="2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2-3</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18"/>
                <w:szCs w:val="18"/>
              </w:rPr>
            </w:pPr>
            <w:r>
              <w:rPr>
                <w:rFonts w:ascii="Arial"/>
                <w:spacing w:val="-1"/>
                <w:sz w:val="18"/>
              </w:rPr>
              <w:t>26,868,353.51</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8,060,506.06</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30</w:t>
            </w:r>
            <w:r>
              <w:rPr>
                <w:rFonts w:ascii="Times New Roman"/>
                <w:spacing w:val="-1"/>
                <w:sz w:val="18"/>
              </w:rPr>
              <w:t>.</w:t>
            </w:r>
            <w:r>
              <w:rPr>
                <w:rFonts w:ascii="Arial"/>
                <w:spacing w:val="-1"/>
                <w:sz w:val="18"/>
              </w:rPr>
              <w:t>00</w:t>
            </w:r>
          </w:p>
        </w:tc>
      </w:tr>
      <w:tr>
        <w:trPr>
          <w:trHeight w:val="492" w:hRule="exact"/>
        </w:trPr>
        <w:tc>
          <w:tcPr>
            <w:tcW w:w="2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2"/>
              <w:ind w:left="124" w:right="0"/>
              <w:jc w:val="left"/>
              <w:rPr>
                <w:rFonts w:ascii="宋体" w:hAnsi="宋体" w:cs="宋体" w:eastAsia="宋体" w:hint="default"/>
                <w:sz w:val="18"/>
                <w:szCs w:val="18"/>
              </w:rPr>
            </w:pPr>
            <w:r>
              <w:rPr>
                <w:rFonts w:ascii="Arial" w:hAnsi="Arial" w:cs="Arial" w:eastAsia="Arial" w:hint="default"/>
                <w:sz w:val="18"/>
                <w:szCs w:val="18"/>
              </w:rPr>
              <w:t>3-4</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18"/>
                <w:szCs w:val="18"/>
              </w:rPr>
            </w:pPr>
            <w:r>
              <w:rPr>
                <w:rFonts w:ascii="Arial"/>
                <w:spacing w:val="-1"/>
                <w:sz w:val="18"/>
              </w:rPr>
              <w:t>6,232,981.61</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7"/>
              <w:jc w:val="right"/>
              <w:rPr>
                <w:rFonts w:ascii="Arial" w:hAnsi="Arial" w:cs="Arial" w:eastAsia="Arial" w:hint="default"/>
                <w:sz w:val="18"/>
                <w:szCs w:val="18"/>
              </w:rPr>
            </w:pPr>
            <w:r>
              <w:rPr>
                <w:rFonts w:ascii="Arial"/>
                <w:spacing w:val="-2"/>
                <w:sz w:val="18"/>
              </w:rPr>
              <w:t>3,116,490.82</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50</w:t>
            </w:r>
            <w:r>
              <w:rPr>
                <w:rFonts w:ascii="Times New Roman"/>
                <w:spacing w:val="-1"/>
                <w:sz w:val="18"/>
              </w:rPr>
              <w:t>.</w:t>
            </w:r>
            <w:r>
              <w:rPr>
                <w:rFonts w:ascii="Arial"/>
                <w:spacing w:val="-1"/>
                <w:sz w:val="18"/>
              </w:rPr>
              <w:t>00</w:t>
            </w:r>
          </w:p>
        </w:tc>
      </w:tr>
      <w:tr>
        <w:trPr>
          <w:trHeight w:val="490" w:hRule="exact"/>
        </w:trPr>
        <w:tc>
          <w:tcPr>
            <w:tcW w:w="2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4-5</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18"/>
                <w:szCs w:val="18"/>
              </w:rPr>
            </w:pPr>
            <w:r>
              <w:rPr>
                <w:rFonts w:ascii="Arial"/>
                <w:spacing w:val="-1"/>
                <w:sz w:val="18"/>
              </w:rPr>
              <w:t>2,788,947.73</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18"/>
                <w:szCs w:val="18"/>
              </w:rPr>
            </w:pPr>
            <w:r>
              <w:rPr>
                <w:rFonts w:ascii="Arial"/>
                <w:spacing w:val="-1"/>
                <w:sz w:val="18"/>
              </w:rPr>
              <w:t>2,231,158.18</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80</w:t>
            </w:r>
            <w:r>
              <w:rPr>
                <w:rFonts w:ascii="Times New Roman"/>
                <w:spacing w:val="-1"/>
                <w:sz w:val="18"/>
              </w:rPr>
              <w:t>.</w:t>
            </w:r>
            <w:r>
              <w:rPr>
                <w:rFonts w:ascii="Arial"/>
                <w:spacing w:val="-1"/>
                <w:sz w:val="18"/>
              </w:rPr>
              <w:t>00</w:t>
            </w:r>
          </w:p>
        </w:tc>
      </w:tr>
      <w:tr>
        <w:trPr>
          <w:trHeight w:val="490" w:hRule="exact"/>
        </w:trPr>
        <w:tc>
          <w:tcPr>
            <w:tcW w:w="2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18"/>
                <w:szCs w:val="18"/>
              </w:rPr>
            </w:pPr>
            <w:r>
              <w:rPr>
                <w:rFonts w:ascii="Arial"/>
                <w:spacing w:val="-1"/>
                <w:sz w:val="18"/>
              </w:rPr>
              <w:t>3,129,208.44</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18"/>
                <w:szCs w:val="18"/>
              </w:rPr>
            </w:pPr>
            <w:r>
              <w:rPr>
                <w:rFonts w:ascii="Arial"/>
                <w:spacing w:val="-1"/>
                <w:sz w:val="18"/>
              </w:rPr>
              <w:t>3,129,208.44</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100</w:t>
            </w:r>
            <w:r>
              <w:rPr>
                <w:rFonts w:ascii="Times New Roman"/>
                <w:spacing w:val="-1"/>
                <w:sz w:val="18"/>
              </w:rPr>
              <w:t>.</w:t>
            </w:r>
            <w:r>
              <w:rPr>
                <w:rFonts w:ascii="Arial"/>
                <w:spacing w:val="-1"/>
                <w:sz w:val="18"/>
              </w:rPr>
              <w:t>00</w:t>
            </w:r>
          </w:p>
        </w:tc>
      </w:tr>
      <w:tr>
        <w:trPr>
          <w:trHeight w:val="502" w:hRule="exact"/>
        </w:trPr>
        <w:tc>
          <w:tcPr>
            <w:tcW w:w="297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49"/>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18"/>
                <w:szCs w:val="18"/>
              </w:rPr>
            </w:pPr>
            <w:r>
              <w:rPr>
                <w:rFonts w:ascii="Arial"/>
                <w:spacing w:val="-1"/>
                <w:sz w:val="18"/>
              </w:rPr>
              <w:t>76,821,060.82</w:t>
            </w:r>
          </w:p>
        </w:tc>
        <w:tc>
          <w:tcPr>
            <w:tcW w:w="18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18"/>
                <w:szCs w:val="18"/>
              </w:rPr>
            </w:pPr>
            <w:r>
              <w:rPr>
                <w:rFonts w:ascii="Arial"/>
                <w:spacing w:val="-1"/>
                <w:sz w:val="18"/>
              </w:rPr>
              <w:t>18,675,660.61</w:t>
            </w:r>
          </w:p>
        </w:tc>
        <w:tc>
          <w:tcPr>
            <w:tcW w:w="1899" w:type="dxa"/>
            <w:tcBorders>
              <w:top w:val="single" w:sz="4" w:space="0" w:color="000000"/>
              <w:left w:val="single" w:sz="4" w:space="0" w:color="000000"/>
              <w:bottom w:val="single" w:sz="12" w:space="0" w:color="000000"/>
              <w:right w:val="nil" w:sz="6" w:space="0" w:color="auto"/>
            </w:tcBorders>
          </w:tcPr>
          <w:p>
            <w:pPr/>
          </w:p>
        </w:tc>
      </w:tr>
    </w:tbl>
    <w:p>
      <w:pPr>
        <w:pStyle w:val="BodyText"/>
        <w:spacing w:line="240" w:lineRule="auto" w:before="62"/>
        <w:ind w:left="612" w:right="0"/>
        <w:jc w:val="left"/>
      </w:pPr>
      <w:r>
        <w:rPr/>
        <w:t>（</w:t>
      </w:r>
      <w:r>
        <w:rPr>
          <w:rFonts w:ascii="Arial" w:hAnsi="Arial" w:cs="Arial" w:eastAsia="Arial" w:hint="default"/>
        </w:rPr>
        <w:t>2</w:t>
      </w:r>
      <w:r>
        <w:rPr/>
        <w:t>）应收账款按账龄列示</w:t>
      </w:r>
    </w:p>
    <w:p>
      <w:pPr>
        <w:spacing w:line="240" w:lineRule="auto" w:before="6"/>
        <w:rPr>
          <w:rFonts w:ascii="宋体" w:hAnsi="宋体" w:cs="宋体" w:eastAsia="宋体" w:hint="default"/>
          <w:sz w:val="2"/>
          <w:szCs w:val="2"/>
        </w:rPr>
      </w:pPr>
    </w:p>
    <w:tbl>
      <w:tblPr>
        <w:tblW w:w="0" w:type="auto"/>
        <w:jc w:val="left"/>
        <w:tblInd w:w="600" w:type="dxa"/>
        <w:tblLayout w:type="fixed"/>
        <w:tblCellMar>
          <w:top w:w="0" w:type="dxa"/>
          <w:left w:w="0" w:type="dxa"/>
          <w:bottom w:w="0" w:type="dxa"/>
          <w:right w:w="0" w:type="dxa"/>
        </w:tblCellMar>
        <w:tblLook w:val="01E0"/>
      </w:tblPr>
      <w:tblGrid>
        <w:gridCol w:w="5228"/>
        <w:gridCol w:w="3512"/>
      </w:tblGrid>
      <w:tr>
        <w:trPr>
          <w:trHeight w:val="502" w:hRule="exact"/>
        </w:trPr>
        <w:tc>
          <w:tcPr>
            <w:tcW w:w="522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2"/>
              <w:ind w:right="2421"/>
              <w:jc w:val="right"/>
              <w:rPr>
                <w:rFonts w:ascii="宋体" w:hAnsi="宋体" w:cs="宋体" w:eastAsia="宋体" w:hint="default"/>
                <w:sz w:val="18"/>
                <w:szCs w:val="18"/>
              </w:rPr>
            </w:pPr>
            <w:r>
              <w:rPr>
                <w:rFonts w:ascii="宋体" w:hAnsi="宋体" w:cs="宋体" w:eastAsia="宋体" w:hint="default"/>
                <w:sz w:val="18"/>
                <w:szCs w:val="18"/>
              </w:rPr>
              <w:t>账龄</w:t>
            </w:r>
          </w:p>
        </w:tc>
        <w:tc>
          <w:tcPr>
            <w:tcW w:w="351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2"/>
              <w:ind w:right="5"/>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490" w:hRule="exact"/>
        </w:trPr>
        <w:tc>
          <w:tcPr>
            <w:tcW w:w="5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35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97,219,460.77</w:t>
            </w:r>
          </w:p>
        </w:tc>
      </w:tr>
      <w:tr>
        <w:trPr>
          <w:trHeight w:val="490" w:hRule="exact"/>
        </w:trPr>
        <w:tc>
          <w:tcPr>
            <w:tcW w:w="5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0"/>
              <w:ind w:left="124"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35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5,269,183.69</w:t>
            </w:r>
          </w:p>
        </w:tc>
      </w:tr>
      <w:tr>
        <w:trPr>
          <w:trHeight w:val="490" w:hRule="exact"/>
        </w:trPr>
        <w:tc>
          <w:tcPr>
            <w:tcW w:w="5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2-3</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35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26,910,233.51</w:t>
            </w:r>
          </w:p>
        </w:tc>
      </w:tr>
      <w:tr>
        <w:trPr>
          <w:trHeight w:val="490" w:hRule="exact"/>
        </w:trPr>
        <w:tc>
          <w:tcPr>
            <w:tcW w:w="5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3-4</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35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6,232,981.61</w:t>
            </w:r>
          </w:p>
        </w:tc>
      </w:tr>
      <w:tr>
        <w:trPr>
          <w:trHeight w:val="492" w:hRule="exact"/>
        </w:trPr>
        <w:tc>
          <w:tcPr>
            <w:tcW w:w="5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2"/>
              <w:ind w:left="124" w:right="0"/>
              <w:jc w:val="left"/>
              <w:rPr>
                <w:rFonts w:ascii="宋体" w:hAnsi="宋体" w:cs="宋体" w:eastAsia="宋体" w:hint="default"/>
                <w:sz w:val="18"/>
                <w:szCs w:val="18"/>
              </w:rPr>
            </w:pPr>
            <w:r>
              <w:rPr>
                <w:rFonts w:ascii="Arial" w:hAnsi="Arial" w:cs="Arial" w:eastAsia="Arial" w:hint="default"/>
                <w:sz w:val="18"/>
                <w:szCs w:val="18"/>
              </w:rPr>
              <w:t>4-5</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35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2,788,947.73</w:t>
            </w:r>
          </w:p>
        </w:tc>
      </w:tr>
      <w:tr>
        <w:trPr>
          <w:trHeight w:val="490" w:hRule="exact"/>
        </w:trPr>
        <w:tc>
          <w:tcPr>
            <w:tcW w:w="5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35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3,129,208.44</w:t>
            </w:r>
          </w:p>
        </w:tc>
      </w:tr>
      <w:tr>
        <w:trPr>
          <w:trHeight w:val="499" w:hRule="exact"/>
        </w:trPr>
        <w:tc>
          <w:tcPr>
            <w:tcW w:w="5228" w:type="dxa"/>
            <w:tcBorders>
              <w:top w:val="single" w:sz="4" w:space="0" w:color="000000"/>
              <w:left w:val="nil" w:sz="6" w:space="0" w:color="auto"/>
              <w:bottom w:val="single" w:sz="6" w:space="0" w:color="000000"/>
              <w:right w:val="single" w:sz="4" w:space="0" w:color="000000"/>
            </w:tcBorders>
          </w:tcPr>
          <w:p>
            <w:pPr>
              <w:pStyle w:val="TableParagraph"/>
              <w:spacing w:line="240" w:lineRule="auto" w:before="133"/>
              <w:ind w:right="2421"/>
              <w:jc w:val="right"/>
              <w:rPr>
                <w:rFonts w:ascii="宋体" w:hAnsi="宋体" w:cs="宋体" w:eastAsia="宋体" w:hint="default"/>
                <w:sz w:val="18"/>
                <w:szCs w:val="18"/>
              </w:rPr>
            </w:pPr>
            <w:r>
              <w:rPr>
                <w:rFonts w:ascii="宋体" w:hAnsi="宋体" w:cs="宋体" w:eastAsia="宋体" w:hint="default"/>
                <w:sz w:val="18"/>
                <w:szCs w:val="18"/>
              </w:rPr>
              <w:t>合计</w:t>
            </w:r>
          </w:p>
        </w:tc>
        <w:tc>
          <w:tcPr>
            <w:tcW w:w="351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7"/>
              <w:jc w:val="right"/>
              <w:rPr>
                <w:rFonts w:ascii="Arial" w:hAnsi="Arial" w:cs="Arial" w:eastAsia="Arial" w:hint="default"/>
                <w:sz w:val="18"/>
                <w:szCs w:val="18"/>
              </w:rPr>
            </w:pPr>
            <w:r>
              <w:rPr>
                <w:rFonts w:ascii="Arial"/>
                <w:spacing w:val="-1"/>
                <w:sz w:val="18"/>
              </w:rPr>
              <w:t>141,550,015.75</w:t>
            </w:r>
          </w:p>
        </w:tc>
      </w:tr>
    </w:tbl>
    <w:p>
      <w:pPr>
        <w:pStyle w:val="BodyText"/>
        <w:spacing w:line="240" w:lineRule="auto" w:before="62"/>
        <w:ind w:left="612" w:right="0"/>
        <w:jc w:val="left"/>
      </w:pPr>
      <w:r>
        <w:rPr/>
        <w:t>（</w:t>
      </w:r>
      <w:r>
        <w:rPr>
          <w:rFonts w:ascii="Arial" w:hAnsi="Arial" w:cs="Arial" w:eastAsia="Arial" w:hint="default"/>
        </w:rPr>
        <w:t>3</w:t>
      </w:r>
      <w:r>
        <w:rPr/>
        <w:t>）本年应账款坏账准备情况</w:t>
      </w:r>
    </w:p>
    <w:p>
      <w:pPr>
        <w:spacing w:line="240" w:lineRule="auto" w:before="9"/>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088"/>
        <w:gridCol w:w="1498"/>
        <w:gridCol w:w="5584"/>
        <w:gridCol w:w="1567"/>
      </w:tblGrid>
      <w:tr>
        <w:trPr>
          <w:trHeight w:val="512" w:hRule="exact"/>
        </w:trPr>
        <w:tc>
          <w:tcPr>
            <w:tcW w:w="1088" w:type="dxa"/>
            <w:tcBorders>
              <w:top w:val="single" w:sz="12" w:space="0" w:color="000000"/>
              <w:left w:val="nil" w:sz="6" w:space="0" w:color="auto"/>
              <w:bottom w:val="single" w:sz="12" w:space="0" w:color="000000"/>
              <w:right w:val="single" w:sz="2"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498"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152"/>
              <w:ind w:left="386"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5584"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本年变动金额</w:t>
            </w:r>
          </w:p>
        </w:tc>
        <w:tc>
          <w:tcPr>
            <w:tcW w:w="1567" w:type="dxa"/>
            <w:tcBorders>
              <w:top w:val="single" w:sz="12" w:space="0" w:color="000000"/>
              <w:left w:val="single" w:sz="2" w:space="0" w:color="000000"/>
              <w:bottom w:val="single" w:sz="12" w:space="0" w:color="000000"/>
              <w:right w:val="nil" w:sz="6" w:space="0" w:color="auto"/>
            </w:tcBorders>
          </w:tcPr>
          <w:p>
            <w:pPr>
              <w:pStyle w:val="TableParagraph"/>
              <w:spacing w:line="240" w:lineRule="auto" w:before="152"/>
              <w:ind w:left="419" w:right="0"/>
              <w:jc w:val="left"/>
              <w:rPr>
                <w:rFonts w:ascii="宋体" w:hAnsi="宋体" w:cs="宋体" w:eastAsia="宋体" w:hint="default"/>
                <w:sz w:val="18"/>
                <w:szCs w:val="18"/>
              </w:rPr>
            </w:pPr>
            <w:r>
              <w:rPr>
                <w:rFonts w:ascii="宋体" w:hAnsi="宋体" w:cs="宋体" w:eastAsia="宋体" w:hint="default"/>
                <w:sz w:val="18"/>
                <w:szCs w:val="18"/>
              </w:rPr>
              <w:t>年末余额</w:t>
            </w:r>
          </w:p>
        </w:tc>
      </w:tr>
    </w:tbl>
    <w:p>
      <w:pPr>
        <w:spacing w:after="0" w:line="240" w:lineRule="auto"/>
        <w:jc w:val="left"/>
        <w:rPr>
          <w:rFonts w:ascii="宋体" w:hAnsi="宋体" w:cs="宋体" w:eastAsia="宋体" w:hint="default"/>
          <w:sz w:val="18"/>
          <w:szCs w:val="18"/>
        </w:rPr>
        <w:sectPr>
          <w:pgSz w:w="11910" w:h="16840"/>
          <w:pgMar w:header="745" w:footer="979" w:top="1060" w:bottom="1160" w:left="960" w:right="0"/>
        </w:sectPr>
      </w:pPr>
    </w:p>
    <w:p>
      <w:pPr>
        <w:spacing w:line="240" w:lineRule="auto" w:before="6"/>
        <w:rPr>
          <w:rFonts w:ascii="宋体" w:hAnsi="宋体" w:cs="宋体" w:eastAsia="宋体" w:hint="default"/>
          <w:sz w:val="28"/>
          <w:szCs w:val="28"/>
        </w:rPr>
      </w:pPr>
    </w:p>
    <w:tbl>
      <w:tblPr>
        <w:tblW w:w="0" w:type="auto"/>
        <w:jc w:val="left"/>
        <w:tblInd w:w="115" w:type="dxa"/>
        <w:tblLayout w:type="fixed"/>
        <w:tblCellMar>
          <w:top w:w="0" w:type="dxa"/>
          <w:left w:w="0" w:type="dxa"/>
          <w:bottom w:w="0" w:type="dxa"/>
          <w:right w:w="0" w:type="dxa"/>
        </w:tblCellMar>
        <w:tblLook w:val="01E0"/>
      </w:tblPr>
      <w:tblGrid>
        <w:gridCol w:w="1102"/>
        <w:gridCol w:w="1498"/>
        <w:gridCol w:w="1424"/>
        <w:gridCol w:w="1263"/>
        <w:gridCol w:w="1277"/>
        <w:gridCol w:w="1621"/>
        <w:gridCol w:w="1567"/>
      </w:tblGrid>
      <w:tr>
        <w:trPr>
          <w:trHeight w:val="500" w:hRule="exact"/>
        </w:trPr>
        <w:tc>
          <w:tcPr>
            <w:tcW w:w="1102" w:type="dxa"/>
            <w:tcBorders>
              <w:top w:val="single" w:sz="12" w:space="0" w:color="000000"/>
              <w:left w:val="nil" w:sz="6" w:space="0" w:color="auto"/>
              <w:bottom w:val="single" w:sz="2" w:space="0" w:color="000000"/>
              <w:right w:val="single" w:sz="2" w:space="0" w:color="000000"/>
            </w:tcBorders>
          </w:tcPr>
          <w:p>
            <w:pPr/>
          </w:p>
        </w:tc>
        <w:tc>
          <w:tcPr>
            <w:tcW w:w="1498" w:type="dxa"/>
            <w:tcBorders>
              <w:top w:val="single" w:sz="12" w:space="0" w:color="000000"/>
              <w:left w:val="single" w:sz="2" w:space="0" w:color="000000"/>
              <w:bottom w:val="single" w:sz="2" w:space="0" w:color="000000"/>
              <w:right w:val="single" w:sz="2" w:space="0" w:color="000000"/>
            </w:tcBorders>
          </w:tcPr>
          <w:p>
            <w:pPr/>
          </w:p>
        </w:tc>
        <w:tc>
          <w:tcPr>
            <w:tcW w:w="142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26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left="18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2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left="184" w:right="0"/>
              <w:jc w:val="left"/>
              <w:rPr>
                <w:rFonts w:ascii="宋体" w:hAnsi="宋体" w:cs="宋体" w:eastAsia="宋体" w:hint="default"/>
                <w:sz w:val="18"/>
                <w:szCs w:val="18"/>
              </w:rPr>
            </w:pPr>
            <w:r>
              <w:rPr>
                <w:rFonts w:ascii="宋体" w:hAnsi="宋体" w:cs="宋体" w:eastAsia="宋体" w:hint="default"/>
                <w:sz w:val="18"/>
                <w:szCs w:val="18"/>
              </w:rPr>
              <w:t>转销或核销</w:t>
            </w:r>
          </w:p>
        </w:tc>
        <w:tc>
          <w:tcPr>
            <w:tcW w:w="162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right="2"/>
              <w:jc w:val="center"/>
              <w:rPr>
                <w:rFonts w:ascii="宋体" w:hAnsi="宋体" w:cs="宋体" w:eastAsia="宋体" w:hint="default"/>
                <w:sz w:val="18"/>
                <w:szCs w:val="18"/>
              </w:rPr>
            </w:pPr>
            <w:r>
              <w:rPr>
                <w:rFonts w:ascii="宋体" w:hAnsi="宋体" w:cs="宋体" w:eastAsia="宋体" w:hint="default"/>
                <w:sz w:val="18"/>
                <w:szCs w:val="18"/>
              </w:rPr>
              <w:t>其他</w:t>
            </w:r>
          </w:p>
        </w:tc>
        <w:tc>
          <w:tcPr>
            <w:tcW w:w="1567" w:type="dxa"/>
            <w:tcBorders>
              <w:top w:val="single" w:sz="12" w:space="0" w:color="000000"/>
              <w:left w:val="single" w:sz="2" w:space="0" w:color="000000"/>
              <w:bottom w:val="single" w:sz="2" w:space="0" w:color="000000"/>
              <w:right w:val="nil" w:sz="6" w:space="0" w:color="auto"/>
            </w:tcBorders>
          </w:tcPr>
          <w:p>
            <w:pPr/>
          </w:p>
        </w:tc>
      </w:tr>
      <w:tr>
        <w:trPr>
          <w:trHeight w:val="485" w:hRule="exact"/>
        </w:trPr>
        <w:tc>
          <w:tcPr>
            <w:tcW w:w="11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15,473,692.34</w:t>
            </w:r>
          </w:p>
        </w:tc>
        <w:tc>
          <w:tcPr>
            <w:tcW w:w="1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4,258,344.78</w:t>
            </w:r>
          </w:p>
        </w:tc>
        <w:tc>
          <w:tcPr>
            <w:tcW w:w="1263"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6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-1,056,376.51</w:t>
            </w:r>
          </w:p>
        </w:tc>
        <w:tc>
          <w:tcPr>
            <w:tcW w:w="156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18,675,660.61</w:t>
            </w:r>
          </w:p>
        </w:tc>
      </w:tr>
      <w:tr>
        <w:trPr>
          <w:trHeight w:val="497" w:hRule="exact"/>
        </w:trPr>
        <w:tc>
          <w:tcPr>
            <w:tcW w:w="110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37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15,473,692.34</w:t>
            </w:r>
          </w:p>
        </w:tc>
        <w:tc>
          <w:tcPr>
            <w:tcW w:w="142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4,258,344.78</w:t>
            </w:r>
          </w:p>
        </w:tc>
        <w:tc>
          <w:tcPr>
            <w:tcW w:w="1263" w:type="dxa"/>
            <w:tcBorders>
              <w:top w:val="single" w:sz="2" w:space="0" w:color="000000"/>
              <w:left w:val="single" w:sz="2" w:space="0" w:color="000000"/>
              <w:bottom w:val="single" w:sz="12" w:space="0" w:color="000000"/>
              <w:right w:val="single" w:sz="2" w:space="0" w:color="000000"/>
            </w:tcBorders>
          </w:tcPr>
          <w:p>
            <w:pPr/>
          </w:p>
        </w:tc>
        <w:tc>
          <w:tcPr>
            <w:tcW w:w="1277" w:type="dxa"/>
            <w:tcBorders>
              <w:top w:val="single" w:sz="2" w:space="0" w:color="000000"/>
              <w:left w:val="single" w:sz="2" w:space="0" w:color="000000"/>
              <w:bottom w:val="single" w:sz="12" w:space="0" w:color="000000"/>
              <w:right w:val="single" w:sz="2" w:space="0" w:color="000000"/>
            </w:tcBorders>
          </w:tcPr>
          <w:p>
            <w:pPr/>
          </w:p>
        </w:tc>
        <w:tc>
          <w:tcPr>
            <w:tcW w:w="16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-1,056,376.51</w:t>
            </w:r>
          </w:p>
        </w:tc>
        <w:tc>
          <w:tcPr>
            <w:tcW w:w="156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18,675,660.61</w:t>
            </w:r>
          </w:p>
        </w:tc>
      </w:tr>
    </w:tbl>
    <w:p>
      <w:pPr>
        <w:pStyle w:val="BodyText"/>
        <w:spacing w:line="240" w:lineRule="auto" w:before="62"/>
        <w:ind w:left="632" w:right="0"/>
        <w:jc w:val="left"/>
      </w:pPr>
      <w:r>
        <w:rPr/>
        <w:t>（</w:t>
      </w:r>
      <w:r>
        <w:rPr>
          <w:rFonts w:ascii="Arial" w:hAnsi="Arial" w:cs="Arial" w:eastAsia="Arial" w:hint="default"/>
        </w:rPr>
        <w:t>4</w:t>
      </w:r>
      <w:r>
        <w:rPr/>
        <w:t>）按欠款方归集的年末余额前五名的应收账款情况</w:t>
      </w:r>
    </w:p>
    <w:p>
      <w:pPr>
        <w:spacing w:line="240" w:lineRule="auto" w:before="9"/>
        <w:rPr>
          <w:rFonts w:ascii="宋体" w:hAnsi="宋体" w:cs="宋体" w:eastAsia="宋体" w:hint="default"/>
          <w:sz w:val="2"/>
          <w:szCs w:val="2"/>
        </w:rPr>
      </w:pPr>
    </w:p>
    <w:tbl>
      <w:tblPr>
        <w:tblW w:w="0" w:type="auto"/>
        <w:jc w:val="left"/>
        <w:tblInd w:w="534" w:type="dxa"/>
        <w:tblLayout w:type="fixed"/>
        <w:tblCellMar>
          <w:top w:w="0" w:type="dxa"/>
          <w:left w:w="0" w:type="dxa"/>
          <w:bottom w:w="0" w:type="dxa"/>
          <w:right w:w="0" w:type="dxa"/>
        </w:tblCellMar>
        <w:tblLook w:val="01E0"/>
      </w:tblPr>
      <w:tblGrid>
        <w:gridCol w:w="2885"/>
        <w:gridCol w:w="1498"/>
        <w:gridCol w:w="1073"/>
        <w:gridCol w:w="1843"/>
        <w:gridCol w:w="1613"/>
      </w:tblGrid>
      <w:tr>
        <w:trPr>
          <w:trHeight w:val="938" w:hRule="exact"/>
        </w:trPr>
        <w:tc>
          <w:tcPr>
            <w:tcW w:w="2885"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9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386"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07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8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405" w:lineRule="auto"/>
              <w:ind w:left="237" w:right="108" w:hanging="130"/>
              <w:jc w:val="left"/>
              <w:rPr>
                <w:rFonts w:ascii="Arial" w:hAnsi="Arial" w:cs="Arial" w:eastAsia="Arial" w:hint="default"/>
                <w:sz w:val="18"/>
                <w:szCs w:val="18"/>
              </w:rPr>
            </w:pPr>
            <w:r>
              <w:rPr>
                <w:rFonts w:ascii="宋体" w:hAnsi="宋体" w:cs="宋体" w:eastAsia="宋体" w:hint="default"/>
                <w:sz w:val="18"/>
                <w:szCs w:val="18"/>
              </w:rPr>
              <w:t>占应收账款年末余额 合计数的比例</w:t>
            </w:r>
            <w:r>
              <w:rPr>
                <w:rFonts w:ascii="Arial" w:hAnsi="Arial" w:cs="Arial" w:eastAsia="Arial" w:hint="default"/>
                <w:sz w:val="18"/>
                <w:szCs w:val="18"/>
              </w:rPr>
              <w:t>(%)</w:t>
            </w:r>
          </w:p>
        </w:tc>
        <w:tc>
          <w:tcPr>
            <w:tcW w:w="1613" w:type="dxa"/>
            <w:tcBorders>
              <w:top w:val="single" w:sz="12" w:space="0" w:color="000000"/>
              <w:left w:val="single" w:sz="2" w:space="0" w:color="000000"/>
              <w:bottom w:val="single" w:sz="2" w:space="0" w:color="000000"/>
              <w:right w:val="nil" w:sz="6" w:space="0" w:color="auto"/>
            </w:tcBorders>
          </w:tcPr>
          <w:p>
            <w:pPr>
              <w:pStyle w:val="TableParagraph"/>
              <w:spacing w:line="440" w:lineRule="exact" w:before="8"/>
              <w:ind w:left="444" w:right="444"/>
              <w:jc w:val="left"/>
              <w:rPr>
                <w:rFonts w:ascii="宋体" w:hAnsi="宋体" w:cs="宋体" w:eastAsia="宋体" w:hint="default"/>
                <w:sz w:val="18"/>
                <w:szCs w:val="18"/>
              </w:rPr>
            </w:pPr>
            <w:r>
              <w:rPr>
                <w:rFonts w:ascii="宋体" w:hAnsi="宋体" w:cs="宋体" w:eastAsia="宋体" w:hint="default"/>
                <w:sz w:val="18"/>
                <w:szCs w:val="18"/>
              </w:rPr>
              <w:t>坏账准备 年末余额</w:t>
            </w:r>
          </w:p>
        </w:tc>
      </w:tr>
      <w:tr>
        <w:trPr>
          <w:trHeight w:val="485" w:hRule="exact"/>
        </w:trPr>
        <w:tc>
          <w:tcPr>
            <w:tcW w:w="28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4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2"/>
                <w:sz w:val="18"/>
              </w:rPr>
              <w:t>60,311,970.06</w:t>
            </w:r>
          </w:p>
        </w:tc>
        <w:tc>
          <w:tcPr>
            <w:tcW w:w="10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宋体" w:hAnsi="宋体" w:cs="宋体" w:eastAsia="宋体" w:hint="default"/>
                <w:sz w:val="18"/>
                <w:szCs w:val="18"/>
              </w:rPr>
            </w:pPr>
            <w:r>
              <w:rPr>
                <w:rFonts w:ascii="Arial" w:hAnsi="Arial" w:cs="Arial" w:eastAsia="Arial" w:hint="default"/>
                <w:sz w:val="18"/>
                <w:szCs w:val="18"/>
              </w:rPr>
              <w:t>0-3</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w w:val="95"/>
                <w:sz w:val="18"/>
              </w:rPr>
              <w:t>42.61</w:t>
            </w:r>
            <w:r>
              <w:rPr>
                <w:rFonts w:ascii="Arial"/>
                <w:sz w:val="18"/>
              </w:rPr>
            </w:r>
          </w:p>
        </w:tc>
        <w:tc>
          <w:tcPr>
            <w:tcW w:w="161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7"/>
              <w:jc w:val="right"/>
              <w:rPr>
                <w:rFonts w:ascii="宋体" w:hAnsi="宋体" w:cs="宋体" w:eastAsia="宋体" w:hint="default"/>
                <w:sz w:val="18"/>
                <w:szCs w:val="18"/>
              </w:rPr>
            </w:pPr>
            <w:r>
              <w:rPr>
                <w:rFonts w:ascii="宋体"/>
                <w:sz w:val="18"/>
              </w:rPr>
              <w:t> </w:t>
            </w:r>
          </w:p>
        </w:tc>
      </w:tr>
      <w:tr>
        <w:trPr>
          <w:trHeight w:val="485" w:hRule="exact"/>
        </w:trPr>
        <w:tc>
          <w:tcPr>
            <w:tcW w:w="28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0"/>
              <w:ind w:left="1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4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2"/>
                <w:sz w:val="18"/>
              </w:rPr>
              <w:t>19,378,114.74</w:t>
            </w:r>
          </w:p>
        </w:tc>
        <w:tc>
          <w:tcPr>
            <w:tcW w:w="10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0"/>
              <w:jc w:val="center"/>
              <w:rPr>
                <w:rFonts w:ascii="宋体" w:hAnsi="宋体" w:cs="宋体" w:eastAsia="宋体" w:hint="default"/>
                <w:sz w:val="18"/>
                <w:szCs w:val="18"/>
              </w:rPr>
            </w:pPr>
            <w:r>
              <w:rPr>
                <w:rFonts w:ascii="Arial" w:hAnsi="Arial" w:cs="Arial" w:eastAsia="Arial" w:hint="default"/>
                <w:sz w:val="18"/>
                <w:szCs w:val="18"/>
              </w:rPr>
              <w:t>0-3</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w w:val="95"/>
                <w:sz w:val="18"/>
              </w:rPr>
              <w:t>13.69</w:t>
            </w:r>
            <w:r>
              <w:rPr>
                <w:rFonts w:ascii="Arial"/>
                <w:sz w:val="18"/>
              </w:rPr>
            </w:r>
          </w:p>
        </w:tc>
        <w:tc>
          <w:tcPr>
            <w:tcW w:w="161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1,372,406.50</w:t>
            </w:r>
          </w:p>
        </w:tc>
      </w:tr>
      <w:tr>
        <w:trPr>
          <w:trHeight w:val="485" w:hRule="exact"/>
        </w:trPr>
        <w:tc>
          <w:tcPr>
            <w:tcW w:w="28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4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14,251,596.56</w:t>
            </w:r>
          </w:p>
        </w:tc>
        <w:tc>
          <w:tcPr>
            <w:tcW w:w="10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宋体" w:hAnsi="宋体" w:cs="宋体" w:eastAsia="宋体" w:hint="default"/>
                <w:sz w:val="18"/>
                <w:szCs w:val="18"/>
              </w:rPr>
            </w:pPr>
            <w:r>
              <w:rPr>
                <w:rFonts w:ascii="Arial" w:hAnsi="Arial" w:cs="Arial" w:eastAsia="Arial" w:hint="default"/>
                <w:sz w:val="18"/>
                <w:szCs w:val="18"/>
              </w:rPr>
              <w:t>2-4</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w w:val="95"/>
                <w:sz w:val="18"/>
              </w:rPr>
              <w:t>10.07</w:t>
            </w:r>
            <w:r>
              <w:rPr>
                <w:rFonts w:ascii="Arial"/>
                <w:sz w:val="18"/>
              </w:rPr>
            </w:r>
          </w:p>
        </w:tc>
        <w:tc>
          <w:tcPr>
            <w:tcW w:w="161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5,336,673.22</w:t>
            </w:r>
          </w:p>
        </w:tc>
      </w:tr>
      <w:tr>
        <w:trPr>
          <w:trHeight w:val="485" w:hRule="exact"/>
        </w:trPr>
        <w:tc>
          <w:tcPr>
            <w:tcW w:w="28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4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6,652,685.67</w:t>
            </w:r>
          </w:p>
        </w:tc>
        <w:tc>
          <w:tcPr>
            <w:tcW w:w="10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宋体" w:hAnsi="宋体" w:cs="宋体" w:eastAsia="宋体" w:hint="default"/>
                <w:sz w:val="18"/>
                <w:szCs w:val="18"/>
              </w:rPr>
            </w:pPr>
            <w:r>
              <w:rPr>
                <w:rFonts w:ascii="Arial" w:hAnsi="Arial" w:cs="Arial" w:eastAsia="Arial" w:hint="default"/>
                <w:sz w:val="18"/>
                <w:szCs w:val="18"/>
              </w:rPr>
              <w:t>1-4</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w w:val="95"/>
                <w:sz w:val="18"/>
              </w:rPr>
              <w:t>4.70</w:t>
            </w:r>
            <w:r>
              <w:rPr>
                <w:rFonts w:ascii="Arial"/>
                <w:sz w:val="18"/>
              </w:rPr>
            </w:r>
          </w:p>
        </w:tc>
        <w:tc>
          <w:tcPr>
            <w:tcW w:w="161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2"/>
                <w:sz w:val="18"/>
              </w:rPr>
              <w:t>2,117,621.63</w:t>
            </w:r>
          </w:p>
        </w:tc>
      </w:tr>
      <w:tr>
        <w:trPr>
          <w:trHeight w:val="485" w:hRule="exact"/>
        </w:trPr>
        <w:tc>
          <w:tcPr>
            <w:tcW w:w="28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4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5,035,601.91</w:t>
            </w:r>
          </w:p>
        </w:tc>
        <w:tc>
          <w:tcPr>
            <w:tcW w:w="10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2"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z w:val="18"/>
              </w:rPr>
              <w:t>3.55</w:t>
            </w:r>
          </w:p>
        </w:tc>
        <w:tc>
          <w:tcPr>
            <w:tcW w:w="161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251,780.10</w:t>
            </w:r>
          </w:p>
        </w:tc>
      </w:tr>
      <w:tr>
        <w:trPr>
          <w:trHeight w:val="499" w:hRule="exact"/>
        </w:trPr>
        <w:tc>
          <w:tcPr>
            <w:tcW w:w="288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4"/>
              <w:jc w:val="right"/>
              <w:rPr>
                <w:rFonts w:ascii="Arial" w:hAnsi="Arial" w:cs="Arial" w:eastAsia="Arial" w:hint="default"/>
                <w:sz w:val="18"/>
                <w:szCs w:val="18"/>
              </w:rPr>
            </w:pPr>
            <w:r>
              <w:rPr>
                <w:rFonts w:ascii="Arial"/>
                <w:spacing w:val="-1"/>
                <w:sz w:val="18"/>
              </w:rPr>
              <w:t>105,629,968.94</w:t>
            </w:r>
          </w:p>
        </w:tc>
        <w:tc>
          <w:tcPr>
            <w:tcW w:w="107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18"/>
                <w:szCs w:val="18"/>
              </w:rPr>
            </w:pPr>
            <w:r>
              <w:rPr>
                <w:rFonts w:ascii="Arial" w:hAnsi="Arial" w:cs="Arial" w:eastAsia="Arial" w:hint="default"/>
                <w:sz w:val="18"/>
                <w:szCs w:val="18"/>
              </w:rPr>
              <w:t>—</w:t>
            </w:r>
          </w:p>
        </w:tc>
        <w:tc>
          <w:tcPr>
            <w:tcW w:w="18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w w:val="95"/>
                <w:sz w:val="18"/>
              </w:rPr>
              <w:t>74.62</w:t>
            </w:r>
            <w:r>
              <w:rPr>
                <w:rFonts w:ascii="Arial"/>
                <w:sz w:val="18"/>
              </w:rPr>
            </w:r>
          </w:p>
        </w:tc>
        <w:tc>
          <w:tcPr>
            <w:tcW w:w="161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9,078,481.45</w:t>
            </w:r>
          </w:p>
        </w:tc>
      </w:tr>
    </w:tbl>
    <w:p>
      <w:pPr>
        <w:pStyle w:val="Heading4"/>
        <w:spacing w:line="240" w:lineRule="auto"/>
        <w:ind w:left="634" w:right="0"/>
        <w:jc w:val="left"/>
        <w:rPr>
          <w:b w:val="0"/>
          <w:bCs w:val="0"/>
        </w:rPr>
      </w:pPr>
      <w:r>
        <w:rPr>
          <w:rFonts w:ascii="Arial" w:hAnsi="Arial" w:cs="Arial" w:eastAsia="Arial" w:hint="default"/>
        </w:rPr>
        <w:t>4</w:t>
      </w:r>
      <w:r>
        <w:rPr/>
        <w:t>、</w:t>
      </w:r>
      <w:r>
        <w:rPr>
          <w:spacing w:val="-57"/>
        </w:rPr>
        <w:t> </w:t>
      </w:r>
      <w:r>
        <w:rPr/>
        <w:t>预付款项</w:t>
      </w:r>
      <w:r>
        <w:rPr>
          <w:b w:val="0"/>
          <w:bCs w:val="0"/>
        </w:rPr>
      </w:r>
    </w:p>
    <w:p>
      <w:pPr>
        <w:pStyle w:val="BodyText"/>
        <w:spacing w:line="240" w:lineRule="auto" w:before="95"/>
        <w:ind w:left="632" w:right="0"/>
        <w:jc w:val="left"/>
      </w:pPr>
      <w:r>
        <w:rPr/>
        <w:t>（</w:t>
      </w:r>
      <w:r>
        <w:rPr>
          <w:rFonts w:ascii="Arial" w:hAnsi="Arial" w:cs="Arial" w:eastAsia="Arial" w:hint="default"/>
        </w:rPr>
        <w:t>1</w:t>
      </w:r>
      <w:r>
        <w:rPr/>
        <w:t>）预付款项账龄</w:t>
      </w:r>
    </w:p>
    <w:p>
      <w:pPr>
        <w:spacing w:line="240" w:lineRule="auto" w:before="9"/>
        <w:rPr>
          <w:rFonts w:ascii="宋体" w:hAnsi="宋体" w:cs="宋体" w:eastAsia="宋体" w:hint="default"/>
          <w:sz w:val="2"/>
          <w:szCs w:val="2"/>
        </w:rPr>
      </w:pPr>
    </w:p>
    <w:tbl>
      <w:tblPr>
        <w:tblW w:w="0" w:type="auto"/>
        <w:jc w:val="left"/>
        <w:tblInd w:w="620" w:type="dxa"/>
        <w:tblLayout w:type="fixed"/>
        <w:tblCellMar>
          <w:top w:w="0" w:type="dxa"/>
          <w:left w:w="0" w:type="dxa"/>
          <w:bottom w:w="0" w:type="dxa"/>
          <w:right w:w="0" w:type="dxa"/>
        </w:tblCellMar>
        <w:tblLook w:val="01E0"/>
      </w:tblPr>
      <w:tblGrid>
        <w:gridCol w:w="1985"/>
        <w:gridCol w:w="2108"/>
        <w:gridCol w:w="1330"/>
        <w:gridCol w:w="2074"/>
        <w:gridCol w:w="1243"/>
      </w:tblGrid>
      <w:tr>
        <w:trPr>
          <w:trHeight w:val="499" w:hRule="exact"/>
        </w:trPr>
        <w:tc>
          <w:tcPr>
            <w:tcW w:w="1985"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38"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left="4"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3317"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right="2"/>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85" w:hRule="exact"/>
        </w:trPr>
        <w:tc>
          <w:tcPr>
            <w:tcW w:w="1985" w:type="dxa"/>
            <w:vMerge/>
            <w:tcBorders>
              <w:left w:val="nil" w:sz="6" w:space="0" w:color="auto"/>
              <w:bottom w:val="single" w:sz="2" w:space="0" w:color="000000"/>
              <w:right w:val="single" w:sz="2" w:space="0" w:color="000000"/>
            </w:tcBorders>
          </w:tcPr>
          <w:p>
            <w:pPr/>
          </w:p>
        </w:tc>
        <w:tc>
          <w:tcPr>
            <w:tcW w:w="21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22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r>
              <w:rPr>
                <w:rFonts w:ascii="宋体" w:hAnsi="宋体" w:cs="宋体" w:eastAsia="宋体" w:hint="default"/>
                <w:sz w:val="18"/>
                <w:szCs w:val="18"/>
              </w:rPr>
              <w:t>）</w:t>
            </w:r>
          </w:p>
        </w:tc>
        <w:tc>
          <w:tcPr>
            <w:tcW w:w="20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85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2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left="177"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r>
              <w:rPr>
                <w:rFonts w:ascii="宋体" w:hAnsi="宋体" w:cs="宋体" w:eastAsia="宋体" w:hint="default"/>
                <w:sz w:val="18"/>
                <w:szCs w:val="18"/>
              </w:rPr>
              <w:t>）</w:t>
            </w:r>
          </w:p>
        </w:tc>
      </w:tr>
      <w:tr>
        <w:trPr>
          <w:trHeight w:val="485" w:hRule="exact"/>
        </w:trPr>
        <w:tc>
          <w:tcPr>
            <w:tcW w:w="19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21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296,556,253.10</w:t>
            </w:r>
          </w:p>
        </w:tc>
        <w:tc>
          <w:tcPr>
            <w:tcW w:w="13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w w:val="95"/>
                <w:sz w:val="18"/>
              </w:rPr>
              <w:t>97.56</w:t>
            </w:r>
            <w:r>
              <w:rPr>
                <w:rFonts w:ascii="Arial"/>
                <w:sz w:val="18"/>
              </w:rPr>
            </w:r>
          </w:p>
        </w:tc>
        <w:tc>
          <w:tcPr>
            <w:tcW w:w="20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811" w:right="0"/>
              <w:jc w:val="left"/>
              <w:rPr>
                <w:rFonts w:ascii="Arial" w:hAnsi="Arial" w:cs="Arial" w:eastAsia="Arial" w:hint="default"/>
                <w:sz w:val="18"/>
                <w:szCs w:val="18"/>
              </w:rPr>
            </w:pPr>
            <w:r>
              <w:rPr>
                <w:rFonts w:ascii="Arial"/>
                <w:sz w:val="18"/>
              </w:rPr>
              <w:t>64,334,596.60</w:t>
            </w:r>
          </w:p>
        </w:tc>
        <w:tc>
          <w:tcPr>
            <w:tcW w:w="12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7"/>
              <w:jc w:val="right"/>
              <w:rPr>
                <w:rFonts w:ascii="Arial" w:hAnsi="Arial" w:cs="Arial" w:eastAsia="Arial" w:hint="default"/>
                <w:sz w:val="18"/>
                <w:szCs w:val="18"/>
              </w:rPr>
            </w:pPr>
            <w:r>
              <w:rPr>
                <w:rFonts w:ascii="Arial"/>
                <w:spacing w:val="-1"/>
                <w:sz w:val="18"/>
              </w:rPr>
              <w:t>83.58</w:t>
            </w:r>
          </w:p>
        </w:tc>
      </w:tr>
      <w:tr>
        <w:trPr>
          <w:trHeight w:val="485" w:hRule="exact"/>
        </w:trPr>
        <w:tc>
          <w:tcPr>
            <w:tcW w:w="19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w:t>
            </w: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21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1,947,809.19</w:t>
            </w:r>
          </w:p>
        </w:tc>
        <w:tc>
          <w:tcPr>
            <w:tcW w:w="13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Arial" w:hAnsi="Arial" w:cs="Arial" w:eastAsia="Arial" w:hint="default"/>
                <w:sz w:val="18"/>
                <w:szCs w:val="18"/>
              </w:rPr>
            </w:pPr>
            <w:r>
              <w:rPr>
                <w:rFonts w:ascii="Arial"/>
                <w:w w:val="95"/>
                <w:sz w:val="18"/>
              </w:rPr>
              <w:t>0.64</w:t>
            </w:r>
            <w:r>
              <w:rPr>
                <w:rFonts w:ascii="Arial"/>
                <w:sz w:val="18"/>
              </w:rPr>
            </w:r>
          </w:p>
        </w:tc>
        <w:tc>
          <w:tcPr>
            <w:tcW w:w="20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912" w:right="0"/>
              <w:jc w:val="left"/>
              <w:rPr>
                <w:rFonts w:ascii="Arial" w:hAnsi="Arial" w:cs="Arial" w:eastAsia="Arial" w:hint="default"/>
                <w:sz w:val="18"/>
                <w:szCs w:val="18"/>
              </w:rPr>
            </w:pPr>
            <w:r>
              <w:rPr>
                <w:rFonts w:ascii="Arial"/>
                <w:sz w:val="18"/>
              </w:rPr>
              <w:t>6,937,349.01</w:t>
            </w:r>
          </w:p>
        </w:tc>
        <w:tc>
          <w:tcPr>
            <w:tcW w:w="12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6"/>
              <w:jc w:val="right"/>
              <w:rPr>
                <w:rFonts w:ascii="Arial" w:hAnsi="Arial" w:cs="Arial" w:eastAsia="Arial" w:hint="default"/>
                <w:sz w:val="18"/>
                <w:szCs w:val="18"/>
              </w:rPr>
            </w:pPr>
            <w:r>
              <w:rPr>
                <w:rFonts w:ascii="Arial"/>
                <w:spacing w:val="-1"/>
                <w:sz w:val="18"/>
              </w:rPr>
              <w:t>9.01</w:t>
            </w:r>
          </w:p>
        </w:tc>
      </w:tr>
      <w:tr>
        <w:trPr>
          <w:trHeight w:val="485" w:hRule="exact"/>
        </w:trPr>
        <w:tc>
          <w:tcPr>
            <w:tcW w:w="19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w:t>
            </w:r>
            <w:r>
              <w:rPr>
                <w:rFonts w:ascii="Arial" w:hAnsi="Arial" w:cs="Arial" w:eastAsia="Arial" w:hint="default"/>
                <w:sz w:val="18"/>
                <w:szCs w:val="18"/>
              </w:rPr>
              <w:t>3</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21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3,879,009.13</w:t>
            </w:r>
          </w:p>
        </w:tc>
        <w:tc>
          <w:tcPr>
            <w:tcW w:w="13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Arial" w:hAnsi="Arial" w:cs="Arial" w:eastAsia="Arial" w:hint="default"/>
                <w:sz w:val="18"/>
                <w:szCs w:val="18"/>
              </w:rPr>
            </w:pPr>
            <w:r>
              <w:rPr>
                <w:rFonts w:ascii="Arial"/>
                <w:w w:val="95"/>
                <w:sz w:val="18"/>
              </w:rPr>
              <w:t>1.28</w:t>
            </w:r>
            <w:r>
              <w:rPr>
                <w:rFonts w:ascii="Arial"/>
                <w:sz w:val="18"/>
              </w:rPr>
            </w:r>
          </w:p>
        </w:tc>
        <w:tc>
          <w:tcPr>
            <w:tcW w:w="20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912" w:right="0"/>
              <w:jc w:val="left"/>
              <w:rPr>
                <w:rFonts w:ascii="Arial" w:hAnsi="Arial" w:cs="Arial" w:eastAsia="Arial" w:hint="default"/>
                <w:sz w:val="18"/>
                <w:szCs w:val="18"/>
              </w:rPr>
            </w:pPr>
            <w:r>
              <w:rPr>
                <w:rFonts w:ascii="Arial"/>
                <w:sz w:val="18"/>
              </w:rPr>
              <w:t>4,414,599.68</w:t>
            </w:r>
          </w:p>
        </w:tc>
        <w:tc>
          <w:tcPr>
            <w:tcW w:w="12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6"/>
              <w:jc w:val="right"/>
              <w:rPr>
                <w:rFonts w:ascii="Arial" w:hAnsi="Arial" w:cs="Arial" w:eastAsia="Arial" w:hint="default"/>
                <w:sz w:val="18"/>
                <w:szCs w:val="18"/>
              </w:rPr>
            </w:pPr>
            <w:r>
              <w:rPr>
                <w:rFonts w:ascii="Arial"/>
                <w:spacing w:val="-1"/>
                <w:sz w:val="18"/>
              </w:rPr>
              <w:t>5.73</w:t>
            </w:r>
          </w:p>
        </w:tc>
      </w:tr>
      <w:tr>
        <w:trPr>
          <w:trHeight w:val="485" w:hRule="exact"/>
        </w:trPr>
        <w:tc>
          <w:tcPr>
            <w:tcW w:w="19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21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1,586,956.70</w:t>
            </w:r>
          </w:p>
        </w:tc>
        <w:tc>
          <w:tcPr>
            <w:tcW w:w="13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Arial" w:hAnsi="Arial" w:cs="Arial" w:eastAsia="Arial" w:hint="default"/>
                <w:sz w:val="18"/>
                <w:szCs w:val="18"/>
              </w:rPr>
            </w:pPr>
            <w:r>
              <w:rPr>
                <w:rFonts w:ascii="Arial"/>
                <w:w w:val="95"/>
                <w:sz w:val="18"/>
              </w:rPr>
              <w:t>0.52</w:t>
            </w:r>
            <w:r>
              <w:rPr>
                <w:rFonts w:ascii="Arial"/>
                <w:sz w:val="18"/>
              </w:rPr>
            </w:r>
          </w:p>
        </w:tc>
        <w:tc>
          <w:tcPr>
            <w:tcW w:w="20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912" w:right="0"/>
              <w:jc w:val="left"/>
              <w:rPr>
                <w:rFonts w:ascii="Arial" w:hAnsi="Arial" w:cs="Arial" w:eastAsia="Arial" w:hint="default"/>
                <w:sz w:val="18"/>
                <w:szCs w:val="18"/>
              </w:rPr>
            </w:pPr>
            <w:r>
              <w:rPr>
                <w:rFonts w:ascii="Arial"/>
                <w:sz w:val="18"/>
              </w:rPr>
              <w:t>1,291,222.20</w:t>
            </w:r>
          </w:p>
        </w:tc>
        <w:tc>
          <w:tcPr>
            <w:tcW w:w="12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6"/>
              <w:jc w:val="right"/>
              <w:rPr>
                <w:rFonts w:ascii="Arial" w:hAnsi="Arial" w:cs="Arial" w:eastAsia="Arial" w:hint="default"/>
                <w:sz w:val="18"/>
                <w:szCs w:val="18"/>
              </w:rPr>
            </w:pPr>
            <w:r>
              <w:rPr>
                <w:rFonts w:ascii="Arial"/>
                <w:spacing w:val="-1"/>
                <w:sz w:val="18"/>
              </w:rPr>
              <w:t>1.68</w:t>
            </w:r>
          </w:p>
        </w:tc>
      </w:tr>
      <w:tr>
        <w:trPr>
          <w:trHeight w:val="500" w:hRule="exact"/>
        </w:trPr>
        <w:tc>
          <w:tcPr>
            <w:tcW w:w="198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50"/>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303,970,028.12</w:t>
            </w:r>
          </w:p>
        </w:tc>
        <w:tc>
          <w:tcPr>
            <w:tcW w:w="13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100.00</w:t>
            </w:r>
          </w:p>
        </w:tc>
        <w:tc>
          <w:tcPr>
            <w:tcW w:w="20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811" w:right="0"/>
              <w:jc w:val="left"/>
              <w:rPr>
                <w:rFonts w:ascii="Arial" w:hAnsi="Arial" w:cs="Arial" w:eastAsia="Arial" w:hint="default"/>
                <w:sz w:val="18"/>
                <w:szCs w:val="18"/>
              </w:rPr>
            </w:pPr>
            <w:r>
              <w:rPr>
                <w:rFonts w:ascii="Arial"/>
                <w:sz w:val="18"/>
              </w:rPr>
              <w:t>76,977,767.49</w:t>
            </w:r>
          </w:p>
        </w:tc>
        <w:tc>
          <w:tcPr>
            <w:tcW w:w="124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4"/>
              <w:jc w:val="right"/>
              <w:rPr>
                <w:rFonts w:ascii="Arial" w:hAnsi="Arial" w:cs="Arial" w:eastAsia="Arial" w:hint="default"/>
                <w:sz w:val="18"/>
                <w:szCs w:val="18"/>
              </w:rPr>
            </w:pPr>
            <w:r>
              <w:rPr>
                <w:rFonts w:ascii="Arial"/>
                <w:spacing w:val="-1"/>
                <w:sz w:val="18"/>
              </w:rPr>
              <w:t>100.00</w:t>
            </w:r>
          </w:p>
        </w:tc>
      </w:tr>
    </w:tbl>
    <w:p>
      <w:pPr>
        <w:pStyle w:val="BodyText"/>
        <w:spacing w:line="240" w:lineRule="auto" w:before="62"/>
        <w:ind w:left="632" w:right="0"/>
        <w:jc w:val="left"/>
      </w:pPr>
      <w:r>
        <w:rPr/>
        <w:t>（</w:t>
      </w:r>
      <w:r>
        <w:rPr>
          <w:rFonts w:ascii="Arial" w:hAnsi="Arial" w:cs="Arial" w:eastAsia="Arial" w:hint="default"/>
        </w:rPr>
        <w:t>2</w:t>
      </w:r>
      <w:r>
        <w:rPr/>
        <w:t>）按预付对象归集的年末余额前五名的预付款情况</w:t>
      </w:r>
    </w:p>
    <w:p>
      <w:pPr>
        <w:spacing w:line="240" w:lineRule="auto" w:before="6"/>
        <w:rPr>
          <w:rFonts w:ascii="宋体" w:hAnsi="宋体" w:cs="宋体" w:eastAsia="宋体" w:hint="default"/>
          <w:sz w:val="2"/>
          <w:szCs w:val="2"/>
        </w:rPr>
      </w:pPr>
    </w:p>
    <w:tbl>
      <w:tblPr>
        <w:tblW w:w="0" w:type="auto"/>
        <w:jc w:val="left"/>
        <w:tblInd w:w="620" w:type="dxa"/>
        <w:tblLayout w:type="fixed"/>
        <w:tblCellMar>
          <w:top w:w="0" w:type="dxa"/>
          <w:left w:w="0" w:type="dxa"/>
          <w:bottom w:w="0" w:type="dxa"/>
          <w:right w:w="0" w:type="dxa"/>
        </w:tblCellMar>
        <w:tblLook w:val="01E0"/>
      </w:tblPr>
      <w:tblGrid>
        <w:gridCol w:w="3101"/>
        <w:gridCol w:w="1985"/>
        <w:gridCol w:w="1514"/>
        <w:gridCol w:w="2139"/>
      </w:tblGrid>
      <w:tr>
        <w:trPr>
          <w:trHeight w:val="898" w:hRule="exact"/>
        </w:trPr>
        <w:tc>
          <w:tcPr>
            <w:tcW w:w="310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8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628"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51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139" w:type="dxa"/>
            <w:tcBorders>
              <w:top w:val="single" w:sz="12" w:space="0" w:color="000000"/>
              <w:left w:val="single" w:sz="2" w:space="0" w:color="000000"/>
              <w:bottom w:val="single" w:sz="2" w:space="0" w:color="000000"/>
              <w:right w:val="nil" w:sz="6" w:space="0" w:color="auto"/>
            </w:tcBorders>
          </w:tcPr>
          <w:p>
            <w:pPr>
              <w:pStyle w:val="TableParagraph"/>
              <w:spacing w:line="398" w:lineRule="exact" w:before="44"/>
              <w:ind w:left="475" w:right="168" w:hanging="310"/>
              <w:jc w:val="left"/>
              <w:rPr>
                <w:rFonts w:ascii="Arial" w:hAnsi="Arial" w:cs="Arial" w:eastAsia="Arial" w:hint="default"/>
                <w:sz w:val="18"/>
                <w:szCs w:val="18"/>
              </w:rPr>
            </w:pPr>
            <w:r>
              <w:rPr>
                <w:rFonts w:ascii="宋体" w:hAnsi="宋体" w:cs="宋体" w:eastAsia="宋体" w:hint="default"/>
                <w:sz w:val="18"/>
                <w:szCs w:val="18"/>
              </w:rPr>
              <w:t>占预付款项年末余额合 计数的比例</w:t>
            </w:r>
            <w:r>
              <w:rPr>
                <w:rFonts w:ascii="Arial" w:hAnsi="Arial" w:cs="Arial" w:eastAsia="Arial" w:hint="default"/>
                <w:sz w:val="18"/>
                <w:szCs w:val="18"/>
              </w:rPr>
              <w:t>(%)</w:t>
            </w:r>
          </w:p>
        </w:tc>
      </w:tr>
      <w:tr>
        <w:trPr>
          <w:trHeight w:val="485" w:hRule="exact"/>
        </w:trPr>
        <w:tc>
          <w:tcPr>
            <w:tcW w:w="31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6"/>
              <w:jc w:val="right"/>
              <w:rPr>
                <w:rFonts w:ascii="Arial" w:hAnsi="Arial" w:cs="Arial" w:eastAsia="Arial" w:hint="default"/>
                <w:sz w:val="18"/>
                <w:szCs w:val="18"/>
              </w:rPr>
            </w:pPr>
            <w:r>
              <w:rPr>
                <w:rFonts w:ascii="Arial"/>
                <w:spacing w:val="-1"/>
                <w:sz w:val="18"/>
              </w:rPr>
              <w:t>66,829,859.00</w:t>
            </w:r>
          </w:p>
        </w:tc>
        <w:tc>
          <w:tcPr>
            <w:tcW w:w="15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2"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21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6"/>
              <w:jc w:val="right"/>
              <w:rPr>
                <w:rFonts w:ascii="Arial" w:hAnsi="Arial" w:cs="Arial" w:eastAsia="Arial" w:hint="default"/>
                <w:sz w:val="18"/>
                <w:szCs w:val="18"/>
              </w:rPr>
            </w:pPr>
            <w:r>
              <w:rPr>
                <w:rFonts w:ascii="Arial"/>
                <w:spacing w:val="-1"/>
                <w:sz w:val="18"/>
              </w:rPr>
              <w:t>21.99</w:t>
            </w:r>
          </w:p>
        </w:tc>
      </w:tr>
      <w:tr>
        <w:trPr>
          <w:trHeight w:val="487" w:hRule="exact"/>
        </w:trPr>
        <w:tc>
          <w:tcPr>
            <w:tcW w:w="31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2"/>
              <w:ind w:left="1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6"/>
              <w:jc w:val="right"/>
              <w:rPr>
                <w:rFonts w:ascii="Arial" w:hAnsi="Arial" w:cs="Arial" w:eastAsia="Arial" w:hint="default"/>
                <w:sz w:val="18"/>
                <w:szCs w:val="18"/>
              </w:rPr>
            </w:pPr>
            <w:r>
              <w:rPr>
                <w:rFonts w:ascii="Arial"/>
                <w:spacing w:val="-1"/>
                <w:sz w:val="18"/>
              </w:rPr>
              <w:t>61,304,755.00</w:t>
            </w:r>
          </w:p>
        </w:tc>
        <w:tc>
          <w:tcPr>
            <w:tcW w:w="15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2"/>
              <w:ind w:left="2"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21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6"/>
              <w:jc w:val="right"/>
              <w:rPr>
                <w:rFonts w:ascii="Arial" w:hAnsi="Arial" w:cs="Arial" w:eastAsia="Arial" w:hint="default"/>
                <w:sz w:val="18"/>
                <w:szCs w:val="18"/>
              </w:rPr>
            </w:pPr>
            <w:r>
              <w:rPr>
                <w:rFonts w:ascii="Arial"/>
                <w:spacing w:val="-1"/>
                <w:sz w:val="18"/>
              </w:rPr>
              <w:t>20.17</w:t>
            </w:r>
          </w:p>
        </w:tc>
      </w:tr>
      <w:tr>
        <w:trPr>
          <w:trHeight w:val="485" w:hRule="exact"/>
        </w:trPr>
        <w:tc>
          <w:tcPr>
            <w:tcW w:w="31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6"/>
              <w:jc w:val="right"/>
              <w:rPr>
                <w:rFonts w:ascii="Arial" w:hAnsi="Arial" w:cs="Arial" w:eastAsia="Arial" w:hint="default"/>
                <w:sz w:val="18"/>
                <w:szCs w:val="18"/>
              </w:rPr>
            </w:pPr>
            <w:r>
              <w:rPr>
                <w:rFonts w:ascii="Arial"/>
                <w:spacing w:val="-1"/>
                <w:sz w:val="18"/>
              </w:rPr>
              <w:t>28,567,200.00</w:t>
            </w:r>
          </w:p>
        </w:tc>
        <w:tc>
          <w:tcPr>
            <w:tcW w:w="15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2"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21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4"/>
              <w:jc w:val="right"/>
              <w:rPr>
                <w:rFonts w:ascii="Arial" w:hAnsi="Arial" w:cs="Arial" w:eastAsia="Arial" w:hint="default"/>
                <w:sz w:val="18"/>
                <w:szCs w:val="18"/>
              </w:rPr>
            </w:pPr>
            <w:r>
              <w:rPr>
                <w:rFonts w:ascii="Arial"/>
                <w:w w:val="95"/>
                <w:sz w:val="18"/>
              </w:rPr>
              <w:t>9.40</w:t>
            </w:r>
            <w:r>
              <w:rPr>
                <w:rFonts w:ascii="Arial"/>
                <w:sz w:val="18"/>
              </w:rPr>
            </w:r>
          </w:p>
        </w:tc>
      </w:tr>
      <w:tr>
        <w:trPr>
          <w:trHeight w:val="485" w:hRule="exact"/>
        </w:trPr>
        <w:tc>
          <w:tcPr>
            <w:tcW w:w="31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0"/>
              <w:ind w:left="1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6"/>
              <w:jc w:val="right"/>
              <w:rPr>
                <w:rFonts w:ascii="Arial" w:hAnsi="Arial" w:cs="Arial" w:eastAsia="Arial" w:hint="default"/>
                <w:sz w:val="18"/>
                <w:szCs w:val="18"/>
              </w:rPr>
            </w:pPr>
            <w:r>
              <w:rPr>
                <w:rFonts w:ascii="Arial"/>
                <w:spacing w:val="-1"/>
                <w:sz w:val="18"/>
              </w:rPr>
              <w:t>19,691,255.00</w:t>
            </w:r>
          </w:p>
        </w:tc>
        <w:tc>
          <w:tcPr>
            <w:tcW w:w="15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left="2"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21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4"/>
              <w:jc w:val="right"/>
              <w:rPr>
                <w:rFonts w:ascii="Arial" w:hAnsi="Arial" w:cs="Arial" w:eastAsia="Arial" w:hint="default"/>
                <w:sz w:val="18"/>
                <w:szCs w:val="18"/>
              </w:rPr>
            </w:pPr>
            <w:r>
              <w:rPr>
                <w:rFonts w:ascii="Arial"/>
                <w:w w:val="95"/>
                <w:sz w:val="18"/>
              </w:rPr>
              <w:t>6.47</w:t>
            </w:r>
            <w:r>
              <w:rPr>
                <w:rFonts w:ascii="Arial"/>
                <w:sz w:val="18"/>
              </w:rPr>
            </w:r>
          </w:p>
        </w:tc>
      </w:tr>
      <w:tr>
        <w:trPr>
          <w:trHeight w:val="497" w:hRule="exact"/>
        </w:trPr>
        <w:tc>
          <w:tcPr>
            <w:tcW w:w="310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6"/>
              <w:jc w:val="right"/>
              <w:rPr>
                <w:rFonts w:ascii="Arial" w:hAnsi="Arial" w:cs="Arial" w:eastAsia="Arial" w:hint="default"/>
                <w:sz w:val="18"/>
                <w:szCs w:val="18"/>
              </w:rPr>
            </w:pPr>
            <w:r>
              <w:rPr>
                <w:rFonts w:ascii="Arial"/>
                <w:spacing w:val="-1"/>
                <w:sz w:val="18"/>
              </w:rPr>
              <w:t>13,599,200.00</w:t>
            </w:r>
          </w:p>
        </w:tc>
        <w:tc>
          <w:tcPr>
            <w:tcW w:w="15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9"/>
              <w:ind w:left="2"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213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4"/>
              <w:jc w:val="right"/>
              <w:rPr>
                <w:rFonts w:ascii="Arial" w:hAnsi="Arial" w:cs="Arial" w:eastAsia="Arial" w:hint="default"/>
                <w:sz w:val="18"/>
                <w:szCs w:val="18"/>
              </w:rPr>
            </w:pPr>
            <w:r>
              <w:rPr>
                <w:rFonts w:ascii="Arial"/>
                <w:w w:val="95"/>
                <w:sz w:val="18"/>
              </w:rPr>
              <w:t>4.47</w:t>
            </w:r>
            <w:r>
              <w:rPr>
                <w:rFonts w:ascii="Arial"/>
                <w:sz w:val="18"/>
              </w:rPr>
            </w:r>
          </w:p>
        </w:tc>
      </w:tr>
    </w:tbl>
    <w:p>
      <w:pPr>
        <w:spacing w:after="0" w:line="240" w:lineRule="auto"/>
        <w:jc w:val="right"/>
        <w:rPr>
          <w:rFonts w:ascii="Arial" w:hAnsi="Arial" w:cs="Arial" w:eastAsia="Arial" w:hint="default"/>
          <w:sz w:val="18"/>
          <w:szCs w:val="18"/>
        </w:rPr>
        <w:sectPr>
          <w:pgSz w:w="11910" w:h="16840"/>
          <w:pgMar w:header="745" w:footer="979" w:top="1060" w:bottom="1160" w:left="940" w:right="0"/>
        </w:sectPr>
      </w:pPr>
    </w:p>
    <w:p>
      <w:pPr>
        <w:spacing w:line="240" w:lineRule="auto" w:before="6"/>
        <w:rPr>
          <w:rFonts w:ascii="宋体" w:hAnsi="宋体" w:cs="宋体" w:eastAsia="宋体" w:hint="default"/>
          <w:sz w:val="28"/>
          <w:szCs w:val="28"/>
        </w:rPr>
      </w:pPr>
    </w:p>
    <w:tbl>
      <w:tblPr>
        <w:tblW w:w="0" w:type="auto"/>
        <w:jc w:val="left"/>
        <w:tblInd w:w="580" w:type="dxa"/>
        <w:tblLayout w:type="fixed"/>
        <w:tblCellMar>
          <w:top w:w="0" w:type="dxa"/>
          <w:left w:w="0" w:type="dxa"/>
          <w:bottom w:w="0" w:type="dxa"/>
          <w:right w:w="0" w:type="dxa"/>
        </w:tblCellMar>
        <w:tblLook w:val="01E0"/>
      </w:tblPr>
      <w:tblGrid>
        <w:gridCol w:w="3101"/>
        <w:gridCol w:w="1985"/>
        <w:gridCol w:w="1514"/>
        <w:gridCol w:w="2139"/>
      </w:tblGrid>
      <w:tr>
        <w:trPr>
          <w:trHeight w:val="898" w:hRule="exact"/>
        </w:trPr>
        <w:tc>
          <w:tcPr>
            <w:tcW w:w="310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8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628"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51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139" w:type="dxa"/>
            <w:tcBorders>
              <w:top w:val="single" w:sz="12" w:space="0" w:color="000000"/>
              <w:left w:val="single" w:sz="2" w:space="0" w:color="000000"/>
              <w:bottom w:val="single" w:sz="2" w:space="0" w:color="000000"/>
              <w:right w:val="nil" w:sz="6" w:space="0" w:color="auto"/>
            </w:tcBorders>
          </w:tcPr>
          <w:p>
            <w:pPr>
              <w:pStyle w:val="TableParagraph"/>
              <w:spacing w:line="398" w:lineRule="exact" w:before="44"/>
              <w:ind w:left="475" w:right="168" w:hanging="310"/>
              <w:jc w:val="left"/>
              <w:rPr>
                <w:rFonts w:ascii="Arial" w:hAnsi="Arial" w:cs="Arial" w:eastAsia="Arial" w:hint="default"/>
                <w:sz w:val="18"/>
                <w:szCs w:val="18"/>
              </w:rPr>
            </w:pPr>
            <w:r>
              <w:rPr>
                <w:rFonts w:ascii="宋体" w:hAnsi="宋体" w:cs="宋体" w:eastAsia="宋体" w:hint="default"/>
                <w:sz w:val="18"/>
                <w:szCs w:val="18"/>
              </w:rPr>
              <w:t>占预付款项年末余额合 计数的比例</w:t>
            </w:r>
            <w:r>
              <w:rPr>
                <w:rFonts w:ascii="Arial" w:hAnsi="Arial" w:cs="Arial" w:eastAsia="Arial" w:hint="default"/>
                <w:sz w:val="18"/>
                <w:szCs w:val="18"/>
              </w:rPr>
              <w:t>(%)</w:t>
            </w:r>
          </w:p>
        </w:tc>
      </w:tr>
      <w:tr>
        <w:trPr>
          <w:trHeight w:val="499" w:hRule="exact"/>
        </w:trPr>
        <w:tc>
          <w:tcPr>
            <w:tcW w:w="310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623" w:right="0"/>
              <w:jc w:val="left"/>
              <w:rPr>
                <w:rFonts w:ascii="Arial" w:hAnsi="Arial" w:cs="Arial" w:eastAsia="Arial" w:hint="default"/>
                <w:sz w:val="18"/>
                <w:szCs w:val="18"/>
              </w:rPr>
            </w:pPr>
            <w:r>
              <w:rPr>
                <w:rFonts w:ascii="Arial"/>
                <w:sz w:val="18"/>
              </w:rPr>
              <w:t>189,992,269.00</w:t>
            </w:r>
          </w:p>
        </w:tc>
        <w:tc>
          <w:tcPr>
            <w:tcW w:w="15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18"/>
                <w:szCs w:val="18"/>
              </w:rPr>
            </w:pPr>
            <w:r>
              <w:rPr>
                <w:rFonts w:ascii="Arial" w:hAnsi="Arial" w:cs="Arial" w:eastAsia="Arial" w:hint="default"/>
                <w:sz w:val="18"/>
                <w:szCs w:val="18"/>
              </w:rPr>
              <w:t>—</w:t>
            </w:r>
          </w:p>
        </w:tc>
        <w:tc>
          <w:tcPr>
            <w:tcW w:w="213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4"/>
              <w:jc w:val="right"/>
              <w:rPr>
                <w:rFonts w:ascii="Arial" w:hAnsi="Arial" w:cs="Arial" w:eastAsia="Arial" w:hint="default"/>
                <w:sz w:val="18"/>
                <w:szCs w:val="18"/>
              </w:rPr>
            </w:pPr>
            <w:r>
              <w:rPr>
                <w:rFonts w:ascii="Arial"/>
                <w:sz w:val="18"/>
              </w:rPr>
              <w:t>62.50</w:t>
            </w:r>
          </w:p>
        </w:tc>
      </w:tr>
    </w:tbl>
    <w:p>
      <w:pPr>
        <w:pStyle w:val="Heading4"/>
        <w:spacing w:line="240" w:lineRule="auto"/>
        <w:ind w:right="1133"/>
        <w:jc w:val="left"/>
        <w:rPr>
          <w:b w:val="0"/>
          <w:bCs w:val="0"/>
        </w:rPr>
      </w:pPr>
      <w:r>
        <w:rPr>
          <w:rFonts w:ascii="Arial" w:hAnsi="Arial" w:cs="Arial" w:eastAsia="Arial" w:hint="default"/>
        </w:rPr>
        <w:t>5</w:t>
      </w:r>
      <w:r>
        <w:rPr/>
        <w:t>、</w:t>
      </w:r>
      <w:r>
        <w:rPr>
          <w:spacing w:val="-58"/>
        </w:rPr>
        <w:t> </w:t>
      </w:r>
      <w:r>
        <w:rPr/>
        <w:t>其他应收款</w:t>
      </w:r>
      <w:r>
        <w:rPr>
          <w:b w:val="0"/>
          <w:bCs w:val="0"/>
        </w:rPr>
      </w:r>
    </w:p>
    <w:p>
      <w:pPr>
        <w:spacing w:line="240" w:lineRule="auto" w:before="6"/>
        <w:rPr>
          <w:rFonts w:ascii="宋体" w:hAnsi="宋体" w:cs="宋体" w:eastAsia="宋体" w:hint="default"/>
          <w:b/>
          <w:bCs/>
          <w:sz w:val="2"/>
          <w:szCs w:val="2"/>
        </w:rPr>
      </w:pPr>
    </w:p>
    <w:tbl>
      <w:tblPr>
        <w:tblW w:w="0" w:type="auto"/>
        <w:jc w:val="left"/>
        <w:tblInd w:w="580" w:type="dxa"/>
        <w:tblLayout w:type="fixed"/>
        <w:tblCellMar>
          <w:top w:w="0" w:type="dxa"/>
          <w:left w:w="0" w:type="dxa"/>
          <w:bottom w:w="0" w:type="dxa"/>
          <w:right w:w="0" w:type="dxa"/>
        </w:tblCellMar>
        <w:tblLook w:val="01E0"/>
      </w:tblPr>
      <w:tblGrid>
        <w:gridCol w:w="3457"/>
        <w:gridCol w:w="2640"/>
        <w:gridCol w:w="2643"/>
      </w:tblGrid>
      <w:tr>
        <w:trPr>
          <w:trHeight w:val="499" w:hRule="exact"/>
        </w:trPr>
        <w:tc>
          <w:tcPr>
            <w:tcW w:w="345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2"/>
              <w:ind w:right="1538"/>
              <w:jc w:val="right"/>
              <w:rPr>
                <w:rFonts w:ascii="宋体" w:hAnsi="宋体" w:cs="宋体" w:eastAsia="宋体" w:hint="default"/>
                <w:sz w:val="18"/>
                <w:szCs w:val="18"/>
              </w:rPr>
            </w:pPr>
            <w:r>
              <w:rPr>
                <w:rFonts w:ascii="宋体" w:hAnsi="宋体" w:cs="宋体" w:eastAsia="宋体" w:hint="default"/>
                <w:sz w:val="18"/>
                <w:szCs w:val="18"/>
              </w:rPr>
              <w:t>项目</w:t>
            </w:r>
          </w:p>
        </w:tc>
        <w:tc>
          <w:tcPr>
            <w:tcW w:w="26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64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85" w:hRule="exact"/>
        </w:trPr>
        <w:tc>
          <w:tcPr>
            <w:tcW w:w="34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6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6,251,381.06</w:t>
            </w:r>
          </w:p>
        </w:tc>
        <w:tc>
          <w:tcPr>
            <w:tcW w:w="2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3"/>
                <w:sz w:val="18"/>
              </w:rPr>
              <w:t>5,114,011.82</w:t>
            </w:r>
          </w:p>
        </w:tc>
      </w:tr>
      <w:tr>
        <w:trPr>
          <w:trHeight w:val="485" w:hRule="exact"/>
        </w:trPr>
        <w:tc>
          <w:tcPr>
            <w:tcW w:w="34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6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46,861,887.99</w:t>
            </w:r>
          </w:p>
        </w:tc>
        <w:tc>
          <w:tcPr>
            <w:tcW w:w="2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28,864,573.74</w:t>
            </w:r>
          </w:p>
        </w:tc>
      </w:tr>
      <w:tr>
        <w:trPr>
          <w:trHeight w:val="500" w:hRule="exact"/>
        </w:trPr>
        <w:tc>
          <w:tcPr>
            <w:tcW w:w="345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50"/>
              <w:ind w:right="1538"/>
              <w:jc w:val="right"/>
              <w:rPr>
                <w:rFonts w:ascii="宋体" w:hAnsi="宋体" w:cs="宋体" w:eastAsia="宋体" w:hint="default"/>
                <w:sz w:val="18"/>
                <w:szCs w:val="18"/>
              </w:rPr>
            </w:pPr>
            <w:r>
              <w:rPr>
                <w:rFonts w:ascii="宋体" w:hAnsi="宋体" w:cs="宋体" w:eastAsia="宋体" w:hint="default"/>
                <w:sz w:val="18"/>
                <w:szCs w:val="18"/>
              </w:rPr>
              <w:t>合计</w:t>
            </w:r>
          </w:p>
        </w:tc>
        <w:tc>
          <w:tcPr>
            <w:tcW w:w="26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2"/>
                <w:sz w:val="18"/>
              </w:rPr>
              <w:t>53,113,269.05</w:t>
            </w:r>
          </w:p>
        </w:tc>
        <w:tc>
          <w:tcPr>
            <w:tcW w:w="264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33,978,585.56</w:t>
            </w:r>
          </w:p>
        </w:tc>
      </w:tr>
    </w:tbl>
    <w:p>
      <w:pPr>
        <w:pStyle w:val="BodyText"/>
        <w:spacing w:line="240" w:lineRule="auto" w:before="62"/>
        <w:ind w:left="592" w:right="1133"/>
        <w:jc w:val="left"/>
      </w:pPr>
      <w:r>
        <w:rPr/>
        <w:t>（</w:t>
      </w:r>
      <w:r>
        <w:rPr>
          <w:rFonts w:ascii="Arial" w:hAnsi="Arial" w:cs="Arial" w:eastAsia="Arial" w:hint="default"/>
        </w:rPr>
        <w:t>1</w:t>
      </w:r>
      <w:r>
        <w:rPr/>
        <w:t>）应收利息</w:t>
      </w:r>
    </w:p>
    <w:p>
      <w:pPr>
        <w:spacing w:line="240" w:lineRule="auto" w:before="6"/>
        <w:rPr>
          <w:rFonts w:ascii="宋体" w:hAnsi="宋体" w:cs="宋体" w:eastAsia="宋体" w:hint="default"/>
          <w:sz w:val="2"/>
          <w:szCs w:val="2"/>
        </w:rPr>
      </w:pPr>
    </w:p>
    <w:tbl>
      <w:tblPr>
        <w:tblW w:w="0" w:type="auto"/>
        <w:jc w:val="left"/>
        <w:tblInd w:w="580" w:type="dxa"/>
        <w:tblLayout w:type="fixed"/>
        <w:tblCellMar>
          <w:top w:w="0" w:type="dxa"/>
          <w:left w:w="0" w:type="dxa"/>
          <w:bottom w:w="0" w:type="dxa"/>
          <w:right w:w="0" w:type="dxa"/>
        </w:tblCellMar>
        <w:tblLook w:val="01E0"/>
      </w:tblPr>
      <w:tblGrid>
        <w:gridCol w:w="3437"/>
        <w:gridCol w:w="2650"/>
        <w:gridCol w:w="2652"/>
      </w:tblGrid>
      <w:tr>
        <w:trPr>
          <w:trHeight w:val="499" w:hRule="exact"/>
        </w:trPr>
        <w:tc>
          <w:tcPr>
            <w:tcW w:w="343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2"/>
              <w:ind w:right="1527"/>
              <w:jc w:val="right"/>
              <w:rPr>
                <w:rFonts w:ascii="宋体" w:hAnsi="宋体" w:cs="宋体" w:eastAsia="宋体" w:hint="default"/>
                <w:sz w:val="18"/>
                <w:szCs w:val="18"/>
              </w:rPr>
            </w:pPr>
            <w:r>
              <w:rPr>
                <w:rFonts w:ascii="宋体" w:hAnsi="宋体" w:cs="宋体" w:eastAsia="宋体" w:hint="default"/>
                <w:sz w:val="18"/>
                <w:szCs w:val="18"/>
              </w:rPr>
              <w:t>项目</w:t>
            </w:r>
          </w:p>
        </w:tc>
        <w:tc>
          <w:tcPr>
            <w:tcW w:w="265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65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85" w:hRule="exact"/>
        </w:trPr>
        <w:tc>
          <w:tcPr>
            <w:tcW w:w="34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26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6,251,381.06</w:t>
            </w:r>
          </w:p>
        </w:tc>
        <w:tc>
          <w:tcPr>
            <w:tcW w:w="26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3"/>
                <w:sz w:val="18"/>
              </w:rPr>
              <w:t>5,114,011.82</w:t>
            </w:r>
          </w:p>
        </w:tc>
      </w:tr>
      <w:tr>
        <w:trPr>
          <w:trHeight w:val="499" w:hRule="exact"/>
        </w:trPr>
        <w:tc>
          <w:tcPr>
            <w:tcW w:w="343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right="1527"/>
              <w:jc w:val="right"/>
              <w:rPr>
                <w:rFonts w:ascii="宋体" w:hAnsi="宋体" w:cs="宋体" w:eastAsia="宋体" w:hint="default"/>
                <w:sz w:val="18"/>
                <w:szCs w:val="18"/>
              </w:rPr>
            </w:pPr>
            <w:r>
              <w:rPr>
                <w:rFonts w:ascii="宋体" w:hAnsi="宋体" w:cs="宋体" w:eastAsia="宋体" w:hint="default"/>
                <w:sz w:val="18"/>
                <w:szCs w:val="18"/>
              </w:rPr>
              <w:t>合计</w:t>
            </w:r>
          </w:p>
        </w:tc>
        <w:tc>
          <w:tcPr>
            <w:tcW w:w="26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6,251,381.06</w:t>
            </w:r>
          </w:p>
        </w:tc>
        <w:tc>
          <w:tcPr>
            <w:tcW w:w="265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3"/>
                <w:sz w:val="18"/>
              </w:rPr>
              <w:t>5,114,011.82</w:t>
            </w:r>
          </w:p>
        </w:tc>
      </w:tr>
    </w:tbl>
    <w:p>
      <w:pPr>
        <w:pStyle w:val="BodyText"/>
        <w:spacing w:line="240" w:lineRule="auto" w:before="62"/>
        <w:ind w:left="592" w:right="1133"/>
        <w:jc w:val="left"/>
      </w:pPr>
      <w:r>
        <w:rPr/>
        <w:t>（</w:t>
      </w:r>
      <w:r>
        <w:rPr>
          <w:rFonts w:ascii="Arial" w:hAnsi="Arial" w:cs="Arial" w:eastAsia="Arial" w:hint="default"/>
        </w:rPr>
        <w:t>2</w:t>
      </w:r>
      <w:r>
        <w:rPr/>
        <w:t>）其他应收款</w:t>
      </w:r>
    </w:p>
    <w:p>
      <w:pPr>
        <w:pStyle w:val="BodyText"/>
        <w:spacing w:line="240" w:lineRule="auto" w:before="95"/>
        <w:ind w:left="592" w:right="1133"/>
        <w:jc w:val="left"/>
      </w:pPr>
      <w:r>
        <w:rPr/>
        <w:t>①其他应收款按款项性质分类</w:t>
      </w:r>
    </w:p>
    <w:p>
      <w:pPr>
        <w:spacing w:line="240" w:lineRule="auto" w:before="11"/>
        <w:rPr>
          <w:rFonts w:ascii="宋体" w:hAnsi="宋体" w:cs="宋体" w:eastAsia="宋体" w:hint="default"/>
          <w:sz w:val="3"/>
          <w:szCs w:val="3"/>
        </w:rPr>
      </w:pPr>
    </w:p>
    <w:tbl>
      <w:tblPr>
        <w:tblW w:w="0" w:type="auto"/>
        <w:jc w:val="left"/>
        <w:tblInd w:w="580" w:type="dxa"/>
        <w:tblLayout w:type="fixed"/>
        <w:tblCellMar>
          <w:top w:w="0" w:type="dxa"/>
          <w:left w:w="0" w:type="dxa"/>
          <w:bottom w:w="0" w:type="dxa"/>
          <w:right w:w="0" w:type="dxa"/>
        </w:tblCellMar>
        <w:tblLook w:val="01E0"/>
      </w:tblPr>
      <w:tblGrid>
        <w:gridCol w:w="3437"/>
        <w:gridCol w:w="2650"/>
        <w:gridCol w:w="2652"/>
      </w:tblGrid>
      <w:tr>
        <w:trPr>
          <w:trHeight w:val="497" w:hRule="exact"/>
        </w:trPr>
        <w:tc>
          <w:tcPr>
            <w:tcW w:w="343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0"/>
              <w:ind w:left="16"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265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0"/>
              <w:ind w:left="782"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265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0"/>
              <w:ind w:left="784" w:right="0"/>
              <w:jc w:val="left"/>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485" w:hRule="exact"/>
        </w:trPr>
        <w:tc>
          <w:tcPr>
            <w:tcW w:w="34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26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47,882,872.30</w:t>
            </w:r>
          </w:p>
        </w:tc>
        <w:tc>
          <w:tcPr>
            <w:tcW w:w="26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28,005,357.23</w:t>
            </w:r>
          </w:p>
        </w:tc>
      </w:tr>
      <w:tr>
        <w:trPr>
          <w:trHeight w:val="487" w:hRule="exact"/>
        </w:trPr>
        <w:tc>
          <w:tcPr>
            <w:tcW w:w="34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2"/>
              <w:ind w:left="124" w:right="0"/>
              <w:jc w:val="left"/>
              <w:rPr>
                <w:rFonts w:ascii="宋体" w:hAnsi="宋体" w:cs="宋体" w:eastAsia="宋体" w:hint="default"/>
                <w:sz w:val="18"/>
                <w:szCs w:val="18"/>
              </w:rPr>
            </w:pPr>
            <w:r>
              <w:rPr>
                <w:rFonts w:ascii="宋体" w:hAnsi="宋体" w:cs="宋体" w:eastAsia="宋体" w:hint="default"/>
                <w:sz w:val="18"/>
                <w:szCs w:val="18"/>
              </w:rPr>
              <w:t>员工借支</w:t>
            </w:r>
          </w:p>
        </w:tc>
        <w:tc>
          <w:tcPr>
            <w:tcW w:w="26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1,312,255.54</w:t>
            </w:r>
          </w:p>
        </w:tc>
        <w:tc>
          <w:tcPr>
            <w:tcW w:w="26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4"/>
              <w:jc w:val="right"/>
              <w:rPr>
                <w:rFonts w:ascii="Arial" w:hAnsi="Arial" w:cs="Arial" w:eastAsia="Arial" w:hint="default"/>
                <w:sz w:val="18"/>
                <w:szCs w:val="18"/>
              </w:rPr>
            </w:pPr>
            <w:r>
              <w:rPr>
                <w:rFonts w:ascii="Arial"/>
                <w:spacing w:val="-1"/>
                <w:sz w:val="18"/>
              </w:rPr>
              <w:t>2,849,869.71</w:t>
            </w:r>
          </w:p>
        </w:tc>
      </w:tr>
      <w:tr>
        <w:trPr>
          <w:trHeight w:val="485" w:hRule="exact"/>
        </w:trPr>
        <w:tc>
          <w:tcPr>
            <w:tcW w:w="34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440,173.25</w:t>
            </w:r>
          </w:p>
        </w:tc>
        <w:tc>
          <w:tcPr>
            <w:tcW w:w="26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2"/>
                <w:sz w:val="18"/>
              </w:rPr>
              <w:t>651,511.56</w:t>
            </w:r>
          </w:p>
        </w:tc>
      </w:tr>
      <w:tr>
        <w:trPr>
          <w:trHeight w:val="497" w:hRule="exact"/>
        </w:trPr>
        <w:tc>
          <w:tcPr>
            <w:tcW w:w="343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49,635,301.09</w:t>
            </w:r>
          </w:p>
        </w:tc>
        <w:tc>
          <w:tcPr>
            <w:tcW w:w="265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31,506,738.50</w:t>
            </w:r>
          </w:p>
        </w:tc>
      </w:tr>
    </w:tbl>
    <w:p>
      <w:pPr>
        <w:pStyle w:val="BodyText"/>
        <w:spacing w:line="240" w:lineRule="auto" w:before="62"/>
        <w:ind w:left="592" w:right="1133"/>
        <w:jc w:val="left"/>
      </w:pPr>
      <w:r>
        <w:rPr/>
        <w:t>②其他应收款按坏账计提方法分类</w:t>
      </w:r>
    </w:p>
    <w:p>
      <w:pPr>
        <w:spacing w:line="240" w:lineRule="auto" w:before="11"/>
        <w:rPr>
          <w:rFonts w:ascii="宋体" w:hAnsi="宋体" w:cs="宋体" w:eastAsia="宋体" w:hint="default"/>
          <w:sz w:val="3"/>
          <w:szCs w:val="3"/>
        </w:rPr>
      </w:pPr>
    </w:p>
    <w:tbl>
      <w:tblPr>
        <w:tblW w:w="0" w:type="auto"/>
        <w:jc w:val="left"/>
        <w:tblInd w:w="542" w:type="dxa"/>
        <w:tblLayout w:type="fixed"/>
        <w:tblCellMar>
          <w:top w:w="0" w:type="dxa"/>
          <w:left w:w="0" w:type="dxa"/>
          <w:bottom w:w="0" w:type="dxa"/>
          <w:right w:w="0" w:type="dxa"/>
        </w:tblCellMar>
        <w:tblLook w:val="01E0"/>
      </w:tblPr>
      <w:tblGrid>
        <w:gridCol w:w="2030"/>
        <w:gridCol w:w="1529"/>
        <w:gridCol w:w="948"/>
        <w:gridCol w:w="1536"/>
        <w:gridCol w:w="1225"/>
        <w:gridCol w:w="1550"/>
      </w:tblGrid>
      <w:tr>
        <w:trPr>
          <w:trHeight w:val="497" w:hRule="exact"/>
        </w:trPr>
        <w:tc>
          <w:tcPr>
            <w:tcW w:w="2030"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789" w:type="dxa"/>
            <w:gridSpan w:val="5"/>
            <w:tcBorders>
              <w:top w:val="single" w:sz="12" w:space="0" w:color="000000"/>
              <w:left w:val="single" w:sz="2" w:space="0" w:color="000000"/>
              <w:bottom w:val="single" w:sz="2" w:space="0" w:color="000000"/>
              <w:right w:val="nil" w:sz="6" w:space="0" w:color="auto"/>
            </w:tcBorders>
          </w:tcPr>
          <w:p>
            <w:pPr>
              <w:pStyle w:val="TableParagraph"/>
              <w:spacing w:line="240" w:lineRule="auto" w:before="149"/>
              <w:ind w:left="2" w:right="0"/>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485" w:hRule="exact"/>
        </w:trPr>
        <w:tc>
          <w:tcPr>
            <w:tcW w:w="2030" w:type="dxa"/>
            <w:vMerge/>
            <w:tcBorders>
              <w:left w:val="nil" w:sz="6" w:space="0" w:color="auto"/>
              <w:right w:val="single" w:sz="2" w:space="0" w:color="000000"/>
            </w:tcBorders>
          </w:tcPr>
          <w:p>
            <w:pPr/>
          </w:p>
        </w:tc>
        <w:tc>
          <w:tcPr>
            <w:tcW w:w="2477"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5"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61" w:type="dxa"/>
            <w:gridSpan w:val="2"/>
            <w:tcBorders>
              <w:top w:val="single" w:sz="2" w:space="0" w:color="000000"/>
              <w:left w:val="single" w:sz="2" w:space="0" w:color="000000"/>
              <w:bottom w:val="single" w:sz="2" w:space="0" w:color="000000"/>
              <w:right w:val="single" w:sz="3" w:space="0" w:color="000000"/>
            </w:tcBorders>
          </w:tcPr>
          <w:p>
            <w:pPr>
              <w:pStyle w:val="TableParagraph"/>
              <w:spacing w:line="240" w:lineRule="auto" w:before="149"/>
              <w:ind w:left="5"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550" w:type="dxa"/>
            <w:tcBorders>
              <w:top w:val="single" w:sz="2" w:space="0" w:color="000000"/>
              <w:left w:val="single" w:sz="3" w:space="0" w:color="000000"/>
              <w:bottom w:val="single" w:sz="2" w:space="0" w:color="000000"/>
              <w:right w:val="nil" w:sz="6" w:space="0" w:color="auto"/>
            </w:tcBorders>
          </w:tcPr>
          <w:p>
            <w:pPr>
              <w:pStyle w:val="TableParagraph"/>
              <w:spacing w:line="240" w:lineRule="auto" w:before="149"/>
              <w:ind w:left="40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87" w:hRule="exact"/>
        </w:trPr>
        <w:tc>
          <w:tcPr>
            <w:tcW w:w="2030" w:type="dxa"/>
            <w:vMerge/>
            <w:tcBorders>
              <w:left w:val="nil" w:sz="6" w:space="0" w:color="auto"/>
              <w:bottom w:val="single" w:sz="2" w:space="0" w:color="000000"/>
              <w:right w:val="single" w:sz="2" w:space="0" w:color="000000"/>
            </w:tcBorders>
          </w:tcPr>
          <w:p>
            <w:pPr/>
          </w:p>
        </w:tc>
        <w:tc>
          <w:tcPr>
            <w:tcW w:w="15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2"/>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2"/>
              <w:ind w:right="146"/>
              <w:jc w:val="right"/>
              <w:rPr>
                <w:rFonts w:ascii="Arial" w:hAnsi="Arial" w:cs="Arial" w:eastAsia="Arial" w:hint="default"/>
                <w:sz w:val="18"/>
                <w:szCs w:val="18"/>
              </w:rPr>
            </w:pPr>
            <w:r>
              <w:rPr>
                <w:rFonts w:ascii="宋体" w:hAnsi="宋体" w:cs="宋体" w:eastAsia="宋体" w:hint="default"/>
                <w:w w:val="95"/>
                <w:sz w:val="18"/>
                <w:szCs w:val="18"/>
              </w:rPr>
              <w:t>比例</w:t>
            </w:r>
            <w:r>
              <w:rPr>
                <w:rFonts w:ascii="Arial" w:hAnsi="Arial" w:cs="Arial" w:eastAsia="Arial" w:hint="default"/>
                <w:w w:val="95"/>
                <w:sz w:val="18"/>
                <w:szCs w:val="18"/>
              </w:rPr>
              <w:t>(%)</w:t>
            </w:r>
            <w:r>
              <w:rPr>
                <w:rFonts w:ascii="Arial" w:hAnsi="Arial" w:cs="Arial" w:eastAsia="Arial" w:hint="default"/>
                <w:sz w:val="18"/>
                <w:szCs w:val="18"/>
              </w:rPr>
            </w:r>
          </w:p>
        </w:tc>
        <w:tc>
          <w:tcPr>
            <w:tcW w:w="15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2"/>
              <w:ind w:left="98" w:right="0"/>
              <w:jc w:val="left"/>
              <w:rPr>
                <w:rFonts w:ascii="Arial" w:hAnsi="Arial" w:cs="Arial" w:eastAsia="Arial" w:hint="default"/>
                <w:sz w:val="18"/>
                <w:szCs w:val="18"/>
              </w:rPr>
            </w:pPr>
            <w:r>
              <w:rPr>
                <w:rFonts w:ascii="宋体" w:hAnsi="宋体" w:cs="宋体" w:eastAsia="宋体" w:hint="default"/>
                <w:sz w:val="18"/>
                <w:szCs w:val="18"/>
              </w:rPr>
              <w:t>计提比例</w:t>
            </w:r>
            <w:r>
              <w:rPr>
                <w:rFonts w:ascii="Arial" w:hAnsi="Arial" w:cs="Arial" w:eastAsia="Arial" w:hint="default"/>
                <w:sz w:val="18"/>
                <w:szCs w:val="18"/>
              </w:rPr>
              <w:t>(%)</w:t>
            </w:r>
          </w:p>
        </w:tc>
        <w:tc>
          <w:tcPr>
            <w:tcW w:w="1550"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2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按单项计提坏账准备</w:t>
            </w:r>
          </w:p>
        </w:tc>
        <w:tc>
          <w:tcPr>
            <w:tcW w:w="15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26,217,553.27</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w w:val="95"/>
                <w:sz w:val="18"/>
              </w:rPr>
              <w:t>52.82</w:t>
            </w:r>
            <w:r>
              <w:rPr>
                <w:rFonts w:ascii="Arial"/>
                <w:sz w:val="18"/>
              </w:rPr>
            </w:r>
          </w:p>
        </w:tc>
        <w:tc>
          <w:tcPr>
            <w:tcW w:w="15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754,978.65</w:t>
            </w:r>
          </w:p>
        </w:tc>
        <w:tc>
          <w:tcPr>
            <w:tcW w:w="12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w w:val="95"/>
                <w:sz w:val="18"/>
              </w:rPr>
              <w:t>2.88</w:t>
            </w:r>
            <w:r>
              <w:rPr>
                <w:rFonts w:ascii="Arial"/>
                <w:sz w:val="18"/>
              </w:rPr>
            </w:r>
          </w:p>
        </w:tc>
        <w:tc>
          <w:tcPr>
            <w:tcW w:w="15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27"/>
              <w:jc w:val="right"/>
              <w:rPr>
                <w:rFonts w:ascii="Arial" w:hAnsi="Arial" w:cs="Arial" w:eastAsia="Arial" w:hint="default"/>
                <w:sz w:val="18"/>
                <w:szCs w:val="18"/>
              </w:rPr>
            </w:pPr>
            <w:r>
              <w:rPr>
                <w:rFonts w:ascii="Arial"/>
                <w:spacing w:val="-1"/>
                <w:sz w:val="18"/>
              </w:rPr>
              <w:t>25,462,574.62</w:t>
            </w:r>
          </w:p>
        </w:tc>
      </w:tr>
      <w:tr>
        <w:trPr>
          <w:trHeight w:val="485" w:hRule="exact"/>
        </w:trPr>
        <w:tc>
          <w:tcPr>
            <w:tcW w:w="2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5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23,417,747.82</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w w:val="95"/>
                <w:sz w:val="18"/>
              </w:rPr>
              <w:t>47.18</w:t>
            </w:r>
            <w:r>
              <w:rPr>
                <w:rFonts w:ascii="Arial"/>
                <w:sz w:val="18"/>
              </w:rPr>
            </w:r>
          </w:p>
        </w:tc>
        <w:tc>
          <w:tcPr>
            <w:tcW w:w="15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2,018,434.45</w:t>
            </w:r>
          </w:p>
        </w:tc>
        <w:tc>
          <w:tcPr>
            <w:tcW w:w="12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Arial"/>
                <w:sz w:val="18"/>
              </w:rPr>
              <w:t>8.62</w:t>
            </w:r>
            <w:r>
              <w:rPr>
                <w:rFonts w:ascii="宋体"/>
                <w:sz w:val="18"/>
              </w:rPr>
              <w:t> </w:t>
            </w:r>
          </w:p>
        </w:tc>
        <w:tc>
          <w:tcPr>
            <w:tcW w:w="15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27"/>
              <w:jc w:val="right"/>
              <w:rPr>
                <w:rFonts w:ascii="Arial" w:hAnsi="Arial" w:cs="Arial" w:eastAsia="Arial" w:hint="default"/>
                <w:sz w:val="18"/>
                <w:szCs w:val="18"/>
              </w:rPr>
            </w:pPr>
            <w:r>
              <w:rPr>
                <w:rFonts w:ascii="Arial"/>
                <w:spacing w:val="-1"/>
                <w:sz w:val="18"/>
              </w:rPr>
              <w:t>21,399,313.37</w:t>
            </w:r>
          </w:p>
        </w:tc>
      </w:tr>
      <w:tr>
        <w:trPr>
          <w:trHeight w:val="485" w:hRule="exact"/>
        </w:trPr>
        <w:tc>
          <w:tcPr>
            <w:tcW w:w="2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Arial" w:hAnsi="Arial" w:cs="Arial" w:eastAsia="Arial" w:hint="default"/>
                <w:sz w:val="18"/>
                <w:szCs w:val="18"/>
              </w:rPr>
              <w:t>1</w:t>
            </w:r>
            <w:r>
              <w:rPr>
                <w:rFonts w:ascii="宋体" w:hAnsi="宋体" w:cs="宋体" w:eastAsia="宋体" w:hint="default"/>
                <w:sz w:val="18"/>
                <w:szCs w:val="18"/>
              </w:rPr>
              <w:t>：账龄组合</w:t>
            </w:r>
          </w:p>
        </w:tc>
        <w:tc>
          <w:tcPr>
            <w:tcW w:w="15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21,962,247.82</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w w:val="95"/>
                <w:sz w:val="18"/>
              </w:rPr>
              <w:t>44.25</w:t>
            </w:r>
            <w:r>
              <w:rPr>
                <w:rFonts w:ascii="Arial"/>
                <w:sz w:val="18"/>
              </w:rPr>
            </w:r>
          </w:p>
        </w:tc>
        <w:tc>
          <w:tcPr>
            <w:tcW w:w="15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2,018,434.45</w:t>
            </w:r>
          </w:p>
        </w:tc>
        <w:tc>
          <w:tcPr>
            <w:tcW w:w="12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w w:val="95"/>
                <w:sz w:val="18"/>
              </w:rPr>
              <w:t>9.19</w:t>
            </w:r>
            <w:r>
              <w:rPr>
                <w:rFonts w:ascii="Arial"/>
                <w:sz w:val="18"/>
              </w:rPr>
            </w:r>
          </w:p>
        </w:tc>
        <w:tc>
          <w:tcPr>
            <w:tcW w:w="15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27"/>
              <w:jc w:val="right"/>
              <w:rPr>
                <w:rFonts w:ascii="Arial" w:hAnsi="Arial" w:cs="Arial" w:eastAsia="Arial" w:hint="default"/>
                <w:sz w:val="18"/>
                <w:szCs w:val="18"/>
              </w:rPr>
            </w:pPr>
            <w:r>
              <w:rPr>
                <w:rFonts w:ascii="Arial"/>
                <w:spacing w:val="-1"/>
                <w:sz w:val="18"/>
              </w:rPr>
              <w:t>19,943,813.37</w:t>
            </w:r>
          </w:p>
        </w:tc>
      </w:tr>
      <w:tr>
        <w:trPr>
          <w:trHeight w:val="485" w:hRule="exact"/>
        </w:trPr>
        <w:tc>
          <w:tcPr>
            <w:tcW w:w="2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Arial" w:hAnsi="Arial" w:cs="Arial" w:eastAsia="Arial" w:hint="default"/>
                <w:sz w:val="18"/>
                <w:szCs w:val="18"/>
              </w:rPr>
              <w:t>2</w:t>
            </w:r>
            <w:r>
              <w:rPr>
                <w:rFonts w:ascii="宋体" w:hAnsi="宋体" w:cs="宋体" w:eastAsia="宋体" w:hint="default"/>
                <w:sz w:val="18"/>
                <w:szCs w:val="18"/>
              </w:rPr>
              <w:t>：关联方组合</w:t>
            </w:r>
          </w:p>
        </w:tc>
        <w:tc>
          <w:tcPr>
            <w:tcW w:w="15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1,455,500.00</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Arial" w:hAnsi="Arial" w:cs="Arial" w:eastAsia="Arial" w:hint="default"/>
                <w:sz w:val="18"/>
                <w:szCs w:val="18"/>
              </w:rPr>
            </w:pPr>
            <w:r>
              <w:rPr>
                <w:rFonts w:ascii="Arial"/>
                <w:w w:val="95"/>
                <w:sz w:val="18"/>
              </w:rPr>
              <w:t>2.93</w:t>
            </w:r>
            <w:r>
              <w:rPr>
                <w:rFonts w:ascii="Arial"/>
                <w:sz w:val="18"/>
              </w:rPr>
            </w:r>
          </w:p>
        </w:tc>
        <w:tc>
          <w:tcPr>
            <w:tcW w:w="1536" w:type="dxa"/>
            <w:tcBorders>
              <w:top w:val="single" w:sz="2" w:space="0" w:color="000000"/>
              <w:left w:val="single" w:sz="2" w:space="0" w:color="000000"/>
              <w:bottom w:val="single" w:sz="2" w:space="0" w:color="000000"/>
              <w:right w:val="single" w:sz="2" w:space="0" w:color="000000"/>
            </w:tcBorders>
          </w:tcPr>
          <w:p>
            <w:pPr/>
          </w:p>
        </w:tc>
        <w:tc>
          <w:tcPr>
            <w:tcW w:w="12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1"/>
              <w:jc w:val="right"/>
              <w:rPr>
                <w:rFonts w:ascii="宋体" w:hAnsi="宋体" w:cs="宋体" w:eastAsia="宋体" w:hint="default"/>
                <w:sz w:val="18"/>
                <w:szCs w:val="18"/>
              </w:rPr>
            </w:pPr>
            <w:r>
              <w:rPr>
                <w:rFonts w:ascii="宋体"/>
                <w:sz w:val="18"/>
              </w:rPr>
              <w:t> </w:t>
            </w:r>
          </w:p>
        </w:tc>
        <w:tc>
          <w:tcPr>
            <w:tcW w:w="15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27"/>
              <w:jc w:val="right"/>
              <w:rPr>
                <w:rFonts w:ascii="Arial" w:hAnsi="Arial" w:cs="Arial" w:eastAsia="Arial" w:hint="default"/>
                <w:sz w:val="18"/>
                <w:szCs w:val="18"/>
              </w:rPr>
            </w:pPr>
            <w:r>
              <w:rPr>
                <w:rFonts w:ascii="Arial"/>
                <w:spacing w:val="-1"/>
                <w:sz w:val="18"/>
              </w:rPr>
              <w:t>1,455,500.00</w:t>
            </w:r>
          </w:p>
        </w:tc>
      </w:tr>
      <w:tr>
        <w:trPr>
          <w:trHeight w:val="497" w:hRule="exact"/>
        </w:trPr>
        <w:tc>
          <w:tcPr>
            <w:tcW w:w="203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50"/>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2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49,635,301.09</w:t>
            </w:r>
          </w:p>
        </w:tc>
        <w:tc>
          <w:tcPr>
            <w:tcW w:w="9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100.00</w:t>
            </w:r>
          </w:p>
        </w:tc>
        <w:tc>
          <w:tcPr>
            <w:tcW w:w="153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2,773,413.10</w:t>
            </w:r>
          </w:p>
        </w:tc>
        <w:tc>
          <w:tcPr>
            <w:tcW w:w="122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0"/>
              <w:ind w:right="11"/>
              <w:jc w:val="right"/>
              <w:rPr>
                <w:rFonts w:ascii="宋体" w:hAnsi="宋体" w:cs="宋体" w:eastAsia="宋体" w:hint="default"/>
                <w:sz w:val="18"/>
                <w:szCs w:val="18"/>
              </w:rPr>
            </w:pPr>
            <w:r>
              <w:rPr>
                <w:rFonts w:ascii="宋体"/>
                <w:sz w:val="18"/>
              </w:rPr>
              <w:t> </w:t>
            </w:r>
          </w:p>
        </w:tc>
        <w:tc>
          <w:tcPr>
            <w:tcW w:w="155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27"/>
              <w:jc w:val="right"/>
              <w:rPr>
                <w:rFonts w:ascii="Arial" w:hAnsi="Arial" w:cs="Arial" w:eastAsia="Arial" w:hint="default"/>
                <w:sz w:val="18"/>
                <w:szCs w:val="18"/>
              </w:rPr>
            </w:pPr>
            <w:r>
              <w:rPr>
                <w:rFonts w:ascii="Arial"/>
                <w:spacing w:val="-1"/>
                <w:sz w:val="18"/>
              </w:rPr>
              <w:t>46,861,887.99</w:t>
            </w:r>
          </w:p>
        </w:tc>
      </w:tr>
    </w:tbl>
    <w:p>
      <w:pPr>
        <w:pStyle w:val="BodyText"/>
        <w:spacing w:line="240" w:lineRule="auto" w:before="62"/>
        <w:ind w:left="592" w:right="1133"/>
        <w:jc w:val="left"/>
      </w:pPr>
      <w:r>
        <w:rPr/>
        <w:t>（续）</w:t>
      </w:r>
    </w:p>
    <w:p>
      <w:pPr>
        <w:spacing w:after="0" w:line="240" w:lineRule="auto"/>
        <w:jc w:val="lef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580" w:type="dxa"/>
        <w:tblLayout w:type="fixed"/>
        <w:tblCellMar>
          <w:top w:w="0" w:type="dxa"/>
          <w:left w:w="0" w:type="dxa"/>
          <w:bottom w:w="0" w:type="dxa"/>
          <w:right w:w="0" w:type="dxa"/>
        </w:tblCellMar>
        <w:tblLook w:val="01E0"/>
      </w:tblPr>
      <w:tblGrid>
        <w:gridCol w:w="2110"/>
        <w:gridCol w:w="1702"/>
        <w:gridCol w:w="924"/>
        <w:gridCol w:w="1385"/>
        <w:gridCol w:w="1121"/>
        <w:gridCol w:w="1498"/>
      </w:tblGrid>
      <w:tr>
        <w:trPr>
          <w:trHeight w:val="500" w:hRule="exact"/>
        </w:trPr>
        <w:tc>
          <w:tcPr>
            <w:tcW w:w="2110"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630" w:type="dxa"/>
            <w:gridSpan w:val="5"/>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85" w:hRule="exact"/>
        </w:trPr>
        <w:tc>
          <w:tcPr>
            <w:tcW w:w="2110" w:type="dxa"/>
            <w:vMerge/>
            <w:tcBorders>
              <w:left w:val="nil" w:sz="6" w:space="0" w:color="auto"/>
              <w:right w:val="single" w:sz="2" w:space="0" w:color="000000"/>
            </w:tcBorders>
          </w:tcPr>
          <w:p>
            <w:pPr/>
          </w:p>
        </w:tc>
        <w:tc>
          <w:tcPr>
            <w:tcW w:w="2627"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06"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4"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98" w:type="dxa"/>
            <w:vMerge w:val="restart"/>
            <w:tcBorders>
              <w:top w:val="single" w:sz="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38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85" w:hRule="exact"/>
        </w:trPr>
        <w:tc>
          <w:tcPr>
            <w:tcW w:w="2110" w:type="dxa"/>
            <w:vMerge/>
            <w:tcBorders>
              <w:left w:val="nil" w:sz="6" w:space="0" w:color="auto"/>
              <w:bottom w:val="single" w:sz="2" w:space="0" w:color="000000"/>
              <w:right w:val="single" w:sz="2" w:space="0" w:color="000000"/>
            </w:tcBorders>
          </w:tcPr>
          <w:p>
            <w:pP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37"/>
              <w:jc w:val="right"/>
              <w:rPr>
                <w:rFonts w:ascii="Arial" w:hAnsi="Arial" w:cs="Arial" w:eastAsia="Arial" w:hint="default"/>
                <w:sz w:val="18"/>
                <w:szCs w:val="18"/>
              </w:rPr>
            </w:pPr>
            <w:r>
              <w:rPr>
                <w:rFonts w:ascii="宋体" w:hAnsi="宋体" w:cs="宋体" w:eastAsia="宋体" w:hint="default"/>
                <w:w w:val="95"/>
                <w:sz w:val="18"/>
                <w:szCs w:val="18"/>
              </w:rPr>
              <w:t>比例</w:t>
            </w:r>
            <w:r>
              <w:rPr>
                <w:rFonts w:ascii="Arial" w:hAnsi="Arial" w:cs="Arial" w:eastAsia="Arial" w:hint="default"/>
                <w:w w:val="95"/>
                <w:sz w:val="18"/>
                <w:szCs w:val="18"/>
              </w:rPr>
              <w:t>(%)</w:t>
            </w:r>
            <w:r>
              <w:rPr>
                <w:rFonts w:ascii="Arial" w:hAnsi="Arial" w:cs="Arial" w:eastAsia="Arial" w:hint="default"/>
                <w:sz w:val="18"/>
                <w:szCs w:val="18"/>
              </w:rPr>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27"/>
              <w:jc w:val="right"/>
              <w:rPr>
                <w:rFonts w:ascii="Arial" w:hAnsi="Arial" w:cs="Arial" w:eastAsia="Arial" w:hint="default"/>
                <w:sz w:val="18"/>
                <w:szCs w:val="18"/>
              </w:rPr>
            </w:pPr>
            <w:r>
              <w:rPr>
                <w:rFonts w:ascii="宋体" w:hAnsi="宋体" w:cs="宋体" w:eastAsia="宋体" w:hint="default"/>
                <w:w w:val="95"/>
                <w:sz w:val="18"/>
                <w:szCs w:val="18"/>
              </w:rPr>
              <w:t>计提比例</w:t>
            </w:r>
            <w:r>
              <w:rPr>
                <w:rFonts w:ascii="Arial" w:hAnsi="Arial" w:cs="Arial" w:eastAsia="Arial" w:hint="default"/>
                <w:w w:val="95"/>
                <w:sz w:val="18"/>
                <w:szCs w:val="18"/>
              </w:rPr>
              <w:t>(%)</w:t>
            </w:r>
            <w:r>
              <w:rPr>
                <w:rFonts w:ascii="Arial" w:hAnsi="Arial" w:cs="Arial" w:eastAsia="Arial" w:hint="default"/>
                <w:sz w:val="18"/>
                <w:szCs w:val="18"/>
              </w:rPr>
            </w:r>
          </w:p>
        </w:tc>
        <w:tc>
          <w:tcPr>
            <w:tcW w:w="1498" w:type="dxa"/>
            <w:vMerge/>
            <w:tcBorders>
              <w:left w:val="single" w:sz="2" w:space="0" w:color="000000"/>
              <w:bottom w:val="single" w:sz="2" w:space="0" w:color="000000"/>
              <w:right w:val="nil" w:sz="6" w:space="0" w:color="auto"/>
            </w:tcBorders>
          </w:tcPr>
          <w:p>
            <w:pPr/>
          </w:p>
        </w:tc>
      </w:tr>
      <w:tr>
        <w:trPr>
          <w:trHeight w:val="485" w:hRule="exact"/>
        </w:trPr>
        <w:tc>
          <w:tcPr>
            <w:tcW w:w="21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按单项计提坏账准备</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18,204,022.24</w:t>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w w:val="95"/>
                <w:sz w:val="18"/>
              </w:rPr>
              <w:t>57.78</w:t>
            </w:r>
            <w:r>
              <w:rPr>
                <w:rFonts w:ascii="Arial"/>
                <w:sz w:val="18"/>
              </w:rPr>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489,222.73</w:t>
            </w:r>
          </w:p>
        </w:tc>
        <w:tc>
          <w:tcPr>
            <w:tcW w:w="11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w w:val="95"/>
                <w:sz w:val="18"/>
              </w:rPr>
              <w:t>2.69</w:t>
            </w:r>
            <w:r>
              <w:rPr>
                <w:rFonts w:ascii="Arial"/>
                <w:sz w:val="18"/>
              </w:rPr>
            </w:r>
          </w:p>
        </w:tc>
        <w:tc>
          <w:tcPr>
            <w:tcW w:w="1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17,714,799.51</w:t>
            </w:r>
          </w:p>
        </w:tc>
      </w:tr>
      <w:tr>
        <w:trPr>
          <w:trHeight w:val="485" w:hRule="exact"/>
        </w:trPr>
        <w:tc>
          <w:tcPr>
            <w:tcW w:w="21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13,302,716.26</w:t>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w w:val="95"/>
                <w:sz w:val="18"/>
              </w:rPr>
              <w:t>42.22</w:t>
            </w:r>
            <w:r>
              <w:rPr>
                <w:rFonts w:ascii="Arial"/>
                <w:sz w:val="18"/>
              </w:rPr>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2,152,942.03</w:t>
            </w:r>
          </w:p>
        </w:tc>
        <w:tc>
          <w:tcPr>
            <w:tcW w:w="11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w w:val="95"/>
                <w:sz w:val="18"/>
              </w:rPr>
              <w:t>16.18</w:t>
            </w:r>
            <w:r>
              <w:rPr>
                <w:rFonts w:ascii="Arial"/>
                <w:sz w:val="18"/>
              </w:rPr>
            </w:r>
          </w:p>
        </w:tc>
        <w:tc>
          <w:tcPr>
            <w:tcW w:w="1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2"/>
                <w:sz w:val="18"/>
              </w:rPr>
              <w:t>11,149,774.23</w:t>
            </w:r>
          </w:p>
        </w:tc>
      </w:tr>
      <w:tr>
        <w:trPr>
          <w:trHeight w:val="485" w:hRule="exact"/>
        </w:trPr>
        <w:tc>
          <w:tcPr>
            <w:tcW w:w="21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Arial" w:hAnsi="Arial" w:cs="Arial" w:eastAsia="Arial" w:hint="default"/>
                <w:sz w:val="18"/>
                <w:szCs w:val="18"/>
              </w:rPr>
              <w:t>1</w:t>
            </w:r>
            <w:r>
              <w:rPr>
                <w:rFonts w:ascii="宋体" w:hAnsi="宋体" w:cs="宋体" w:eastAsia="宋体" w:hint="default"/>
                <w:sz w:val="18"/>
                <w:szCs w:val="18"/>
              </w:rPr>
              <w:t>：账龄组合</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2"/>
                <w:sz w:val="18"/>
              </w:rPr>
              <w:t>13,240,115.99</w:t>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w w:val="95"/>
                <w:sz w:val="18"/>
              </w:rPr>
              <w:t>42.02</w:t>
            </w:r>
            <w:r>
              <w:rPr>
                <w:rFonts w:ascii="Arial"/>
                <w:sz w:val="18"/>
              </w:rPr>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2,152,942.03</w:t>
            </w:r>
          </w:p>
        </w:tc>
        <w:tc>
          <w:tcPr>
            <w:tcW w:w="11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w w:val="95"/>
                <w:sz w:val="18"/>
              </w:rPr>
              <w:t>16.26</w:t>
            </w:r>
            <w:r>
              <w:rPr>
                <w:rFonts w:ascii="Arial"/>
                <w:sz w:val="18"/>
              </w:rPr>
            </w:r>
          </w:p>
        </w:tc>
        <w:tc>
          <w:tcPr>
            <w:tcW w:w="1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2"/>
                <w:sz w:val="18"/>
              </w:rPr>
              <w:t>11,087,173.96</w:t>
            </w:r>
          </w:p>
        </w:tc>
      </w:tr>
      <w:tr>
        <w:trPr>
          <w:trHeight w:val="485" w:hRule="exact"/>
        </w:trPr>
        <w:tc>
          <w:tcPr>
            <w:tcW w:w="21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Arial" w:hAnsi="Arial" w:cs="Arial" w:eastAsia="Arial" w:hint="default"/>
                <w:sz w:val="18"/>
                <w:szCs w:val="18"/>
              </w:rPr>
              <w:t>2</w:t>
            </w:r>
            <w:r>
              <w:rPr>
                <w:rFonts w:ascii="宋体" w:hAnsi="宋体" w:cs="宋体" w:eastAsia="宋体" w:hint="default"/>
                <w:sz w:val="18"/>
                <w:szCs w:val="18"/>
              </w:rPr>
              <w:t>：关联方组合</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62,600.27</w:t>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w w:val="95"/>
                <w:sz w:val="18"/>
              </w:rPr>
              <w:t>0.20</w:t>
            </w:r>
            <w:r>
              <w:rPr>
                <w:rFonts w:ascii="Arial"/>
                <w:sz w:val="18"/>
              </w:rPr>
            </w:r>
          </w:p>
        </w:tc>
        <w:tc>
          <w:tcPr>
            <w:tcW w:w="1385" w:type="dxa"/>
            <w:tcBorders>
              <w:top w:val="single" w:sz="2" w:space="0" w:color="000000"/>
              <w:left w:val="single" w:sz="2" w:space="0" w:color="000000"/>
              <w:bottom w:val="single" w:sz="2" w:space="0" w:color="000000"/>
              <w:right w:val="single" w:sz="2" w:space="0" w:color="000000"/>
            </w:tcBorders>
          </w:tcPr>
          <w:p>
            <w:pPr/>
          </w:p>
        </w:tc>
        <w:tc>
          <w:tcPr>
            <w:tcW w:w="1121" w:type="dxa"/>
            <w:tcBorders>
              <w:top w:val="single" w:sz="2" w:space="0" w:color="000000"/>
              <w:left w:val="single" w:sz="2" w:space="0" w:color="000000"/>
              <w:bottom w:val="single" w:sz="2" w:space="0" w:color="000000"/>
              <w:right w:val="single" w:sz="2" w:space="0" w:color="000000"/>
            </w:tcBorders>
          </w:tcPr>
          <w:p>
            <w:pPr/>
          </w:p>
        </w:tc>
        <w:tc>
          <w:tcPr>
            <w:tcW w:w="1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62,600.27</w:t>
            </w:r>
          </w:p>
        </w:tc>
      </w:tr>
      <w:tr>
        <w:trPr>
          <w:trHeight w:val="499" w:hRule="exact"/>
        </w:trPr>
        <w:tc>
          <w:tcPr>
            <w:tcW w:w="211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31,506,738.50</w:t>
            </w:r>
          </w:p>
        </w:tc>
        <w:tc>
          <w:tcPr>
            <w:tcW w:w="92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100.00</w:t>
            </w:r>
          </w:p>
        </w:tc>
        <w:tc>
          <w:tcPr>
            <w:tcW w:w="13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2,642,164.76</w:t>
            </w:r>
          </w:p>
        </w:tc>
        <w:tc>
          <w:tcPr>
            <w:tcW w:w="1121" w:type="dxa"/>
            <w:tcBorders>
              <w:top w:val="single" w:sz="2" w:space="0" w:color="000000"/>
              <w:left w:val="single" w:sz="2" w:space="0" w:color="000000"/>
              <w:bottom w:val="single" w:sz="12" w:space="0" w:color="000000"/>
              <w:right w:val="single" w:sz="2" w:space="0" w:color="000000"/>
            </w:tcBorders>
          </w:tcPr>
          <w:p>
            <w:pPr/>
          </w:p>
        </w:tc>
        <w:tc>
          <w:tcPr>
            <w:tcW w:w="149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28,864,573.74</w:t>
            </w:r>
          </w:p>
        </w:tc>
      </w:tr>
    </w:tbl>
    <w:p>
      <w:pPr>
        <w:pStyle w:val="BodyText"/>
        <w:spacing w:line="240" w:lineRule="auto" w:before="62"/>
        <w:ind w:left="592" w:right="1133"/>
        <w:jc w:val="left"/>
      </w:pPr>
      <w:r>
        <w:rPr>
          <w:rFonts w:ascii="Arial" w:hAnsi="Arial" w:cs="Arial" w:eastAsia="Arial" w:hint="default"/>
        </w:rPr>
        <w:t>A.</w:t>
      </w:r>
      <w:r>
        <w:rPr/>
        <w:t>按单项计提其他应收款坏账准备</w:t>
      </w:r>
    </w:p>
    <w:p>
      <w:pPr>
        <w:spacing w:line="240" w:lineRule="auto" w:before="6"/>
        <w:rPr>
          <w:rFonts w:ascii="宋体" w:hAnsi="宋体" w:cs="宋体" w:eastAsia="宋体" w:hint="default"/>
          <w:sz w:val="2"/>
          <w:szCs w:val="2"/>
        </w:rPr>
      </w:pPr>
    </w:p>
    <w:tbl>
      <w:tblPr>
        <w:tblW w:w="0" w:type="auto"/>
        <w:jc w:val="left"/>
        <w:tblInd w:w="580" w:type="dxa"/>
        <w:tblLayout w:type="fixed"/>
        <w:tblCellMar>
          <w:top w:w="0" w:type="dxa"/>
          <w:left w:w="0" w:type="dxa"/>
          <w:bottom w:w="0" w:type="dxa"/>
          <w:right w:w="0" w:type="dxa"/>
        </w:tblCellMar>
        <w:tblLook w:val="01E0"/>
      </w:tblPr>
      <w:tblGrid>
        <w:gridCol w:w="3101"/>
        <w:gridCol w:w="1558"/>
        <w:gridCol w:w="1277"/>
        <w:gridCol w:w="1702"/>
        <w:gridCol w:w="1102"/>
      </w:tblGrid>
      <w:tr>
        <w:trPr>
          <w:trHeight w:val="499" w:hRule="exact"/>
        </w:trPr>
        <w:tc>
          <w:tcPr>
            <w:tcW w:w="3101"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16"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5639"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right="3"/>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485" w:hRule="exact"/>
        </w:trPr>
        <w:tc>
          <w:tcPr>
            <w:tcW w:w="3101" w:type="dxa"/>
            <w:vMerge/>
            <w:tcBorders>
              <w:left w:val="nil" w:sz="6" w:space="0" w:color="auto"/>
              <w:bottom w:val="single" w:sz="2" w:space="0" w:color="000000"/>
              <w:right w:val="single" w:sz="2" w:space="0" w:color="000000"/>
            </w:tcBorders>
          </w:tcPr>
          <w:p>
            <w:pP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4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27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230"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Arial" w:hAnsi="Arial" w:cs="Arial" w:eastAsia="Arial" w:hint="default"/>
                <w:sz w:val="18"/>
                <w:szCs w:val="18"/>
              </w:rPr>
              <w:t>%</w:t>
            </w:r>
            <w:r>
              <w:rPr>
                <w:rFonts w:ascii="宋体" w:hAnsi="宋体" w:cs="宋体" w:eastAsia="宋体" w:hint="default"/>
                <w:sz w:val="18"/>
                <w:szCs w:val="18"/>
              </w:rPr>
              <w:t>）</w:t>
            </w:r>
          </w:p>
        </w:tc>
        <w:tc>
          <w:tcPr>
            <w:tcW w:w="11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left="187"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85" w:hRule="exact"/>
        </w:trPr>
        <w:tc>
          <w:tcPr>
            <w:tcW w:w="31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前五名单位：</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18"/>
                <w:szCs w:val="18"/>
              </w:rPr>
            </w:pPr>
            <w:r>
              <w:rPr>
                <w:rFonts w:ascii="Arial"/>
                <w:spacing w:val="-1"/>
                <w:sz w:val="18"/>
              </w:rPr>
              <w:t>23,005,055.85</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690,151.68</w:t>
            </w:r>
            <w:r>
              <w:rPr>
                <w:rFonts w:ascii="Arial"/>
                <w:sz w:val="18"/>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w w:val="95"/>
                <w:sz w:val="18"/>
              </w:rPr>
              <w:t>3.00</w:t>
            </w:r>
            <w:r>
              <w:rPr>
                <w:rFonts w:ascii="Arial"/>
                <w:sz w:val="18"/>
              </w:rPr>
            </w:r>
          </w:p>
        </w:tc>
        <w:tc>
          <w:tcPr>
            <w:tcW w:w="1102"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31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其中：第一名</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18"/>
                <w:szCs w:val="18"/>
              </w:rPr>
            </w:pPr>
            <w:r>
              <w:rPr>
                <w:rFonts w:ascii="Arial"/>
                <w:spacing w:val="-1"/>
                <w:sz w:val="18"/>
              </w:rPr>
              <w:t>14,350,601.45</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430,518.05</w:t>
            </w:r>
            <w:r>
              <w:rPr>
                <w:rFonts w:ascii="Arial"/>
                <w:sz w:val="18"/>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w w:val="95"/>
                <w:sz w:val="18"/>
              </w:rPr>
              <w:t>3.00</w:t>
            </w:r>
            <w:r>
              <w:rPr>
                <w:rFonts w:ascii="Arial"/>
                <w:sz w:val="18"/>
              </w:rPr>
            </w:r>
          </w:p>
        </w:tc>
        <w:tc>
          <w:tcPr>
            <w:tcW w:w="11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left="278" w:right="0"/>
              <w:jc w:val="left"/>
              <w:rPr>
                <w:rFonts w:ascii="宋体" w:hAnsi="宋体" w:cs="宋体" w:eastAsia="宋体" w:hint="default"/>
                <w:sz w:val="18"/>
                <w:szCs w:val="18"/>
              </w:rPr>
            </w:pPr>
            <w:r>
              <w:rPr>
                <w:rFonts w:ascii="宋体" w:hAnsi="宋体" w:cs="宋体" w:eastAsia="宋体" w:hint="default"/>
                <w:sz w:val="18"/>
                <w:szCs w:val="18"/>
              </w:rPr>
              <w:t>低风险</w:t>
            </w:r>
          </w:p>
        </w:tc>
      </w:tr>
      <w:tr>
        <w:trPr>
          <w:trHeight w:val="485" w:hRule="exact"/>
        </w:trPr>
        <w:tc>
          <w:tcPr>
            <w:tcW w:w="31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0"/>
              <w:ind w:left="1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3,198,162.45</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95,944.87</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w w:val="95"/>
                <w:sz w:val="18"/>
              </w:rPr>
              <w:t>3.00</w:t>
            </w:r>
            <w:r>
              <w:rPr>
                <w:rFonts w:ascii="Arial"/>
                <w:sz w:val="18"/>
              </w:rPr>
            </w:r>
          </w:p>
        </w:tc>
        <w:tc>
          <w:tcPr>
            <w:tcW w:w="11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left="278" w:right="0"/>
              <w:jc w:val="left"/>
              <w:rPr>
                <w:rFonts w:ascii="宋体" w:hAnsi="宋体" w:cs="宋体" w:eastAsia="宋体" w:hint="default"/>
                <w:sz w:val="18"/>
                <w:szCs w:val="18"/>
              </w:rPr>
            </w:pPr>
            <w:r>
              <w:rPr>
                <w:rFonts w:ascii="宋体" w:hAnsi="宋体" w:cs="宋体" w:eastAsia="宋体" w:hint="default"/>
                <w:sz w:val="18"/>
                <w:szCs w:val="18"/>
              </w:rPr>
              <w:t>低风险</w:t>
            </w:r>
          </w:p>
        </w:tc>
      </w:tr>
      <w:tr>
        <w:trPr>
          <w:trHeight w:val="485" w:hRule="exact"/>
        </w:trPr>
        <w:tc>
          <w:tcPr>
            <w:tcW w:w="31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2,898,721.20</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86,961.64</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w w:val="95"/>
                <w:sz w:val="18"/>
              </w:rPr>
              <w:t>3.00</w:t>
            </w:r>
            <w:r>
              <w:rPr>
                <w:rFonts w:ascii="Arial"/>
                <w:sz w:val="18"/>
              </w:rPr>
            </w:r>
          </w:p>
        </w:tc>
        <w:tc>
          <w:tcPr>
            <w:tcW w:w="11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left="278" w:right="0"/>
              <w:jc w:val="left"/>
              <w:rPr>
                <w:rFonts w:ascii="宋体" w:hAnsi="宋体" w:cs="宋体" w:eastAsia="宋体" w:hint="default"/>
                <w:sz w:val="18"/>
                <w:szCs w:val="18"/>
              </w:rPr>
            </w:pPr>
            <w:r>
              <w:rPr>
                <w:rFonts w:ascii="宋体" w:hAnsi="宋体" w:cs="宋体" w:eastAsia="宋体" w:hint="default"/>
                <w:sz w:val="18"/>
                <w:szCs w:val="18"/>
              </w:rPr>
              <w:t>低风险</w:t>
            </w:r>
          </w:p>
        </w:tc>
      </w:tr>
      <w:tr>
        <w:trPr>
          <w:trHeight w:val="485" w:hRule="exact"/>
        </w:trPr>
        <w:tc>
          <w:tcPr>
            <w:tcW w:w="31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1,644,738.00</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49,342.14</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w w:val="95"/>
                <w:sz w:val="18"/>
              </w:rPr>
              <w:t>3.00</w:t>
            </w:r>
            <w:r>
              <w:rPr>
                <w:rFonts w:ascii="Arial"/>
                <w:sz w:val="18"/>
              </w:rPr>
            </w:r>
          </w:p>
        </w:tc>
        <w:tc>
          <w:tcPr>
            <w:tcW w:w="11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left="278" w:right="0"/>
              <w:jc w:val="left"/>
              <w:rPr>
                <w:rFonts w:ascii="宋体" w:hAnsi="宋体" w:cs="宋体" w:eastAsia="宋体" w:hint="default"/>
                <w:sz w:val="18"/>
                <w:szCs w:val="18"/>
              </w:rPr>
            </w:pPr>
            <w:r>
              <w:rPr>
                <w:rFonts w:ascii="宋体" w:hAnsi="宋体" w:cs="宋体" w:eastAsia="宋体" w:hint="default"/>
                <w:sz w:val="18"/>
                <w:szCs w:val="18"/>
              </w:rPr>
              <w:t>低风险</w:t>
            </w:r>
          </w:p>
        </w:tc>
      </w:tr>
      <w:tr>
        <w:trPr>
          <w:trHeight w:val="485" w:hRule="exact"/>
        </w:trPr>
        <w:tc>
          <w:tcPr>
            <w:tcW w:w="31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912,832.75</w:t>
            </w:r>
            <w:r>
              <w:rPr>
                <w:rFonts w:ascii="Arial"/>
                <w:sz w:val="18"/>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18"/>
                <w:szCs w:val="18"/>
              </w:rPr>
            </w:pPr>
            <w:r>
              <w:rPr>
                <w:rFonts w:ascii="Arial"/>
                <w:spacing w:val="-1"/>
                <w:sz w:val="18"/>
              </w:rPr>
              <w:t>27,384.98</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w w:val="95"/>
                <w:sz w:val="18"/>
              </w:rPr>
              <w:t>3.00</w:t>
            </w:r>
            <w:r>
              <w:rPr>
                <w:rFonts w:ascii="Arial"/>
                <w:sz w:val="18"/>
              </w:rPr>
            </w:r>
          </w:p>
        </w:tc>
        <w:tc>
          <w:tcPr>
            <w:tcW w:w="11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left="278" w:right="0"/>
              <w:jc w:val="left"/>
              <w:rPr>
                <w:rFonts w:ascii="宋体" w:hAnsi="宋体" w:cs="宋体" w:eastAsia="宋体" w:hint="default"/>
                <w:sz w:val="18"/>
                <w:szCs w:val="18"/>
              </w:rPr>
            </w:pPr>
            <w:r>
              <w:rPr>
                <w:rFonts w:ascii="宋体" w:hAnsi="宋体" w:cs="宋体" w:eastAsia="宋体" w:hint="default"/>
                <w:sz w:val="18"/>
                <w:szCs w:val="18"/>
              </w:rPr>
              <w:t>低风险</w:t>
            </w:r>
          </w:p>
        </w:tc>
      </w:tr>
      <w:tr>
        <w:trPr>
          <w:trHeight w:val="485" w:hRule="exact"/>
        </w:trPr>
        <w:tc>
          <w:tcPr>
            <w:tcW w:w="31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其他单位</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3,212,497.42</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64,826.97</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w w:val="95"/>
                <w:sz w:val="18"/>
              </w:rPr>
              <w:t>2.02</w:t>
            </w:r>
            <w:r>
              <w:rPr>
                <w:rFonts w:ascii="Arial"/>
                <w:sz w:val="18"/>
              </w:rPr>
            </w:r>
          </w:p>
        </w:tc>
        <w:tc>
          <w:tcPr>
            <w:tcW w:w="11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left="278" w:right="0"/>
              <w:jc w:val="left"/>
              <w:rPr>
                <w:rFonts w:ascii="宋体" w:hAnsi="宋体" w:cs="宋体" w:eastAsia="宋体" w:hint="default"/>
                <w:sz w:val="18"/>
                <w:szCs w:val="18"/>
              </w:rPr>
            </w:pPr>
            <w:r>
              <w:rPr>
                <w:rFonts w:ascii="宋体" w:hAnsi="宋体" w:cs="宋体" w:eastAsia="宋体" w:hint="default"/>
                <w:sz w:val="18"/>
                <w:szCs w:val="18"/>
              </w:rPr>
              <w:t>低风险</w:t>
            </w:r>
          </w:p>
        </w:tc>
      </w:tr>
      <w:tr>
        <w:trPr>
          <w:trHeight w:val="499" w:hRule="exact"/>
        </w:trPr>
        <w:tc>
          <w:tcPr>
            <w:tcW w:w="310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52"/>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26,217,553.27</w:t>
            </w:r>
          </w:p>
        </w:tc>
        <w:tc>
          <w:tcPr>
            <w:tcW w:w="12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754,978.65</w:t>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0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62"/>
        <w:ind w:left="592" w:right="1133"/>
        <w:jc w:val="left"/>
      </w:pPr>
      <w:r>
        <w:rPr>
          <w:rFonts w:ascii="Arial" w:hAnsi="Arial" w:cs="Arial" w:eastAsia="Arial" w:hint="default"/>
        </w:rPr>
        <w:t>B.</w:t>
      </w:r>
      <w:r>
        <w:rPr/>
        <w:t>按账龄组合计提应收账款坏账准备</w:t>
      </w:r>
    </w:p>
    <w:p>
      <w:pPr>
        <w:spacing w:line="240" w:lineRule="auto" w:before="9"/>
        <w:rPr>
          <w:rFonts w:ascii="宋体" w:hAnsi="宋体" w:cs="宋体" w:eastAsia="宋体" w:hint="default"/>
          <w:sz w:val="2"/>
          <w:szCs w:val="2"/>
        </w:rPr>
      </w:pPr>
    </w:p>
    <w:tbl>
      <w:tblPr>
        <w:tblW w:w="0" w:type="auto"/>
        <w:jc w:val="left"/>
        <w:tblInd w:w="580" w:type="dxa"/>
        <w:tblLayout w:type="fixed"/>
        <w:tblCellMar>
          <w:top w:w="0" w:type="dxa"/>
          <w:left w:w="0" w:type="dxa"/>
          <w:bottom w:w="0" w:type="dxa"/>
          <w:right w:w="0" w:type="dxa"/>
        </w:tblCellMar>
        <w:tblLook w:val="01E0"/>
      </w:tblPr>
      <w:tblGrid>
        <w:gridCol w:w="2974"/>
        <w:gridCol w:w="1983"/>
        <w:gridCol w:w="1884"/>
        <w:gridCol w:w="1899"/>
      </w:tblGrid>
      <w:tr>
        <w:trPr>
          <w:trHeight w:val="500" w:hRule="exact"/>
        </w:trPr>
        <w:tc>
          <w:tcPr>
            <w:tcW w:w="2974"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20"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5766"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50"/>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490" w:hRule="exact"/>
        </w:trPr>
        <w:tc>
          <w:tcPr>
            <w:tcW w:w="2974" w:type="dxa"/>
            <w:vMerge/>
            <w:tcBorders>
              <w:left w:val="nil" w:sz="6" w:space="0" w:color="auto"/>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6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57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9"/>
              <w:ind w:left="32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Arial" w:hAnsi="Arial" w:cs="Arial" w:eastAsia="Arial" w:hint="default"/>
                <w:sz w:val="18"/>
                <w:szCs w:val="18"/>
              </w:rPr>
              <w:t>%</w:t>
            </w:r>
            <w:r>
              <w:rPr>
                <w:rFonts w:ascii="宋体" w:hAnsi="宋体" w:cs="宋体" w:eastAsia="宋体" w:hint="default"/>
                <w:sz w:val="18"/>
                <w:szCs w:val="18"/>
              </w:rPr>
              <w:t>）</w:t>
            </w:r>
          </w:p>
        </w:tc>
      </w:tr>
      <w:tr>
        <w:trPr>
          <w:trHeight w:val="890" w:hRule="exact"/>
        </w:trPr>
        <w:tc>
          <w:tcPr>
            <w:tcW w:w="2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24"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01"/>
              <w:jc w:val="right"/>
              <w:rPr>
                <w:rFonts w:ascii="Arial" w:hAnsi="Arial" w:cs="Arial" w:eastAsia="Arial" w:hint="default"/>
                <w:sz w:val="18"/>
                <w:szCs w:val="18"/>
              </w:rPr>
            </w:pPr>
            <w:r>
              <w:rPr>
                <w:rFonts w:ascii="Arial"/>
                <w:spacing w:val="-1"/>
                <w:sz w:val="18"/>
              </w:rPr>
              <w:t>19,526,494.33</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0"/>
              <w:jc w:val="right"/>
              <w:rPr>
                <w:rFonts w:ascii="Arial" w:hAnsi="Arial" w:cs="Arial" w:eastAsia="Arial" w:hint="default"/>
                <w:sz w:val="18"/>
                <w:szCs w:val="18"/>
              </w:rPr>
            </w:pPr>
            <w:r>
              <w:rPr>
                <w:rFonts w:ascii="Arial"/>
                <w:spacing w:val="-1"/>
                <w:sz w:val="18"/>
              </w:rPr>
              <w:t>976,324.75</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7"/>
              <w:jc w:val="right"/>
              <w:rPr>
                <w:rFonts w:ascii="Arial" w:hAnsi="Arial" w:cs="Arial" w:eastAsia="Arial" w:hint="default"/>
                <w:sz w:val="18"/>
                <w:szCs w:val="18"/>
              </w:rPr>
            </w:pPr>
            <w:r>
              <w:rPr>
                <w:rFonts w:ascii="Arial"/>
                <w:spacing w:val="-1"/>
                <w:w w:val="95"/>
                <w:sz w:val="18"/>
              </w:rPr>
              <w:t>5</w:t>
            </w:r>
            <w:r>
              <w:rPr>
                <w:rFonts w:ascii="Times New Roman"/>
                <w:spacing w:val="-1"/>
                <w:w w:val="95"/>
                <w:sz w:val="18"/>
              </w:rPr>
              <w:t>.</w:t>
            </w:r>
            <w:r>
              <w:rPr>
                <w:rFonts w:ascii="Arial"/>
                <w:spacing w:val="-1"/>
                <w:w w:val="95"/>
                <w:sz w:val="18"/>
              </w:rPr>
              <w:t>00</w:t>
            </w:r>
            <w:r>
              <w:rPr>
                <w:rFonts w:ascii="Arial"/>
                <w:sz w:val="18"/>
              </w:rPr>
            </w:r>
          </w:p>
        </w:tc>
      </w:tr>
      <w:tr>
        <w:trPr>
          <w:trHeight w:val="890" w:hRule="exact"/>
        </w:trPr>
        <w:tc>
          <w:tcPr>
            <w:tcW w:w="2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24"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00"/>
              <w:jc w:val="right"/>
              <w:rPr>
                <w:rFonts w:ascii="Arial" w:hAnsi="Arial" w:cs="Arial" w:eastAsia="Arial" w:hint="default"/>
                <w:sz w:val="18"/>
                <w:szCs w:val="18"/>
              </w:rPr>
            </w:pPr>
            <w:r>
              <w:rPr>
                <w:rFonts w:ascii="Arial"/>
                <w:spacing w:val="-1"/>
                <w:sz w:val="18"/>
              </w:rPr>
              <w:t>1,220,741.85</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0"/>
              <w:jc w:val="right"/>
              <w:rPr>
                <w:rFonts w:ascii="Arial" w:hAnsi="Arial" w:cs="Arial" w:eastAsia="Arial" w:hint="default"/>
                <w:sz w:val="18"/>
                <w:szCs w:val="18"/>
              </w:rPr>
            </w:pPr>
            <w:r>
              <w:rPr>
                <w:rFonts w:ascii="Arial"/>
                <w:spacing w:val="-1"/>
                <w:sz w:val="18"/>
              </w:rPr>
              <w:t>122,074.17</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10</w:t>
            </w:r>
            <w:r>
              <w:rPr>
                <w:rFonts w:ascii="Times New Roman"/>
                <w:spacing w:val="-1"/>
                <w:sz w:val="18"/>
              </w:rPr>
              <w:t>.</w:t>
            </w:r>
            <w:r>
              <w:rPr>
                <w:rFonts w:ascii="Arial"/>
                <w:spacing w:val="-1"/>
                <w:sz w:val="18"/>
              </w:rPr>
              <w:t>00</w:t>
            </w:r>
          </w:p>
        </w:tc>
      </w:tr>
      <w:tr>
        <w:trPr>
          <w:trHeight w:val="891" w:hRule="exact"/>
        </w:trPr>
        <w:tc>
          <w:tcPr>
            <w:tcW w:w="2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24" w:right="0"/>
              <w:jc w:val="left"/>
              <w:rPr>
                <w:rFonts w:ascii="宋体" w:hAnsi="宋体" w:cs="宋体" w:eastAsia="宋体" w:hint="default"/>
                <w:sz w:val="18"/>
                <w:szCs w:val="18"/>
              </w:rPr>
            </w:pPr>
            <w:r>
              <w:rPr>
                <w:rFonts w:ascii="Arial" w:hAnsi="Arial" w:cs="Arial" w:eastAsia="Arial" w:hint="default"/>
                <w:sz w:val="18"/>
                <w:szCs w:val="18"/>
              </w:rPr>
              <w:t>2-3</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0"/>
              <w:jc w:val="right"/>
              <w:rPr>
                <w:rFonts w:ascii="Arial" w:hAnsi="Arial" w:cs="Arial" w:eastAsia="Arial" w:hint="default"/>
                <w:sz w:val="18"/>
                <w:szCs w:val="18"/>
              </w:rPr>
            </w:pPr>
            <w:r>
              <w:rPr>
                <w:rFonts w:ascii="Arial"/>
                <w:spacing w:val="-1"/>
                <w:sz w:val="18"/>
              </w:rPr>
              <w:t>148,841.20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97"/>
              <w:jc w:val="right"/>
              <w:rPr>
                <w:rFonts w:ascii="Arial" w:hAnsi="Arial" w:cs="Arial" w:eastAsia="Arial" w:hint="default"/>
                <w:sz w:val="18"/>
                <w:szCs w:val="18"/>
              </w:rPr>
            </w:pPr>
            <w:r>
              <w:rPr>
                <w:rFonts w:ascii="Arial"/>
                <w:spacing w:val="-1"/>
                <w:sz w:val="18"/>
              </w:rPr>
              <w:t>44,652.36</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30</w:t>
            </w:r>
            <w:r>
              <w:rPr>
                <w:rFonts w:ascii="Times New Roman"/>
                <w:spacing w:val="-1"/>
                <w:sz w:val="18"/>
              </w:rPr>
              <w:t>.</w:t>
            </w:r>
            <w:r>
              <w:rPr>
                <w:rFonts w:ascii="Arial"/>
                <w:spacing w:val="-1"/>
                <w:sz w:val="18"/>
              </w:rPr>
              <w:t>00</w:t>
            </w:r>
          </w:p>
        </w:tc>
      </w:tr>
      <w:tr>
        <w:trPr>
          <w:trHeight w:val="502" w:hRule="exact"/>
        </w:trPr>
        <w:tc>
          <w:tcPr>
            <w:tcW w:w="297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3-4</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983" w:type="dxa"/>
            <w:tcBorders>
              <w:top w:val="single" w:sz="4" w:space="0" w:color="000000"/>
              <w:left w:val="single" w:sz="4" w:space="0" w:color="000000"/>
              <w:bottom w:val="single" w:sz="12" w:space="0" w:color="000000"/>
              <w:right w:val="single" w:sz="4" w:space="0" w:color="000000"/>
            </w:tcBorders>
          </w:tcPr>
          <w:p>
            <w:pPr/>
          </w:p>
        </w:tc>
        <w:tc>
          <w:tcPr>
            <w:tcW w:w="1884" w:type="dxa"/>
            <w:tcBorders>
              <w:top w:val="single" w:sz="4" w:space="0" w:color="000000"/>
              <w:left w:val="single" w:sz="4" w:space="0" w:color="000000"/>
              <w:bottom w:val="single" w:sz="12" w:space="0" w:color="000000"/>
              <w:right w:val="single" w:sz="4" w:space="0" w:color="000000"/>
            </w:tcBorders>
          </w:tcPr>
          <w:p>
            <w:pPr/>
          </w:p>
        </w:tc>
        <w:tc>
          <w:tcPr>
            <w:tcW w:w="189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50</w:t>
            </w:r>
            <w:r>
              <w:rPr>
                <w:rFonts w:ascii="Times New Roman"/>
                <w:spacing w:val="-1"/>
                <w:sz w:val="18"/>
              </w:rPr>
              <w:t>.</w:t>
            </w:r>
            <w:r>
              <w:rPr>
                <w:rFonts w:ascii="Arial"/>
                <w:spacing w:val="-1"/>
                <w:sz w:val="18"/>
              </w:rPr>
              <w:t>00</w:t>
            </w:r>
          </w:p>
        </w:tc>
      </w:tr>
    </w:tbl>
    <w:p>
      <w:pPr>
        <w:spacing w:after="0" w:line="240" w:lineRule="auto"/>
        <w:jc w:val="right"/>
        <w:rPr>
          <w:rFonts w:ascii="Arial" w:hAnsi="Arial" w:cs="Arial" w:eastAsia="Arial"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580" w:type="dxa"/>
        <w:tblLayout w:type="fixed"/>
        <w:tblCellMar>
          <w:top w:w="0" w:type="dxa"/>
          <w:left w:w="0" w:type="dxa"/>
          <w:bottom w:w="0" w:type="dxa"/>
          <w:right w:w="0" w:type="dxa"/>
        </w:tblCellMar>
        <w:tblLook w:val="01E0"/>
      </w:tblPr>
      <w:tblGrid>
        <w:gridCol w:w="2974"/>
        <w:gridCol w:w="1983"/>
        <w:gridCol w:w="1884"/>
        <w:gridCol w:w="1899"/>
      </w:tblGrid>
      <w:tr>
        <w:trPr>
          <w:trHeight w:val="502" w:hRule="exact"/>
        </w:trPr>
        <w:tc>
          <w:tcPr>
            <w:tcW w:w="2974"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left="20"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5766"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490" w:hRule="exact"/>
        </w:trPr>
        <w:tc>
          <w:tcPr>
            <w:tcW w:w="2974" w:type="dxa"/>
            <w:vMerge/>
            <w:tcBorders>
              <w:left w:val="nil" w:sz="6" w:space="0" w:color="auto"/>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6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57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9"/>
              <w:ind w:left="32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Arial" w:hAnsi="Arial" w:cs="Arial" w:eastAsia="Arial" w:hint="default"/>
                <w:sz w:val="18"/>
                <w:szCs w:val="18"/>
              </w:rPr>
              <w:t>%</w:t>
            </w:r>
            <w:r>
              <w:rPr>
                <w:rFonts w:ascii="宋体" w:hAnsi="宋体" w:cs="宋体" w:eastAsia="宋体" w:hint="default"/>
                <w:sz w:val="18"/>
                <w:szCs w:val="18"/>
              </w:rPr>
              <w:t>）</w:t>
            </w:r>
          </w:p>
        </w:tc>
      </w:tr>
      <w:tr>
        <w:trPr>
          <w:trHeight w:val="449" w:hRule="exact"/>
        </w:trPr>
        <w:tc>
          <w:tcPr>
            <w:tcW w:w="2974" w:type="dxa"/>
            <w:tcBorders>
              <w:top w:val="single" w:sz="4" w:space="0" w:color="000000"/>
              <w:left w:val="nil" w:sz="6" w:space="0" w:color="auto"/>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Arial" w:hAnsi="Arial" w:cs="Arial" w:eastAsia="Arial" w:hint="default"/>
                <w:sz w:val="18"/>
                <w:szCs w:val="18"/>
              </w:rPr>
            </w:pPr>
            <w:r>
              <w:rPr>
                <w:rFonts w:ascii="Arial"/>
                <w:spacing w:val="-1"/>
                <w:sz w:val="18"/>
              </w:rPr>
              <w:t>358,062.04</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Arial" w:hAnsi="Arial" w:cs="Arial" w:eastAsia="Arial" w:hint="default"/>
                <w:sz w:val="18"/>
                <w:szCs w:val="18"/>
              </w:rPr>
            </w:pPr>
            <w:r>
              <w:rPr>
                <w:rFonts w:ascii="Arial"/>
                <w:spacing w:val="-1"/>
                <w:sz w:val="18"/>
              </w:rPr>
              <w:t>179,031.02</w:t>
            </w:r>
          </w:p>
        </w:tc>
        <w:tc>
          <w:tcPr>
            <w:tcW w:w="1899" w:type="dxa"/>
            <w:tcBorders>
              <w:top w:val="single" w:sz="4" w:space="0" w:color="000000"/>
              <w:left w:val="single" w:sz="4" w:space="0" w:color="000000"/>
              <w:bottom w:val="single" w:sz="4" w:space="0" w:color="000000"/>
              <w:right w:val="nil" w:sz="6" w:space="0" w:color="auto"/>
            </w:tcBorders>
          </w:tcPr>
          <w:p>
            <w:pPr/>
          </w:p>
        </w:tc>
      </w:tr>
      <w:tr>
        <w:trPr>
          <w:trHeight w:val="890" w:hRule="exact"/>
        </w:trPr>
        <w:tc>
          <w:tcPr>
            <w:tcW w:w="2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24" w:right="0"/>
              <w:jc w:val="left"/>
              <w:rPr>
                <w:rFonts w:ascii="宋体" w:hAnsi="宋体" w:cs="宋体" w:eastAsia="宋体" w:hint="default"/>
                <w:sz w:val="18"/>
                <w:szCs w:val="18"/>
              </w:rPr>
            </w:pPr>
            <w:r>
              <w:rPr>
                <w:rFonts w:ascii="Arial" w:hAnsi="Arial" w:cs="Arial" w:eastAsia="Arial" w:hint="default"/>
                <w:sz w:val="18"/>
                <w:szCs w:val="18"/>
              </w:rPr>
              <w:t>4-5</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98"/>
              <w:jc w:val="right"/>
              <w:rPr>
                <w:rFonts w:ascii="Arial" w:hAnsi="Arial" w:cs="Arial" w:eastAsia="Arial" w:hint="default"/>
                <w:sz w:val="18"/>
                <w:szCs w:val="18"/>
              </w:rPr>
            </w:pPr>
            <w:r>
              <w:rPr>
                <w:rFonts w:ascii="Arial"/>
                <w:spacing w:val="-1"/>
                <w:sz w:val="18"/>
              </w:rPr>
              <w:t>58,781.26</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97"/>
              <w:jc w:val="right"/>
              <w:rPr>
                <w:rFonts w:ascii="Arial" w:hAnsi="Arial" w:cs="Arial" w:eastAsia="Arial" w:hint="default"/>
                <w:sz w:val="18"/>
                <w:szCs w:val="18"/>
              </w:rPr>
            </w:pPr>
            <w:r>
              <w:rPr>
                <w:rFonts w:ascii="Arial"/>
                <w:spacing w:val="-1"/>
                <w:sz w:val="18"/>
              </w:rPr>
              <w:t>47,025.01</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80</w:t>
            </w:r>
            <w:r>
              <w:rPr>
                <w:rFonts w:ascii="Times New Roman"/>
                <w:spacing w:val="-1"/>
                <w:sz w:val="18"/>
              </w:rPr>
              <w:t>.</w:t>
            </w:r>
            <w:r>
              <w:rPr>
                <w:rFonts w:ascii="Arial"/>
                <w:spacing w:val="-1"/>
                <w:sz w:val="18"/>
              </w:rPr>
              <w:t>00</w:t>
            </w:r>
          </w:p>
        </w:tc>
      </w:tr>
      <w:tr>
        <w:trPr>
          <w:trHeight w:val="890" w:hRule="exact"/>
        </w:trPr>
        <w:tc>
          <w:tcPr>
            <w:tcW w:w="2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24"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0"/>
              <w:jc w:val="right"/>
              <w:rPr>
                <w:rFonts w:ascii="Arial" w:hAnsi="Arial" w:cs="Arial" w:eastAsia="Arial" w:hint="default"/>
                <w:sz w:val="18"/>
                <w:szCs w:val="18"/>
              </w:rPr>
            </w:pPr>
            <w:r>
              <w:rPr>
                <w:rFonts w:ascii="Arial"/>
                <w:spacing w:val="-1"/>
                <w:sz w:val="18"/>
              </w:rPr>
              <w:t>649,327.14</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0"/>
              <w:jc w:val="right"/>
              <w:rPr>
                <w:rFonts w:ascii="Arial" w:hAnsi="Arial" w:cs="Arial" w:eastAsia="Arial" w:hint="default"/>
                <w:sz w:val="18"/>
                <w:szCs w:val="18"/>
              </w:rPr>
            </w:pPr>
            <w:r>
              <w:rPr>
                <w:rFonts w:ascii="Arial"/>
                <w:spacing w:val="-1"/>
                <w:sz w:val="18"/>
              </w:rPr>
              <w:t>649,327.14</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100</w:t>
            </w:r>
            <w:r>
              <w:rPr>
                <w:rFonts w:ascii="Times New Roman"/>
                <w:spacing w:val="-1"/>
                <w:sz w:val="18"/>
              </w:rPr>
              <w:t>.</w:t>
            </w:r>
            <w:r>
              <w:rPr>
                <w:rFonts w:ascii="Arial"/>
                <w:spacing w:val="-1"/>
                <w:sz w:val="18"/>
              </w:rPr>
              <w:t>00</w:t>
            </w:r>
          </w:p>
        </w:tc>
      </w:tr>
      <w:tr>
        <w:trPr>
          <w:trHeight w:val="901" w:hRule="exact"/>
        </w:trPr>
        <w:tc>
          <w:tcPr>
            <w:tcW w:w="297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01"/>
              <w:jc w:val="right"/>
              <w:rPr>
                <w:rFonts w:ascii="Arial" w:hAnsi="Arial" w:cs="Arial" w:eastAsia="Arial" w:hint="default"/>
                <w:sz w:val="18"/>
                <w:szCs w:val="18"/>
              </w:rPr>
            </w:pPr>
            <w:r>
              <w:rPr>
                <w:rFonts w:ascii="Arial"/>
                <w:spacing w:val="-1"/>
                <w:sz w:val="18"/>
              </w:rPr>
              <w:t>21,962,247.82</w:t>
            </w:r>
          </w:p>
        </w:tc>
        <w:tc>
          <w:tcPr>
            <w:tcW w:w="18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98"/>
              <w:jc w:val="right"/>
              <w:rPr>
                <w:rFonts w:ascii="Arial" w:hAnsi="Arial" w:cs="Arial" w:eastAsia="Arial" w:hint="default"/>
                <w:sz w:val="18"/>
                <w:szCs w:val="18"/>
              </w:rPr>
            </w:pPr>
            <w:r>
              <w:rPr>
                <w:rFonts w:ascii="Arial"/>
                <w:spacing w:val="-1"/>
                <w:sz w:val="18"/>
              </w:rPr>
              <w:t>2,018,434.45</w:t>
            </w:r>
          </w:p>
        </w:tc>
        <w:tc>
          <w:tcPr>
            <w:tcW w:w="1899" w:type="dxa"/>
            <w:tcBorders>
              <w:top w:val="single" w:sz="4" w:space="0" w:color="000000"/>
              <w:left w:val="single" w:sz="4" w:space="0" w:color="000000"/>
              <w:bottom w:val="single" w:sz="12" w:space="0" w:color="000000"/>
              <w:right w:val="nil" w:sz="6" w:space="0" w:color="auto"/>
            </w:tcBorders>
          </w:tcPr>
          <w:p>
            <w:pPr/>
          </w:p>
        </w:tc>
      </w:tr>
    </w:tbl>
    <w:p>
      <w:pPr>
        <w:pStyle w:val="BodyText"/>
        <w:spacing w:line="240" w:lineRule="auto" w:before="62"/>
        <w:ind w:left="592" w:right="1133"/>
        <w:jc w:val="left"/>
      </w:pPr>
      <w:r>
        <w:rPr/>
        <w:t>③其他应收款按账龄列示</w:t>
      </w:r>
    </w:p>
    <w:p>
      <w:pPr>
        <w:spacing w:line="240" w:lineRule="auto" w:before="11"/>
        <w:rPr>
          <w:rFonts w:ascii="宋体" w:hAnsi="宋体" w:cs="宋体" w:eastAsia="宋体" w:hint="default"/>
          <w:sz w:val="3"/>
          <w:szCs w:val="3"/>
        </w:rPr>
      </w:pPr>
    </w:p>
    <w:tbl>
      <w:tblPr>
        <w:tblW w:w="0" w:type="auto"/>
        <w:jc w:val="left"/>
        <w:tblInd w:w="580" w:type="dxa"/>
        <w:tblLayout w:type="fixed"/>
        <w:tblCellMar>
          <w:top w:w="0" w:type="dxa"/>
          <w:left w:w="0" w:type="dxa"/>
          <w:bottom w:w="0" w:type="dxa"/>
          <w:right w:w="0" w:type="dxa"/>
        </w:tblCellMar>
        <w:tblLook w:val="01E0"/>
      </w:tblPr>
      <w:tblGrid>
        <w:gridCol w:w="3927"/>
        <w:gridCol w:w="4813"/>
      </w:tblGrid>
      <w:tr>
        <w:trPr>
          <w:trHeight w:val="499" w:hRule="exact"/>
        </w:trPr>
        <w:tc>
          <w:tcPr>
            <w:tcW w:w="392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49"/>
              <w:ind w:right="1767"/>
              <w:jc w:val="right"/>
              <w:rPr>
                <w:rFonts w:ascii="宋体" w:hAnsi="宋体" w:cs="宋体" w:eastAsia="宋体" w:hint="default"/>
                <w:sz w:val="18"/>
                <w:szCs w:val="18"/>
              </w:rPr>
            </w:pPr>
            <w:r>
              <w:rPr>
                <w:rFonts w:ascii="宋体" w:hAnsi="宋体" w:cs="宋体" w:eastAsia="宋体" w:hint="default"/>
                <w:sz w:val="18"/>
                <w:szCs w:val="18"/>
              </w:rPr>
              <w:t>账龄</w:t>
            </w:r>
          </w:p>
        </w:tc>
        <w:tc>
          <w:tcPr>
            <w:tcW w:w="481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49"/>
              <w:ind w:right="5"/>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492" w:hRule="exact"/>
        </w:trPr>
        <w:tc>
          <w:tcPr>
            <w:tcW w:w="3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2"/>
              <w:ind w:left="124"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48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8"/>
              <w:jc w:val="right"/>
              <w:rPr>
                <w:rFonts w:ascii="Arial" w:hAnsi="Arial" w:cs="Arial" w:eastAsia="Arial" w:hint="default"/>
                <w:sz w:val="18"/>
                <w:szCs w:val="18"/>
              </w:rPr>
            </w:pPr>
            <w:r>
              <w:rPr>
                <w:rFonts w:ascii="Arial"/>
                <w:spacing w:val="-1"/>
                <w:sz w:val="18"/>
              </w:rPr>
              <w:t>34,256,293.47</w:t>
            </w:r>
          </w:p>
        </w:tc>
      </w:tr>
      <w:tr>
        <w:trPr>
          <w:trHeight w:val="490" w:hRule="exact"/>
        </w:trPr>
        <w:tc>
          <w:tcPr>
            <w:tcW w:w="3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48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7"/>
              <w:jc w:val="right"/>
              <w:rPr>
                <w:rFonts w:ascii="Arial" w:hAnsi="Arial" w:cs="Arial" w:eastAsia="Arial" w:hint="default"/>
                <w:sz w:val="18"/>
                <w:szCs w:val="18"/>
              </w:rPr>
            </w:pPr>
            <w:r>
              <w:rPr>
                <w:rFonts w:ascii="Arial"/>
                <w:spacing w:val="-1"/>
                <w:sz w:val="18"/>
              </w:rPr>
              <w:t>5,426,424.02</w:t>
            </w:r>
          </w:p>
        </w:tc>
      </w:tr>
      <w:tr>
        <w:trPr>
          <w:trHeight w:val="490" w:hRule="exact"/>
        </w:trPr>
        <w:tc>
          <w:tcPr>
            <w:tcW w:w="3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2-3</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48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2"/>
                <w:sz w:val="18"/>
              </w:rPr>
              <w:t>5,325,130.11</w:t>
            </w:r>
          </w:p>
        </w:tc>
      </w:tr>
      <w:tr>
        <w:trPr>
          <w:trHeight w:val="490" w:hRule="exact"/>
        </w:trPr>
        <w:tc>
          <w:tcPr>
            <w:tcW w:w="3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0"/>
              <w:ind w:left="124" w:right="0"/>
              <w:jc w:val="left"/>
              <w:rPr>
                <w:rFonts w:ascii="宋体" w:hAnsi="宋体" w:cs="宋体" w:eastAsia="宋体" w:hint="default"/>
                <w:sz w:val="18"/>
                <w:szCs w:val="18"/>
              </w:rPr>
            </w:pPr>
            <w:r>
              <w:rPr>
                <w:rFonts w:ascii="Arial" w:hAnsi="Arial" w:cs="Arial" w:eastAsia="Arial" w:hint="default"/>
                <w:sz w:val="18"/>
                <w:szCs w:val="18"/>
              </w:rPr>
              <w:t>3-4</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48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7"/>
              <w:jc w:val="right"/>
              <w:rPr>
                <w:rFonts w:ascii="Arial" w:hAnsi="Arial" w:cs="Arial" w:eastAsia="Arial" w:hint="default"/>
                <w:sz w:val="18"/>
                <w:szCs w:val="18"/>
              </w:rPr>
            </w:pPr>
            <w:r>
              <w:rPr>
                <w:rFonts w:ascii="Arial"/>
                <w:spacing w:val="-1"/>
                <w:sz w:val="18"/>
              </w:rPr>
              <w:t>639,584.64</w:t>
            </w:r>
          </w:p>
        </w:tc>
      </w:tr>
      <w:tr>
        <w:trPr>
          <w:trHeight w:val="490" w:hRule="exact"/>
        </w:trPr>
        <w:tc>
          <w:tcPr>
            <w:tcW w:w="3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4-5</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48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4"/>
              <w:jc w:val="right"/>
              <w:rPr>
                <w:rFonts w:ascii="Arial" w:hAnsi="Arial" w:cs="Arial" w:eastAsia="Arial" w:hint="default"/>
                <w:sz w:val="18"/>
                <w:szCs w:val="18"/>
              </w:rPr>
            </w:pPr>
            <w:r>
              <w:rPr>
                <w:rFonts w:ascii="Arial"/>
                <w:spacing w:val="-1"/>
                <w:sz w:val="18"/>
              </w:rPr>
              <w:t>58,781.26</w:t>
            </w:r>
          </w:p>
        </w:tc>
      </w:tr>
      <w:tr>
        <w:trPr>
          <w:trHeight w:val="490" w:hRule="exact"/>
        </w:trPr>
        <w:tc>
          <w:tcPr>
            <w:tcW w:w="3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48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7"/>
              <w:jc w:val="right"/>
              <w:rPr>
                <w:rFonts w:ascii="Arial" w:hAnsi="Arial" w:cs="Arial" w:eastAsia="Arial" w:hint="default"/>
                <w:sz w:val="18"/>
                <w:szCs w:val="18"/>
              </w:rPr>
            </w:pPr>
            <w:r>
              <w:rPr>
                <w:rFonts w:ascii="Arial"/>
                <w:spacing w:val="-1"/>
                <w:sz w:val="18"/>
              </w:rPr>
              <w:t>3,929,087.59</w:t>
            </w:r>
          </w:p>
        </w:tc>
      </w:tr>
      <w:tr>
        <w:trPr>
          <w:trHeight w:val="502" w:hRule="exact"/>
        </w:trPr>
        <w:tc>
          <w:tcPr>
            <w:tcW w:w="3927" w:type="dxa"/>
            <w:tcBorders>
              <w:top w:val="single" w:sz="4" w:space="0" w:color="000000"/>
              <w:left w:val="nil" w:sz="6" w:space="0" w:color="auto"/>
              <w:bottom w:val="single" w:sz="6" w:space="0" w:color="000000"/>
              <w:right w:val="single" w:sz="4" w:space="0" w:color="000000"/>
            </w:tcBorders>
          </w:tcPr>
          <w:p>
            <w:pPr>
              <w:pStyle w:val="TableParagraph"/>
              <w:spacing w:line="240" w:lineRule="auto" w:before="135"/>
              <w:ind w:right="1767"/>
              <w:jc w:val="right"/>
              <w:rPr>
                <w:rFonts w:ascii="宋体" w:hAnsi="宋体" w:cs="宋体" w:eastAsia="宋体" w:hint="default"/>
                <w:sz w:val="18"/>
                <w:szCs w:val="18"/>
              </w:rPr>
            </w:pPr>
            <w:r>
              <w:rPr>
                <w:rFonts w:ascii="宋体" w:hAnsi="宋体" w:cs="宋体" w:eastAsia="宋体" w:hint="default"/>
                <w:sz w:val="18"/>
                <w:szCs w:val="18"/>
              </w:rPr>
              <w:t>合计</w:t>
            </w:r>
          </w:p>
        </w:tc>
        <w:tc>
          <w:tcPr>
            <w:tcW w:w="481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8"/>
              <w:jc w:val="right"/>
              <w:rPr>
                <w:rFonts w:ascii="Arial" w:hAnsi="Arial" w:cs="Arial" w:eastAsia="Arial" w:hint="default"/>
                <w:sz w:val="18"/>
                <w:szCs w:val="18"/>
              </w:rPr>
            </w:pPr>
            <w:r>
              <w:rPr>
                <w:rFonts w:ascii="Arial"/>
                <w:spacing w:val="-1"/>
                <w:sz w:val="18"/>
              </w:rPr>
              <w:t>49,635,301.09</w:t>
            </w:r>
          </w:p>
        </w:tc>
      </w:tr>
    </w:tbl>
    <w:p>
      <w:pPr>
        <w:pStyle w:val="BodyText"/>
        <w:spacing w:line="240" w:lineRule="auto" w:before="62"/>
        <w:ind w:left="592" w:right="1133"/>
        <w:jc w:val="left"/>
      </w:pPr>
      <w:r>
        <w:rPr/>
        <w:t>④其他应收款坏账准备情况</w:t>
      </w:r>
    </w:p>
    <w:p>
      <w:pPr>
        <w:spacing w:line="240" w:lineRule="auto" w:before="11"/>
        <w:rPr>
          <w:rFonts w:ascii="宋体" w:hAnsi="宋体" w:cs="宋体" w:eastAsia="宋体" w:hint="default"/>
          <w:sz w:val="3"/>
          <w:szCs w:val="3"/>
        </w:rPr>
      </w:pPr>
    </w:p>
    <w:tbl>
      <w:tblPr>
        <w:tblW w:w="0" w:type="auto"/>
        <w:jc w:val="left"/>
        <w:tblInd w:w="318" w:type="dxa"/>
        <w:tblLayout w:type="fixed"/>
        <w:tblCellMar>
          <w:top w:w="0" w:type="dxa"/>
          <w:left w:w="0" w:type="dxa"/>
          <w:bottom w:w="0" w:type="dxa"/>
          <w:right w:w="0" w:type="dxa"/>
        </w:tblCellMar>
        <w:tblLook w:val="01E0"/>
      </w:tblPr>
      <w:tblGrid>
        <w:gridCol w:w="1423"/>
        <w:gridCol w:w="1409"/>
        <w:gridCol w:w="1219"/>
        <w:gridCol w:w="1217"/>
        <w:gridCol w:w="1330"/>
        <w:gridCol w:w="1268"/>
        <w:gridCol w:w="1399"/>
      </w:tblGrid>
      <w:tr>
        <w:trPr>
          <w:trHeight w:val="497" w:hRule="exact"/>
        </w:trPr>
        <w:tc>
          <w:tcPr>
            <w:tcW w:w="1423"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1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409"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340"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5034"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9"/>
              <w:ind w:right="1"/>
              <w:jc w:val="center"/>
              <w:rPr>
                <w:rFonts w:ascii="宋体" w:hAnsi="宋体" w:cs="宋体" w:eastAsia="宋体" w:hint="default"/>
                <w:sz w:val="18"/>
                <w:szCs w:val="18"/>
              </w:rPr>
            </w:pPr>
            <w:r>
              <w:rPr>
                <w:rFonts w:ascii="宋体" w:hAnsi="宋体" w:cs="宋体" w:eastAsia="宋体" w:hint="default"/>
                <w:sz w:val="18"/>
                <w:szCs w:val="18"/>
              </w:rPr>
              <w:t>本年变动金额</w:t>
            </w:r>
          </w:p>
        </w:tc>
        <w:tc>
          <w:tcPr>
            <w:tcW w:w="1399" w:type="dxa"/>
            <w:vMerge w:val="restart"/>
            <w:tcBorders>
              <w:top w:val="single" w:sz="1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338"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485" w:hRule="exact"/>
        </w:trPr>
        <w:tc>
          <w:tcPr>
            <w:tcW w:w="1423" w:type="dxa"/>
            <w:vMerge/>
            <w:tcBorders>
              <w:left w:val="nil" w:sz="6" w:space="0" w:color="auto"/>
              <w:bottom w:val="single" w:sz="2" w:space="0" w:color="000000"/>
              <w:right w:val="single" w:sz="2" w:space="0" w:color="000000"/>
            </w:tcBorders>
          </w:tcPr>
          <w:p>
            <w:pPr/>
          </w:p>
        </w:tc>
        <w:tc>
          <w:tcPr>
            <w:tcW w:w="1409" w:type="dxa"/>
            <w:vMerge/>
            <w:tcBorders>
              <w:left w:val="single" w:sz="2" w:space="0" w:color="000000"/>
              <w:bottom w:val="single" w:sz="2" w:space="0" w:color="000000"/>
              <w:right w:val="single" w:sz="2" w:space="0" w:color="000000"/>
            </w:tcBorders>
          </w:tcPr>
          <w:p>
            <w:pPr/>
          </w:p>
        </w:tc>
        <w:tc>
          <w:tcPr>
            <w:tcW w:w="12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155"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213" w:right="0"/>
              <w:jc w:val="left"/>
              <w:rPr>
                <w:rFonts w:ascii="宋体" w:hAnsi="宋体" w:cs="宋体" w:eastAsia="宋体" w:hint="default"/>
                <w:sz w:val="18"/>
                <w:szCs w:val="18"/>
              </w:rPr>
            </w:pPr>
            <w:r>
              <w:rPr>
                <w:rFonts w:ascii="宋体" w:hAnsi="宋体" w:cs="宋体" w:eastAsia="宋体" w:hint="default"/>
                <w:sz w:val="18"/>
                <w:szCs w:val="18"/>
              </w:rPr>
              <w:t>转销或核销</w:t>
            </w:r>
          </w:p>
        </w:tc>
        <w:tc>
          <w:tcPr>
            <w:tcW w:w="1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99" w:type="dxa"/>
            <w:vMerge/>
            <w:tcBorders>
              <w:left w:val="single" w:sz="2" w:space="0" w:color="000000"/>
              <w:bottom w:val="single" w:sz="2" w:space="0" w:color="000000"/>
              <w:right w:val="nil" w:sz="6" w:space="0" w:color="auto"/>
            </w:tcBorders>
          </w:tcPr>
          <w:p>
            <w:pPr/>
          </w:p>
        </w:tc>
      </w:tr>
      <w:tr>
        <w:trPr>
          <w:trHeight w:val="485" w:hRule="exact"/>
        </w:trPr>
        <w:tc>
          <w:tcPr>
            <w:tcW w:w="14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2</w:t>
            </w:r>
            <w:r>
              <w:rPr>
                <w:rFonts w:ascii="Times New Roman"/>
                <w:spacing w:val="-1"/>
                <w:sz w:val="18"/>
              </w:rPr>
              <w:t>,</w:t>
            </w:r>
            <w:r>
              <w:rPr>
                <w:rFonts w:ascii="Arial"/>
                <w:spacing w:val="-1"/>
                <w:sz w:val="18"/>
              </w:rPr>
              <w:t>642</w:t>
            </w:r>
            <w:r>
              <w:rPr>
                <w:rFonts w:ascii="Times New Roman"/>
                <w:spacing w:val="-1"/>
                <w:sz w:val="18"/>
              </w:rPr>
              <w:t>,</w:t>
            </w:r>
            <w:r>
              <w:rPr>
                <w:rFonts w:ascii="Arial"/>
                <w:spacing w:val="-1"/>
                <w:sz w:val="18"/>
              </w:rPr>
              <w:t>164</w:t>
            </w:r>
            <w:r>
              <w:rPr>
                <w:rFonts w:ascii="Times New Roman"/>
                <w:spacing w:val="-1"/>
                <w:sz w:val="18"/>
              </w:rPr>
              <w:t>.</w:t>
            </w:r>
            <w:r>
              <w:rPr>
                <w:rFonts w:ascii="Arial"/>
                <w:spacing w:val="-1"/>
                <w:sz w:val="18"/>
              </w:rPr>
              <w:t>76</w:t>
            </w:r>
          </w:p>
        </w:tc>
        <w:tc>
          <w:tcPr>
            <w:tcW w:w="12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169,372.76</w:t>
            </w:r>
          </w:p>
        </w:tc>
        <w:tc>
          <w:tcPr>
            <w:tcW w:w="1217" w:type="dxa"/>
            <w:tcBorders>
              <w:top w:val="single" w:sz="2" w:space="0" w:color="000000"/>
              <w:left w:val="single" w:sz="2" w:space="0" w:color="000000"/>
              <w:bottom w:val="single" w:sz="2" w:space="0" w:color="000000"/>
              <w:right w:val="single" w:sz="2" w:space="0" w:color="000000"/>
            </w:tcBorders>
          </w:tcPr>
          <w:p>
            <w:pPr/>
          </w:p>
        </w:tc>
        <w:tc>
          <w:tcPr>
            <w:tcW w:w="1330" w:type="dxa"/>
            <w:tcBorders>
              <w:top w:val="single" w:sz="2" w:space="0" w:color="000000"/>
              <w:left w:val="single" w:sz="2" w:space="0" w:color="000000"/>
              <w:bottom w:val="single" w:sz="2" w:space="0" w:color="000000"/>
              <w:right w:val="single" w:sz="2" w:space="0" w:color="000000"/>
            </w:tcBorders>
          </w:tcPr>
          <w:p>
            <w:pPr/>
          </w:p>
        </w:tc>
        <w:tc>
          <w:tcPr>
            <w:tcW w:w="1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-38,124.42</w:t>
            </w:r>
          </w:p>
        </w:tc>
        <w:tc>
          <w:tcPr>
            <w:tcW w:w="13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2,773,413.10</w:t>
            </w:r>
          </w:p>
        </w:tc>
      </w:tr>
      <w:tr>
        <w:trPr>
          <w:trHeight w:val="499" w:hRule="exact"/>
        </w:trPr>
        <w:tc>
          <w:tcPr>
            <w:tcW w:w="142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0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2</w:t>
            </w:r>
            <w:r>
              <w:rPr>
                <w:rFonts w:ascii="Times New Roman"/>
                <w:spacing w:val="-1"/>
                <w:sz w:val="18"/>
              </w:rPr>
              <w:t>,</w:t>
            </w:r>
            <w:r>
              <w:rPr>
                <w:rFonts w:ascii="Arial"/>
                <w:spacing w:val="-1"/>
                <w:sz w:val="18"/>
              </w:rPr>
              <w:t>642</w:t>
            </w:r>
            <w:r>
              <w:rPr>
                <w:rFonts w:ascii="Times New Roman"/>
                <w:spacing w:val="-1"/>
                <w:sz w:val="18"/>
              </w:rPr>
              <w:t>,</w:t>
            </w:r>
            <w:r>
              <w:rPr>
                <w:rFonts w:ascii="Arial"/>
                <w:spacing w:val="-1"/>
                <w:sz w:val="18"/>
              </w:rPr>
              <w:t>164</w:t>
            </w:r>
            <w:r>
              <w:rPr>
                <w:rFonts w:ascii="Times New Roman"/>
                <w:spacing w:val="-1"/>
                <w:sz w:val="18"/>
              </w:rPr>
              <w:t>.</w:t>
            </w:r>
            <w:r>
              <w:rPr>
                <w:rFonts w:ascii="Arial"/>
                <w:spacing w:val="-1"/>
                <w:sz w:val="18"/>
              </w:rPr>
              <w:t>76</w:t>
            </w:r>
          </w:p>
        </w:tc>
        <w:tc>
          <w:tcPr>
            <w:tcW w:w="12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169,372.76</w:t>
            </w:r>
          </w:p>
        </w:tc>
        <w:tc>
          <w:tcPr>
            <w:tcW w:w="1217" w:type="dxa"/>
            <w:tcBorders>
              <w:top w:val="single" w:sz="2" w:space="0" w:color="000000"/>
              <w:left w:val="single" w:sz="2" w:space="0" w:color="000000"/>
              <w:bottom w:val="single" w:sz="12" w:space="0" w:color="000000"/>
              <w:right w:val="single" w:sz="2" w:space="0" w:color="000000"/>
            </w:tcBorders>
          </w:tcPr>
          <w:p>
            <w:pPr/>
          </w:p>
        </w:tc>
        <w:tc>
          <w:tcPr>
            <w:tcW w:w="1330" w:type="dxa"/>
            <w:tcBorders>
              <w:top w:val="single" w:sz="2" w:space="0" w:color="000000"/>
              <w:left w:val="single" w:sz="2" w:space="0" w:color="000000"/>
              <w:bottom w:val="single" w:sz="12" w:space="0" w:color="000000"/>
              <w:right w:val="single" w:sz="2" w:space="0" w:color="000000"/>
            </w:tcBorders>
          </w:tcPr>
          <w:p>
            <w:pPr/>
          </w:p>
        </w:tc>
        <w:tc>
          <w:tcPr>
            <w:tcW w:w="12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-38,124.42</w:t>
            </w:r>
          </w:p>
        </w:tc>
        <w:tc>
          <w:tcPr>
            <w:tcW w:w="139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2,773,413.10</w:t>
            </w:r>
          </w:p>
        </w:tc>
      </w:tr>
    </w:tbl>
    <w:p>
      <w:pPr>
        <w:pStyle w:val="BodyText"/>
        <w:spacing w:line="240" w:lineRule="auto" w:before="62"/>
        <w:ind w:left="592" w:right="1133"/>
        <w:jc w:val="left"/>
      </w:pPr>
      <w:r>
        <w:rPr/>
        <w:t>⑤按欠款方归集的年末余额前五名的其他应收款情况</w:t>
      </w:r>
    </w:p>
    <w:p>
      <w:pPr>
        <w:spacing w:line="240" w:lineRule="auto" w:before="11"/>
        <w:rPr>
          <w:rFonts w:ascii="宋体" w:hAnsi="宋体" w:cs="宋体" w:eastAsia="宋体" w:hint="default"/>
          <w:sz w:val="3"/>
          <w:szCs w:val="3"/>
        </w:rPr>
      </w:pPr>
    </w:p>
    <w:tbl>
      <w:tblPr>
        <w:tblW w:w="0" w:type="auto"/>
        <w:jc w:val="left"/>
        <w:tblInd w:w="494" w:type="dxa"/>
        <w:tblLayout w:type="fixed"/>
        <w:tblCellMar>
          <w:top w:w="0" w:type="dxa"/>
          <w:left w:w="0" w:type="dxa"/>
          <w:bottom w:w="0" w:type="dxa"/>
          <w:right w:w="0" w:type="dxa"/>
        </w:tblCellMar>
        <w:tblLook w:val="01E0"/>
      </w:tblPr>
      <w:tblGrid>
        <w:gridCol w:w="1966"/>
        <w:gridCol w:w="1277"/>
        <w:gridCol w:w="1416"/>
        <w:gridCol w:w="994"/>
        <w:gridCol w:w="1870"/>
        <w:gridCol w:w="1390"/>
      </w:tblGrid>
      <w:tr>
        <w:trPr>
          <w:trHeight w:val="936" w:hRule="exact"/>
        </w:trPr>
        <w:tc>
          <w:tcPr>
            <w:tcW w:w="1966"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6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2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5"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14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99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5"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870" w:type="dxa"/>
            <w:tcBorders>
              <w:top w:val="single" w:sz="12" w:space="0" w:color="000000"/>
              <w:left w:val="single" w:sz="2" w:space="0" w:color="000000"/>
              <w:bottom w:val="single" w:sz="2" w:space="0" w:color="000000"/>
              <w:right w:val="single" w:sz="2" w:space="0" w:color="000000"/>
            </w:tcBorders>
          </w:tcPr>
          <w:p>
            <w:pPr>
              <w:pStyle w:val="TableParagraph"/>
              <w:spacing w:line="400" w:lineRule="exact" w:before="59"/>
              <w:ind w:left="160" w:right="122" w:hanging="39"/>
              <w:jc w:val="left"/>
              <w:rPr>
                <w:rFonts w:ascii="Arial" w:hAnsi="Arial" w:cs="Arial" w:eastAsia="Arial" w:hint="default"/>
                <w:sz w:val="18"/>
                <w:szCs w:val="18"/>
              </w:rPr>
            </w:pPr>
            <w:r>
              <w:rPr>
                <w:rFonts w:ascii="宋体" w:hAnsi="宋体" w:cs="宋体" w:eastAsia="宋体" w:hint="default"/>
                <w:sz w:val="18"/>
                <w:szCs w:val="18"/>
              </w:rPr>
              <w:t>占其他应收款年末余 额合计数的比例</w:t>
            </w:r>
            <w:r>
              <w:rPr>
                <w:rFonts w:ascii="Arial" w:hAnsi="Arial" w:cs="Arial" w:eastAsia="Arial" w:hint="default"/>
                <w:sz w:val="18"/>
                <w:szCs w:val="18"/>
              </w:rPr>
              <w:t>(%)</w:t>
            </w:r>
          </w:p>
        </w:tc>
        <w:tc>
          <w:tcPr>
            <w:tcW w:w="1390" w:type="dxa"/>
            <w:tcBorders>
              <w:top w:val="single" w:sz="12" w:space="0" w:color="000000"/>
              <w:left w:val="single" w:sz="2" w:space="0" w:color="000000"/>
              <w:bottom w:val="single" w:sz="2" w:space="0" w:color="000000"/>
              <w:right w:val="nil" w:sz="6" w:space="0" w:color="auto"/>
            </w:tcBorders>
          </w:tcPr>
          <w:p>
            <w:pPr>
              <w:pStyle w:val="TableParagraph"/>
              <w:spacing w:line="440" w:lineRule="exact" w:before="8"/>
              <w:ind w:left="333" w:right="331"/>
              <w:jc w:val="left"/>
              <w:rPr>
                <w:rFonts w:ascii="宋体" w:hAnsi="宋体" w:cs="宋体" w:eastAsia="宋体" w:hint="default"/>
                <w:sz w:val="18"/>
                <w:szCs w:val="18"/>
              </w:rPr>
            </w:pPr>
            <w:r>
              <w:rPr>
                <w:rFonts w:ascii="宋体" w:hAnsi="宋体" w:cs="宋体" w:eastAsia="宋体" w:hint="default"/>
                <w:sz w:val="18"/>
                <w:szCs w:val="18"/>
              </w:rPr>
              <w:t>坏账准备 年末余额</w:t>
            </w:r>
          </w:p>
        </w:tc>
      </w:tr>
      <w:tr>
        <w:trPr>
          <w:trHeight w:val="487" w:hRule="exact"/>
        </w:trPr>
        <w:tc>
          <w:tcPr>
            <w:tcW w:w="19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2"/>
              <w:ind w:left="2"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8" w:right="0"/>
              <w:jc w:val="center"/>
              <w:rPr>
                <w:rFonts w:ascii="Arial" w:hAnsi="Arial" w:cs="Arial" w:eastAsia="Arial" w:hint="default"/>
                <w:sz w:val="18"/>
                <w:szCs w:val="18"/>
              </w:rPr>
            </w:pPr>
            <w:r>
              <w:rPr>
                <w:rFonts w:ascii="Arial"/>
                <w:sz w:val="18"/>
              </w:rPr>
              <w:t>16,020,000.00</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2"/>
              <w:ind w:left="5"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8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w w:val="95"/>
                <w:sz w:val="18"/>
              </w:rPr>
              <w:t>32.28</w:t>
            </w:r>
            <w:r>
              <w:rPr>
                <w:rFonts w:ascii="Arial"/>
                <w:sz w:val="18"/>
              </w:rPr>
            </w:r>
          </w:p>
        </w:tc>
        <w:tc>
          <w:tcPr>
            <w:tcW w:w="13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801,000.00</w:t>
            </w:r>
          </w:p>
        </w:tc>
      </w:tr>
      <w:tr>
        <w:trPr>
          <w:trHeight w:val="485" w:hRule="exact"/>
        </w:trPr>
        <w:tc>
          <w:tcPr>
            <w:tcW w:w="19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2"/>
              <w:ind w:left="1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2"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8" w:right="0"/>
              <w:jc w:val="center"/>
              <w:rPr>
                <w:rFonts w:ascii="Arial" w:hAnsi="Arial" w:cs="Arial" w:eastAsia="Arial" w:hint="default"/>
                <w:sz w:val="18"/>
                <w:szCs w:val="18"/>
              </w:rPr>
            </w:pPr>
            <w:r>
              <w:rPr>
                <w:rFonts w:ascii="Arial"/>
                <w:sz w:val="18"/>
              </w:rPr>
              <w:t>13,174,365.80</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7" w:right="0"/>
              <w:jc w:val="center"/>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8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w w:val="95"/>
                <w:sz w:val="18"/>
              </w:rPr>
              <w:t>26.54</w:t>
            </w:r>
            <w:r>
              <w:rPr>
                <w:rFonts w:ascii="Arial"/>
                <w:sz w:val="18"/>
              </w:rPr>
            </w:r>
          </w:p>
        </w:tc>
        <w:tc>
          <w:tcPr>
            <w:tcW w:w="13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395,230.98</w:t>
            </w:r>
          </w:p>
        </w:tc>
      </w:tr>
      <w:tr>
        <w:trPr>
          <w:trHeight w:val="497" w:hRule="exact"/>
        </w:trPr>
        <w:tc>
          <w:tcPr>
            <w:tcW w:w="196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2"/>
              <w:ind w:left="1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2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9"/>
              <w:ind w:left="2"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49" w:right="0"/>
              <w:jc w:val="center"/>
              <w:rPr>
                <w:rFonts w:ascii="Arial" w:hAnsi="Arial" w:cs="Arial" w:eastAsia="Arial" w:hint="default"/>
                <w:sz w:val="18"/>
                <w:szCs w:val="18"/>
              </w:rPr>
            </w:pPr>
            <w:r>
              <w:rPr>
                <w:rFonts w:ascii="Arial"/>
                <w:sz w:val="18"/>
              </w:rPr>
              <w:t>3,198,162.45</w:t>
            </w:r>
          </w:p>
        </w:tc>
        <w:tc>
          <w:tcPr>
            <w:tcW w:w="9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9"/>
              <w:ind w:left="5" w:right="0"/>
              <w:jc w:val="center"/>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187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w w:val="95"/>
                <w:sz w:val="18"/>
              </w:rPr>
              <w:t>6.44</w:t>
            </w:r>
            <w:r>
              <w:rPr>
                <w:rFonts w:ascii="Arial"/>
                <w:sz w:val="18"/>
              </w:rPr>
            </w:r>
          </w:p>
        </w:tc>
        <w:tc>
          <w:tcPr>
            <w:tcW w:w="139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95,944.87</w:t>
            </w:r>
          </w:p>
        </w:tc>
      </w:tr>
    </w:tbl>
    <w:p>
      <w:pPr>
        <w:spacing w:after="0" w:line="240" w:lineRule="auto"/>
        <w:jc w:val="right"/>
        <w:rPr>
          <w:rFonts w:ascii="Arial" w:hAnsi="Arial" w:cs="Arial" w:eastAsia="Arial"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494" w:type="dxa"/>
        <w:tblLayout w:type="fixed"/>
        <w:tblCellMar>
          <w:top w:w="0" w:type="dxa"/>
          <w:left w:w="0" w:type="dxa"/>
          <w:bottom w:w="0" w:type="dxa"/>
          <w:right w:w="0" w:type="dxa"/>
        </w:tblCellMar>
        <w:tblLook w:val="01E0"/>
      </w:tblPr>
      <w:tblGrid>
        <w:gridCol w:w="1966"/>
        <w:gridCol w:w="1277"/>
        <w:gridCol w:w="1416"/>
        <w:gridCol w:w="994"/>
        <w:gridCol w:w="1870"/>
        <w:gridCol w:w="1390"/>
      </w:tblGrid>
      <w:tr>
        <w:trPr>
          <w:trHeight w:val="939" w:hRule="exact"/>
        </w:trPr>
        <w:tc>
          <w:tcPr>
            <w:tcW w:w="1966"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6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2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5"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14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99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5"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87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405" w:lineRule="auto"/>
              <w:ind w:left="160" w:right="122" w:hanging="39"/>
              <w:jc w:val="left"/>
              <w:rPr>
                <w:rFonts w:ascii="Arial" w:hAnsi="Arial" w:cs="Arial" w:eastAsia="Arial" w:hint="default"/>
                <w:sz w:val="18"/>
                <w:szCs w:val="18"/>
              </w:rPr>
            </w:pPr>
            <w:r>
              <w:rPr>
                <w:rFonts w:ascii="宋体" w:hAnsi="宋体" w:cs="宋体" w:eastAsia="宋体" w:hint="default"/>
                <w:sz w:val="18"/>
                <w:szCs w:val="18"/>
              </w:rPr>
              <w:t>占其他应收款年末余 额合计数的比例</w:t>
            </w:r>
            <w:r>
              <w:rPr>
                <w:rFonts w:ascii="Arial" w:hAnsi="Arial" w:cs="Arial" w:eastAsia="Arial" w:hint="default"/>
                <w:sz w:val="18"/>
                <w:szCs w:val="18"/>
              </w:rPr>
              <w:t>(%)</w:t>
            </w:r>
          </w:p>
        </w:tc>
        <w:tc>
          <w:tcPr>
            <w:tcW w:w="1390" w:type="dxa"/>
            <w:tcBorders>
              <w:top w:val="single" w:sz="12" w:space="0" w:color="000000"/>
              <w:left w:val="single" w:sz="2" w:space="0" w:color="000000"/>
              <w:bottom w:val="single" w:sz="2" w:space="0" w:color="000000"/>
              <w:right w:val="nil" w:sz="6" w:space="0" w:color="auto"/>
            </w:tcBorders>
          </w:tcPr>
          <w:p>
            <w:pPr>
              <w:pStyle w:val="TableParagraph"/>
              <w:spacing w:line="440" w:lineRule="exact" w:before="10"/>
              <w:ind w:left="333" w:right="331"/>
              <w:jc w:val="left"/>
              <w:rPr>
                <w:rFonts w:ascii="宋体" w:hAnsi="宋体" w:cs="宋体" w:eastAsia="宋体" w:hint="default"/>
                <w:sz w:val="18"/>
                <w:szCs w:val="18"/>
              </w:rPr>
            </w:pPr>
            <w:r>
              <w:rPr>
                <w:rFonts w:ascii="宋体" w:hAnsi="宋体" w:cs="宋体" w:eastAsia="宋体" w:hint="default"/>
                <w:sz w:val="18"/>
                <w:szCs w:val="18"/>
              </w:rPr>
              <w:t>坏账准备 年末余额</w:t>
            </w:r>
          </w:p>
        </w:tc>
      </w:tr>
      <w:tr>
        <w:trPr>
          <w:trHeight w:val="485" w:hRule="exact"/>
        </w:trPr>
        <w:tc>
          <w:tcPr>
            <w:tcW w:w="19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2"/>
              <w:ind w:left="1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2"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49" w:right="0"/>
              <w:jc w:val="center"/>
              <w:rPr>
                <w:rFonts w:ascii="Arial" w:hAnsi="Arial" w:cs="Arial" w:eastAsia="Arial" w:hint="default"/>
                <w:sz w:val="18"/>
                <w:szCs w:val="18"/>
              </w:rPr>
            </w:pPr>
            <w:r>
              <w:rPr>
                <w:rFonts w:ascii="Arial"/>
                <w:sz w:val="18"/>
              </w:rPr>
              <w:t>2,898,721.20</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7" w:right="0"/>
              <w:jc w:val="center"/>
              <w:rPr>
                <w:rFonts w:ascii="宋体" w:hAnsi="宋体" w:cs="宋体" w:eastAsia="宋体" w:hint="default"/>
                <w:sz w:val="18"/>
                <w:szCs w:val="18"/>
              </w:rPr>
            </w:pPr>
            <w:r>
              <w:rPr>
                <w:rFonts w:ascii="Arial" w:hAnsi="Arial" w:cs="Arial" w:eastAsia="Arial" w:hint="default"/>
                <w:sz w:val="18"/>
                <w:szCs w:val="18"/>
              </w:rPr>
              <w:t>2-3</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8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w w:val="95"/>
                <w:sz w:val="18"/>
              </w:rPr>
              <w:t>5.84</w:t>
            </w:r>
            <w:r>
              <w:rPr>
                <w:rFonts w:ascii="Arial"/>
                <w:sz w:val="18"/>
              </w:rPr>
            </w:r>
          </w:p>
        </w:tc>
        <w:tc>
          <w:tcPr>
            <w:tcW w:w="13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86,961.64</w:t>
            </w:r>
          </w:p>
        </w:tc>
      </w:tr>
      <w:tr>
        <w:trPr>
          <w:trHeight w:val="485" w:hRule="exact"/>
        </w:trPr>
        <w:tc>
          <w:tcPr>
            <w:tcW w:w="19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2"/>
              <w:ind w:left="1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2"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49" w:right="0"/>
              <w:jc w:val="center"/>
              <w:rPr>
                <w:rFonts w:ascii="Arial" w:hAnsi="Arial" w:cs="Arial" w:eastAsia="Arial" w:hint="default"/>
                <w:sz w:val="18"/>
                <w:szCs w:val="18"/>
              </w:rPr>
            </w:pPr>
            <w:r>
              <w:rPr>
                <w:rFonts w:ascii="Arial"/>
                <w:sz w:val="18"/>
              </w:rPr>
              <w:t>1,644,738.00</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5"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8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w w:val="95"/>
                <w:sz w:val="18"/>
              </w:rPr>
              <w:t>3.31</w:t>
            </w:r>
            <w:r>
              <w:rPr>
                <w:rFonts w:ascii="Arial"/>
                <w:sz w:val="18"/>
              </w:rPr>
            </w:r>
          </w:p>
        </w:tc>
        <w:tc>
          <w:tcPr>
            <w:tcW w:w="13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49,342.14</w:t>
            </w:r>
          </w:p>
        </w:tc>
      </w:tr>
      <w:tr>
        <w:trPr>
          <w:trHeight w:val="499" w:hRule="exact"/>
        </w:trPr>
        <w:tc>
          <w:tcPr>
            <w:tcW w:w="196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8" w:right="0"/>
              <w:jc w:val="center"/>
              <w:rPr>
                <w:rFonts w:ascii="Arial" w:hAnsi="Arial" w:cs="Arial" w:eastAsia="Arial" w:hint="default"/>
                <w:sz w:val="18"/>
                <w:szCs w:val="18"/>
              </w:rPr>
            </w:pPr>
            <w:r>
              <w:rPr>
                <w:rFonts w:ascii="Arial"/>
                <w:sz w:val="18"/>
              </w:rPr>
              <w:t>36,935,987.45</w:t>
            </w:r>
          </w:p>
        </w:tc>
        <w:tc>
          <w:tcPr>
            <w:tcW w:w="9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 w:right="0"/>
              <w:jc w:val="center"/>
              <w:rPr>
                <w:rFonts w:ascii="Arial" w:hAnsi="Arial" w:cs="Arial" w:eastAsia="Arial" w:hint="default"/>
                <w:sz w:val="18"/>
                <w:szCs w:val="18"/>
              </w:rPr>
            </w:pPr>
            <w:r>
              <w:rPr>
                <w:rFonts w:ascii="Arial" w:hAnsi="Arial" w:cs="Arial" w:eastAsia="Arial" w:hint="default"/>
                <w:sz w:val="18"/>
                <w:szCs w:val="18"/>
              </w:rPr>
              <w:t>—</w:t>
            </w:r>
          </w:p>
        </w:tc>
        <w:tc>
          <w:tcPr>
            <w:tcW w:w="187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w w:val="95"/>
                <w:sz w:val="18"/>
              </w:rPr>
              <w:t>74.41</w:t>
            </w:r>
            <w:r>
              <w:rPr>
                <w:rFonts w:ascii="Arial"/>
                <w:sz w:val="18"/>
              </w:rPr>
            </w:r>
          </w:p>
        </w:tc>
        <w:tc>
          <w:tcPr>
            <w:tcW w:w="139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1,428,479.63</w:t>
            </w:r>
          </w:p>
        </w:tc>
      </w:tr>
    </w:tbl>
    <w:p>
      <w:pPr>
        <w:pStyle w:val="Heading4"/>
        <w:spacing w:line="240" w:lineRule="auto"/>
        <w:ind w:right="1133"/>
        <w:jc w:val="left"/>
        <w:rPr>
          <w:b w:val="0"/>
          <w:bCs w:val="0"/>
        </w:rPr>
      </w:pPr>
      <w:r>
        <w:rPr>
          <w:rFonts w:ascii="Arial" w:hAnsi="Arial" w:cs="Arial" w:eastAsia="Arial" w:hint="default"/>
        </w:rPr>
        <w:t>6</w:t>
      </w:r>
      <w:r>
        <w:rPr/>
        <w:t>、</w:t>
      </w:r>
      <w:r>
        <w:rPr>
          <w:spacing w:val="-57"/>
        </w:rPr>
        <w:t> </w:t>
      </w:r>
      <w:r>
        <w:rPr/>
        <w:t>存货</w:t>
      </w:r>
      <w:r>
        <w:rPr>
          <w:b w:val="0"/>
          <w:bCs w:val="0"/>
        </w:rPr>
      </w:r>
    </w:p>
    <w:p>
      <w:pPr>
        <w:spacing w:line="240" w:lineRule="auto" w:before="6"/>
        <w:rPr>
          <w:rFonts w:ascii="宋体" w:hAnsi="宋体" w:cs="宋体" w:eastAsia="宋体" w:hint="default"/>
          <w:b/>
          <w:bCs/>
          <w:sz w:val="2"/>
          <w:szCs w:val="2"/>
        </w:rPr>
      </w:pPr>
    </w:p>
    <w:tbl>
      <w:tblPr>
        <w:tblW w:w="0" w:type="auto"/>
        <w:jc w:val="left"/>
        <w:tblInd w:w="580" w:type="dxa"/>
        <w:tblLayout w:type="fixed"/>
        <w:tblCellMar>
          <w:top w:w="0" w:type="dxa"/>
          <w:left w:w="0" w:type="dxa"/>
          <w:bottom w:w="0" w:type="dxa"/>
          <w:right w:w="0" w:type="dxa"/>
        </w:tblCellMar>
        <w:tblLook w:val="01E0"/>
      </w:tblPr>
      <w:tblGrid>
        <w:gridCol w:w="2110"/>
        <w:gridCol w:w="2127"/>
        <w:gridCol w:w="2410"/>
        <w:gridCol w:w="2093"/>
      </w:tblGrid>
      <w:tr>
        <w:trPr>
          <w:trHeight w:val="499" w:hRule="exact"/>
        </w:trPr>
        <w:tc>
          <w:tcPr>
            <w:tcW w:w="2110"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9"/>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630"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right="1"/>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485" w:hRule="exact"/>
        </w:trPr>
        <w:tc>
          <w:tcPr>
            <w:tcW w:w="2110" w:type="dxa"/>
            <w:vMerge/>
            <w:tcBorders>
              <w:left w:val="nil" w:sz="6" w:space="0" w:color="auto"/>
              <w:bottom w:val="single" w:sz="2" w:space="0" w:color="000000"/>
              <w:right w:val="single" w:sz="2" w:space="0" w:color="000000"/>
            </w:tcBorders>
          </w:tcPr>
          <w:p>
            <w:pPr/>
          </w:p>
        </w:tc>
        <w:tc>
          <w:tcPr>
            <w:tcW w:w="21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left="70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left="662"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20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left="68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85" w:hRule="exact"/>
        </w:trPr>
        <w:tc>
          <w:tcPr>
            <w:tcW w:w="21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21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929,379,440.73</w:t>
            </w:r>
          </w:p>
        </w:tc>
        <w:tc>
          <w:tcPr>
            <w:tcW w:w="2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3"/>
              <w:jc w:val="right"/>
              <w:rPr>
                <w:rFonts w:ascii="宋体" w:hAnsi="宋体" w:cs="宋体" w:eastAsia="宋体" w:hint="default"/>
                <w:sz w:val="18"/>
                <w:szCs w:val="18"/>
              </w:rPr>
            </w:pPr>
            <w:r>
              <w:rPr>
                <w:rFonts w:ascii="宋体"/>
                <w:sz w:val="18"/>
              </w:rPr>
              <w:t> </w:t>
            </w:r>
          </w:p>
        </w:tc>
        <w:tc>
          <w:tcPr>
            <w:tcW w:w="20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7"/>
              <w:jc w:val="right"/>
              <w:rPr>
                <w:rFonts w:ascii="Arial" w:hAnsi="Arial" w:cs="Arial" w:eastAsia="Arial" w:hint="default"/>
                <w:sz w:val="18"/>
                <w:szCs w:val="18"/>
              </w:rPr>
            </w:pPr>
            <w:r>
              <w:rPr>
                <w:rFonts w:ascii="Arial"/>
                <w:spacing w:val="-1"/>
                <w:sz w:val="18"/>
              </w:rPr>
              <w:t>929,379,440.73</w:t>
            </w:r>
          </w:p>
        </w:tc>
      </w:tr>
      <w:tr>
        <w:trPr>
          <w:trHeight w:val="485" w:hRule="exact"/>
        </w:trPr>
        <w:tc>
          <w:tcPr>
            <w:tcW w:w="21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劳务成本</w:t>
            </w:r>
          </w:p>
        </w:tc>
        <w:tc>
          <w:tcPr>
            <w:tcW w:w="21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205,542,257.62</w:t>
            </w:r>
          </w:p>
        </w:tc>
        <w:tc>
          <w:tcPr>
            <w:tcW w:w="2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3"/>
              <w:jc w:val="right"/>
              <w:rPr>
                <w:rFonts w:ascii="宋体" w:hAnsi="宋体" w:cs="宋体" w:eastAsia="宋体" w:hint="default"/>
                <w:sz w:val="18"/>
                <w:szCs w:val="18"/>
              </w:rPr>
            </w:pPr>
            <w:r>
              <w:rPr>
                <w:rFonts w:ascii="宋体"/>
                <w:sz w:val="18"/>
              </w:rPr>
              <w:t> </w:t>
            </w:r>
          </w:p>
        </w:tc>
        <w:tc>
          <w:tcPr>
            <w:tcW w:w="20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7"/>
              <w:jc w:val="right"/>
              <w:rPr>
                <w:rFonts w:ascii="Arial" w:hAnsi="Arial" w:cs="Arial" w:eastAsia="Arial" w:hint="default"/>
                <w:sz w:val="18"/>
                <w:szCs w:val="18"/>
              </w:rPr>
            </w:pPr>
            <w:r>
              <w:rPr>
                <w:rFonts w:ascii="Arial"/>
                <w:spacing w:val="-1"/>
                <w:sz w:val="18"/>
              </w:rPr>
              <w:t>205,542,257.62</w:t>
            </w:r>
          </w:p>
        </w:tc>
      </w:tr>
      <w:tr>
        <w:trPr>
          <w:trHeight w:val="485" w:hRule="exact"/>
        </w:trPr>
        <w:tc>
          <w:tcPr>
            <w:tcW w:w="21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21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77,884,818.89</w:t>
            </w:r>
          </w:p>
        </w:tc>
        <w:tc>
          <w:tcPr>
            <w:tcW w:w="2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3"/>
              <w:jc w:val="right"/>
              <w:rPr>
                <w:rFonts w:ascii="宋体" w:hAnsi="宋体" w:cs="宋体" w:eastAsia="宋体" w:hint="default"/>
                <w:sz w:val="18"/>
                <w:szCs w:val="18"/>
              </w:rPr>
            </w:pPr>
            <w:r>
              <w:rPr>
                <w:rFonts w:ascii="宋体"/>
                <w:sz w:val="18"/>
              </w:rPr>
              <w:t> </w:t>
            </w:r>
          </w:p>
        </w:tc>
        <w:tc>
          <w:tcPr>
            <w:tcW w:w="20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77,884,818.89</w:t>
            </w:r>
          </w:p>
        </w:tc>
      </w:tr>
      <w:tr>
        <w:trPr>
          <w:trHeight w:val="485" w:hRule="exact"/>
        </w:trPr>
        <w:tc>
          <w:tcPr>
            <w:tcW w:w="21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21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3,202,844.74</w:t>
            </w:r>
          </w:p>
        </w:tc>
        <w:tc>
          <w:tcPr>
            <w:tcW w:w="2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3"/>
              <w:jc w:val="right"/>
              <w:rPr>
                <w:rFonts w:ascii="宋体" w:hAnsi="宋体" w:cs="宋体" w:eastAsia="宋体" w:hint="default"/>
                <w:sz w:val="18"/>
                <w:szCs w:val="18"/>
              </w:rPr>
            </w:pPr>
            <w:r>
              <w:rPr>
                <w:rFonts w:ascii="宋体"/>
                <w:sz w:val="18"/>
              </w:rPr>
              <w:t> </w:t>
            </w:r>
          </w:p>
        </w:tc>
        <w:tc>
          <w:tcPr>
            <w:tcW w:w="20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3,202,844.74</w:t>
            </w:r>
          </w:p>
        </w:tc>
      </w:tr>
      <w:tr>
        <w:trPr>
          <w:trHeight w:val="485" w:hRule="exact"/>
        </w:trPr>
        <w:tc>
          <w:tcPr>
            <w:tcW w:w="21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127" w:type="dxa"/>
            <w:tcBorders>
              <w:top w:val="single" w:sz="2" w:space="0" w:color="000000"/>
              <w:left w:val="single" w:sz="2" w:space="0" w:color="000000"/>
              <w:bottom w:val="single" w:sz="2" w:space="0" w:color="000000"/>
              <w:right w:val="single" w:sz="2" w:space="0" w:color="000000"/>
            </w:tcBorders>
          </w:tcPr>
          <w:p>
            <w:pPr/>
          </w:p>
        </w:tc>
        <w:tc>
          <w:tcPr>
            <w:tcW w:w="2410" w:type="dxa"/>
            <w:tcBorders>
              <w:top w:val="single" w:sz="2" w:space="0" w:color="000000"/>
              <w:left w:val="single" w:sz="2" w:space="0" w:color="000000"/>
              <w:bottom w:val="single" w:sz="2" w:space="0" w:color="000000"/>
              <w:right w:val="single" w:sz="2" w:space="0" w:color="000000"/>
            </w:tcBorders>
          </w:tcPr>
          <w:p>
            <w:pPr/>
          </w:p>
        </w:tc>
        <w:tc>
          <w:tcPr>
            <w:tcW w:w="2093"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21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1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4,487,004.00</w:t>
            </w:r>
          </w:p>
        </w:tc>
        <w:tc>
          <w:tcPr>
            <w:tcW w:w="2410" w:type="dxa"/>
            <w:tcBorders>
              <w:top w:val="single" w:sz="2" w:space="0" w:color="000000"/>
              <w:left w:val="single" w:sz="2" w:space="0" w:color="000000"/>
              <w:bottom w:val="single" w:sz="2" w:space="0" w:color="000000"/>
              <w:right w:val="single" w:sz="2" w:space="0" w:color="000000"/>
            </w:tcBorders>
          </w:tcPr>
          <w:p>
            <w:pPr/>
          </w:p>
        </w:tc>
        <w:tc>
          <w:tcPr>
            <w:tcW w:w="20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4,487,004.00</w:t>
            </w:r>
          </w:p>
        </w:tc>
      </w:tr>
      <w:tr>
        <w:trPr>
          <w:trHeight w:val="499" w:hRule="exact"/>
        </w:trPr>
        <w:tc>
          <w:tcPr>
            <w:tcW w:w="211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2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1,220,496,365.98</w:t>
            </w:r>
          </w:p>
        </w:tc>
        <w:tc>
          <w:tcPr>
            <w:tcW w:w="2410" w:type="dxa"/>
            <w:tcBorders>
              <w:top w:val="single" w:sz="2" w:space="0" w:color="000000"/>
              <w:left w:val="single" w:sz="2" w:space="0" w:color="000000"/>
              <w:bottom w:val="single" w:sz="12" w:space="0" w:color="000000"/>
              <w:right w:val="single" w:sz="2" w:space="0" w:color="000000"/>
            </w:tcBorders>
          </w:tcPr>
          <w:p>
            <w:pPr/>
          </w:p>
        </w:tc>
        <w:tc>
          <w:tcPr>
            <w:tcW w:w="209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1,220,496,365.98</w:t>
            </w:r>
          </w:p>
        </w:tc>
      </w:tr>
    </w:tbl>
    <w:p>
      <w:pPr>
        <w:pStyle w:val="BodyText"/>
        <w:spacing w:line="240" w:lineRule="auto" w:before="62"/>
        <w:ind w:left="592" w:right="1133"/>
        <w:jc w:val="left"/>
      </w:pPr>
      <w:r>
        <w:rPr/>
        <w:t>（续）</w:t>
      </w:r>
    </w:p>
    <w:p>
      <w:pPr>
        <w:spacing w:line="240" w:lineRule="auto" w:before="11"/>
        <w:rPr>
          <w:rFonts w:ascii="宋体" w:hAnsi="宋体" w:cs="宋体" w:eastAsia="宋体" w:hint="default"/>
          <w:sz w:val="3"/>
          <w:szCs w:val="3"/>
        </w:rPr>
      </w:pPr>
    </w:p>
    <w:tbl>
      <w:tblPr>
        <w:tblW w:w="0" w:type="auto"/>
        <w:jc w:val="left"/>
        <w:tblInd w:w="580" w:type="dxa"/>
        <w:tblLayout w:type="fixed"/>
        <w:tblCellMar>
          <w:top w:w="0" w:type="dxa"/>
          <w:left w:w="0" w:type="dxa"/>
          <w:bottom w:w="0" w:type="dxa"/>
          <w:right w:w="0" w:type="dxa"/>
        </w:tblCellMar>
        <w:tblLook w:val="01E0"/>
      </w:tblPr>
      <w:tblGrid>
        <w:gridCol w:w="2110"/>
        <w:gridCol w:w="2127"/>
        <w:gridCol w:w="2410"/>
        <w:gridCol w:w="2093"/>
      </w:tblGrid>
      <w:tr>
        <w:trPr>
          <w:trHeight w:val="497" w:hRule="exact"/>
        </w:trPr>
        <w:tc>
          <w:tcPr>
            <w:tcW w:w="2110"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630"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149"/>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85" w:hRule="exact"/>
        </w:trPr>
        <w:tc>
          <w:tcPr>
            <w:tcW w:w="2110" w:type="dxa"/>
            <w:vMerge/>
            <w:tcBorders>
              <w:left w:val="nil" w:sz="6" w:space="0" w:color="auto"/>
              <w:bottom w:val="single" w:sz="2" w:space="0" w:color="000000"/>
              <w:right w:val="single" w:sz="2" w:space="0" w:color="000000"/>
            </w:tcBorders>
          </w:tcPr>
          <w:p>
            <w:pPr/>
          </w:p>
        </w:tc>
        <w:tc>
          <w:tcPr>
            <w:tcW w:w="21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70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662"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20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left="68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85" w:hRule="exact"/>
        </w:trPr>
        <w:tc>
          <w:tcPr>
            <w:tcW w:w="21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21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2"/>
                <w:sz w:val="18"/>
              </w:rPr>
              <w:t>503,811,482.59</w:t>
            </w:r>
          </w:p>
        </w:tc>
        <w:tc>
          <w:tcPr>
            <w:tcW w:w="2410" w:type="dxa"/>
            <w:tcBorders>
              <w:top w:val="single" w:sz="2" w:space="0" w:color="000000"/>
              <w:left w:val="single" w:sz="2" w:space="0" w:color="000000"/>
              <w:bottom w:val="single" w:sz="2" w:space="0" w:color="000000"/>
              <w:right w:val="single" w:sz="2" w:space="0" w:color="000000"/>
            </w:tcBorders>
          </w:tcPr>
          <w:p>
            <w:pPr/>
          </w:p>
        </w:tc>
        <w:tc>
          <w:tcPr>
            <w:tcW w:w="20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2"/>
                <w:sz w:val="18"/>
              </w:rPr>
              <w:t>503,811,482.59</w:t>
            </w:r>
          </w:p>
        </w:tc>
      </w:tr>
      <w:tr>
        <w:trPr>
          <w:trHeight w:val="485" w:hRule="exact"/>
        </w:trPr>
        <w:tc>
          <w:tcPr>
            <w:tcW w:w="21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劳务成本</w:t>
            </w:r>
          </w:p>
        </w:tc>
        <w:tc>
          <w:tcPr>
            <w:tcW w:w="21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133,391,659.74</w:t>
            </w:r>
          </w:p>
        </w:tc>
        <w:tc>
          <w:tcPr>
            <w:tcW w:w="2410" w:type="dxa"/>
            <w:tcBorders>
              <w:top w:val="single" w:sz="2" w:space="0" w:color="000000"/>
              <w:left w:val="single" w:sz="2" w:space="0" w:color="000000"/>
              <w:bottom w:val="single" w:sz="2" w:space="0" w:color="000000"/>
              <w:right w:val="single" w:sz="2" w:space="0" w:color="000000"/>
            </w:tcBorders>
          </w:tcPr>
          <w:p>
            <w:pPr/>
          </w:p>
        </w:tc>
        <w:tc>
          <w:tcPr>
            <w:tcW w:w="20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7"/>
              <w:jc w:val="right"/>
              <w:rPr>
                <w:rFonts w:ascii="Arial" w:hAnsi="Arial" w:cs="Arial" w:eastAsia="Arial" w:hint="default"/>
                <w:sz w:val="18"/>
                <w:szCs w:val="18"/>
              </w:rPr>
            </w:pPr>
            <w:r>
              <w:rPr>
                <w:rFonts w:ascii="Arial"/>
                <w:spacing w:val="-1"/>
                <w:sz w:val="18"/>
              </w:rPr>
              <w:t>133,391,659.74</w:t>
            </w:r>
          </w:p>
        </w:tc>
      </w:tr>
      <w:tr>
        <w:trPr>
          <w:trHeight w:val="485" w:hRule="exact"/>
        </w:trPr>
        <w:tc>
          <w:tcPr>
            <w:tcW w:w="21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0"/>
              <w:ind w:left="1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21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55,163,933.10</w:t>
            </w:r>
          </w:p>
        </w:tc>
        <w:tc>
          <w:tcPr>
            <w:tcW w:w="2410" w:type="dxa"/>
            <w:tcBorders>
              <w:top w:val="single" w:sz="2" w:space="0" w:color="000000"/>
              <w:left w:val="single" w:sz="2" w:space="0" w:color="000000"/>
              <w:bottom w:val="single" w:sz="2" w:space="0" w:color="000000"/>
              <w:right w:val="single" w:sz="2" w:space="0" w:color="000000"/>
            </w:tcBorders>
          </w:tcPr>
          <w:p>
            <w:pPr/>
          </w:p>
        </w:tc>
        <w:tc>
          <w:tcPr>
            <w:tcW w:w="20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55,163,933.10</w:t>
            </w:r>
          </w:p>
        </w:tc>
      </w:tr>
      <w:tr>
        <w:trPr>
          <w:trHeight w:val="487" w:hRule="exact"/>
        </w:trPr>
        <w:tc>
          <w:tcPr>
            <w:tcW w:w="21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2"/>
              <w:ind w:left="1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21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22,238,615.15</w:t>
            </w:r>
          </w:p>
        </w:tc>
        <w:tc>
          <w:tcPr>
            <w:tcW w:w="2410" w:type="dxa"/>
            <w:tcBorders>
              <w:top w:val="single" w:sz="2" w:space="0" w:color="000000"/>
              <w:left w:val="single" w:sz="2" w:space="0" w:color="000000"/>
              <w:bottom w:val="single" w:sz="2" w:space="0" w:color="000000"/>
              <w:right w:val="single" w:sz="2" w:space="0" w:color="000000"/>
            </w:tcBorders>
          </w:tcPr>
          <w:p>
            <w:pPr/>
          </w:p>
        </w:tc>
        <w:tc>
          <w:tcPr>
            <w:tcW w:w="20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22,238,615.15</w:t>
            </w:r>
          </w:p>
        </w:tc>
      </w:tr>
      <w:tr>
        <w:trPr>
          <w:trHeight w:val="485" w:hRule="exact"/>
        </w:trPr>
        <w:tc>
          <w:tcPr>
            <w:tcW w:w="21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1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2,254,547.31</w:t>
            </w:r>
          </w:p>
        </w:tc>
        <w:tc>
          <w:tcPr>
            <w:tcW w:w="2410" w:type="dxa"/>
            <w:tcBorders>
              <w:top w:val="single" w:sz="2" w:space="0" w:color="000000"/>
              <w:left w:val="single" w:sz="2" w:space="0" w:color="000000"/>
              <w:bottom w:val="single" w:sz="2" w:space="0" w:color="000000"/>
              <w:right w:val="single" w:sz="2" w:space="0" w:color="000000"/>
            </w:tcBorders>
          </w:tcPr>
          <w:p>
            <w:pPr/>
          </w:p>
        </w:tc>
        <w:tc>
          <w:tcPr>
            <w:tcW w:w="20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2,254,547.31</w:t>
            </w:r>
          </w:p>
        </w:tc>
      </w:tr>
      <w:tr>
        <w:trPr>
          <w:trHeight w:val="485" w:hRule="exact"/>
        </w:trPr>
        <w:tc>
          <w:tcPr>
            <w:tcW w:w="21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1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1,062,101.31</w:t>
            </w:r>
          </w:p>
        </w:tc>
        <w:tc>
          <w:tcPr>
            <w:tcW w:w="2410" w:type="dxa"/>
            <w:tcBorders>
              <w:top w:val="single" w:sz="2" w:space="0" w:color="000000"/>
              <w:left w:val="single" w:sz="2" w:space="0" w:color="000000"/>
              <w:bottom w:val="single" w:sz="2" w:space="0" w:color="000000"/>
              <w:right w:val="single" w:sz="2" w:space="0" w:color="000000"/>
            </w:tcBorders>
          </w:tcPr>
          <w:p>
            <w:pPr/>
          </w:p>
        </w:tc>
        <w:tc>
          <w:tcPr>
            <w:tcW w:w="20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1,062,101.31</w:t>
            </w:r>
          </w:p>
        </w:tc>
      </w:tr>
      <w:tr>
        <w:trPr>
          <w:trHeight w:val="497" w:hRule="exact"/>
        </w:trPr>
        <w:tc>
          <w:tcPr>
            <w:tcW w:w="211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2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4"/>
              <w:jc w:val="right"/>
              <w:rPr>
                <w:rFonts w:ascii="Arial" w:hAnsi="Arial" w:cs="Arial" w:eastAsia="Arial" w:hint="default"/>
                <w:sz w:val="18"/>
                <w:szCs w:val="18"/>
              </w:rPr>
            </w:pPr>
            <w:r>
              <w:rPr>
                <w:rFonts w:ascii="Arial"/>
                <w:spacing w:val="-1"/>
                <w:sz w:val="18"/>
              </w:rPr>
              <w:t>717,922,339.20</w:t>
            </w:r>
          </w:p>
        </w:tc>
        <w:tc>
          <w:tcPr>
            <w:tcW w:w="2410" w:type="dxa"/>
            <w:tcBorders>
              <w:top w:val="single" w:sz="2" w:space="0" w:color="000000"/>
              <w:left w:val="single" w:sz="2" w:space="0" w:color="000000"/>
              <w:bottom w:val="single" w:sz="12" w:space="0" w:color="000000"/>
              <w:right w:val="single" w:sz="2" w:space="0" w:color="000000"/>
            </w:tcBorders>
          </w:tcPr>
          <w:p>
            <w:pPr/>
          </w:p>
        </w:tc>
        <w:tc>
          <w:tcPr>
            <w:tcW w:w="209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717,922,339.20</w:t>
            </w:r>
          </w:p>
        </w:tc>
      </w:tr>
    </w:tbl>
    <w:p>
      <w:pPr>
        <w:pStyle w:val="Heading4"/>
        <w:spacing w:line="240" w:lineRule="auto"/>
        <w:ind w:right="1133"/>
        <w:jc w:val="left"/>
        <w:rPr>
          <w:b w:val="0"/>
          <w:bCs w:val="0"/>
        </w:rPr>
      </w:pPr>
      <w:r>
        <w:rPr>
          <w:rFonts w:ascii="Arial" w:hAnsi="Arial" w:cs="Arial" w:eastAsia="Arial" w:hint="default"/>
        </w:rPr>
        <w:t>7</w:t>
      </w:r>
      <w:r>
        <w:rPr/>
        <w:t>、</w:t>
      </w:r>
      <w:r>
        <w:rPr>
          <w:spacing w:val="-57"/>
        </w:rPr>
        <w:t> </w:t>
      </w:r>
      <w:r>
        <w:rPr/>
        <w:t>持有待售资产</w:t>
      </w:r>
      <w:r>
        <w:rPr>
          <w:b w:val="0"/>
          <w:bCs w:val="0"/>
        </w:rPr>
      </w:r>
    </w:p>
    <w:p>
      <w:pPr>
        <w:spacing w:line="240" w:lineRule="auto" w:before="9"/>
        <w:rPr>
          <w:rFonts w:ascii="宋体" w:hAnsi="宋体" w:cs="宋体" w:eastAsia="宋体" w:hint="default"/>
          <w:b/>
          <w:bCs/>
          <w:sz w:val="2"/>
          <w:szCs w:val="2"/>
        </w:rPr>
      </w:pPr>
    </w:p>
    <w:tbl>
      <w:tblPr>
        <w:tblW w:w="0" w:type="auto"/>
        <w:jc w:val="left"/>
        <w:tblInd w:w="652" w:type="dxa"/>
        <w:tblLayout w:type="fixed"/>
        <w:tblCellMar>
          <w:top w:w="0" w:type="dxa"/>
          <w:left w:w="0" w:type="dxa"/>
          <w:bottom w:w="0" w:type="dxa"/>
          <w:right w:w="0" w:type="dxa"/>
        </w:tblCellMar>
        <w:tblLook w:val="01E0"/>
      </w:tblPr>
      <w:tblGrid>
        <w:gridCol w:w="1697"/>
        <w:gridCol w:w="1469"/>
        <w:gridCol w:w="713"/>
        <w:gridCol w:w="1510"/>
        <w:gridCol w:w="1466"/>
        <w:gridCol w:w="853"/>
        <w:gridCol w:w="890"/>
      </w:tblGrid>
      <w:tr>
        <w:trPr>
          <w:trHeight w:val="723" w:hRule="exact"/>
        </w:trPr>
        <w:tc>
          <w:tcPr>
            <w:tcW w:w="169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6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年末账面余额</w:t>
            </w:r>
          </w:p>
        </w:tc>
        <w:tc>
          <w:tcPr>
            <w:tcW w:w="713" w:type="dxa"/>
            <w:tcBorders>
              <w:top w:val="single" w:sz="12" w:space="0" w:color="000000"/>
              <w:left w:val="single" w:sz="2" w:space="0" w:color="000000"/>
              <w:bottom w:val="single" w:sz="2" w:space="0" w:color="000000"/>
              <w:right w:val="single" w:sz="2" w:space="0" w:color="000000"/>
            </w:tcBorders>
          </w:tcPr>
          <w:p>
            <w:pPr>
              <w:pStyle w:val="TableParagraph"/>
              <w:spacing w:line="316" w:lineRule="auto" w:before="49"/>
              <w:ind w:left="172" w:right="173"/>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51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年末账面价值</w:t>
            </w:r>
          </w:p>
        </w:tc>
        <w:tc>
          <w:tcPr>
            <w:tcW w:w="146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年末公允价值</w:t>
            </w:r>
          </w:p>
        </w:tc>
        <w:tc>
          <w:tcPr>
            <w:tcW w:w="853" w:type="dxa"/>
            <w:tcBorders>
              <w:top w:val="single" w:sz="12" w:space="0" w:color="000000"/>
              <w:left w:val="single" w:sz="2" w:space="0" w:color="000000"/>
              <w:bottom w:val="single" w:sz="2" w:space="0" w:color="000000"/>
              <w:right w:val="single" w:sz="2" w:space="0" w:color="000000"/>
            </w:tcBorders>
          </w:tcPr>
          <w:p>
            <w:pPr>
              <w:pStyle w:val="TableParagraph"/>
              <w:spacing w:line="316" w:lineRule="auto" w:before="49"/>
              <w:ind w:left="156" w:right="149"/>
              <w:jc w:val="left"/>
              <w:rPr>
                <w:rFonts w:ascii="宋体" w:hAnsi="宋体" w:cs="宋体" w:eastAsia="宋体" w:hint="default"/>
                <w:sz w:val="18"/>
                <w:szCs w:val="18"/>
              </w:rPr>
            </w:pPr>
            <w:r>
              <w:rPr>
                <w:rFonts w:ascii="宋体" w:hAnsi="宋体" w:cs="宋体" w:eastAsia="宋体" w:hint="default"/>
                <w:sz w:val="18"/>
                <w:szCs w:val="18"/>
              </w:rPr>
              <w:t>预计处 置费用</w:t>
            </w:r>
          </w:p>
        </w:tc>
        <w:tc>
          <w:tcPr>
            <w:tcW w:w="890" w:type="dxa"/>
            <w:tcBorders>
              <w:top w:val="single" w:sz="12" w:space="0" w:color="000000"/>
              <w:left w:val="single" w:sz="2" w:space="0" w:color="000000"/>
              <w:bottom w:val="single" w:sz="2" w:space="0" w:color="000000"/>
              <w:right w:val="nil" w:sz="6" w:space="0" w:color="auto"/>
            </w:tcBorders>
          </w:tcPr>
          <w:p>
            <w:pPr>
              <w:pStyle w:val="TableParagraph"/>
              <w:spacing w:line="316" w:lineRule="auto" w:before="49"/>
              <w:ind w:left="175" w:right="170"/>
              <w:jc w:val="left"/>
              <w:rPr>
                <w:rFonts w:ascii="宋体" w:hAnsi="宋体" w:cs="宋体" w:eastAsia="宋体" w:hint="default"/>
                <w:sz w:val="18"/>
                <w:szCs w:val="18"/>
              </w:rPr>
            </w:pPr>
            <w:r>
              <w:rPr>
                <w:rFonts w:ascii="宋体" w:hAnsi="宋体" w:cs="宋体" w:eastAsia="宋体" w:hint="default"/>
                <w:sz w:val="18"/>
                <w:szCs w:val="18"/>
              </w:rPr>
              <w:t>预计处 置时间</w:t>
            </w:r>
          </w:p>
        </w:tc>
      </w:tr>
      <w:tr>
        <w:trPr>
          <w:trHeight w:val="497" w:hRule="exact"/>
        </w:trPr>
        <w:tc>
          <w:tcPr>
            <w:tcW w:w="169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pacing w:val="3"/>
                <w:sz w:val="18"/>
                <w:szCs w:val="18"/>
              </w:rPr>
              <w:t>贵州新思维科技有</w:t>
            </w:r>
          </w:p>
        </w:tc>
        <w:tc>
          <w:tcPr>
            <w:tcW w:w="14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7" w:right="0"/>
              <w:jc w:val="center"/>
              <w:rPr>
                <w:rFonts w:ascii="Arial" w:hAnsi="Arial" w:cs="Arial" w:eastAsia="Arial" w:hint="default"/>
                <w:sz w:val="18"/>
                <w:szCs w:val="18"/>
              </w:rPr>
            </w:pPr>
            <w:r>
              <w:rPr>
                <w:rFonts w:ascii="Arial"/>
                <w:sz w:val="18"/>
              </w:rPr>
              <w:t>104,517,859.31</w:t>
            </w:r>
          </w:p>
        </w:tc>
        <w:tc>
          <w:tcPr>
            <w:tcW w:w="713" w:type="dxa"/>
            <w:tcBorders>
              <w:top w:val="single" w:sz="2" w:space="0" w:color="000000"/>
              <w:left w:val="single" w:sz="2" w:space="0" w:color="000000"/>
              <w:bottom w:val="single" w:sz="12" w:space="0" w:color="000000"/>
              <w:right w:val="single" w:sz="2" w:space="0" w:color="000000"/>
            </w:tcBorders>
          </w:tcPr>
          <w:p>
            <w:pPr/>
          </w:p>
        </w:tc>
        <w:tc>
          <w:tcPr>
            <w:tcW w:w="15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43" w:right="0"/>
              <w:jc w:val="center"/>
              <w:rPr>
                <w:rFonts w:ascii="Arial" w:hAnsi="Arial" w:cs="Arial" w:eastAsia="Arial" w:hint="default"/>
                <w:sz w:val="18"/>
                <w:szCs w:val="18"/>
              </w:rPr>
            </w:pPr>
            <w:r>
              <w:rPr>
                <w:rFonts w:ascii="Arial"/>
                <w:sz w:val="18"/>
              </w:rPr>
              <w:t>104,517,859.31</w:t>
            </w:r>
          </w:p>
        </w:tc>
        <w:tc>
          <w:tcPr>
            <w:tcW w:w="14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9"/>
              <w:ind w:left="1" w:right="0"/>
              <w:jc w:val="center"/>
              <w:rPr>
                <w:rFonts w:ascii="Arial" w:hAnsi="Arial" w:cs="Arial" w:eastAsia="Arial"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Arial" w:hAnsi="Arial" w:cs="Arial" w:eastAsia="Arial" w:hint="default"/>
                <w:sz w:val="18"/>
                <w:szCs w:val="18"/>
              </w:rPr>
              <w:t>1</w:t>
            </w:r>
          </w:p>
        </w:tc>
        <w:tc>
          <w:tcPr>
            <w:tcW w:w="853" w:type="dxa"/>
            <w:tcBorders>
              <w:top w:val="single" w:sz="2" w:space="0" w:color="000000"/>
              <w:left w:val="single" w:sz="2" w:space="0" w:color="000000"/>
              <w:bottom w:val="single" w:sz="12" w:space="0" w:color="000000"/>
              <w:right w:val="single" w:sz="2" w:space="0" w:color="000000"/>
            </w:tcBorders>
          </w:tcPr>
          <w:p>
            <w:pPr/>
          </w:p>
        </w:tc>
        <w:tc>
          <w:tcPr>
            <w:tcW w:w="89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31" w:right="0"/>
              <w:jc w:val="left"/>
              <w:rPr>
                <w:rFonts w:ascii="宋体" w:hAnsi="宋体" w:cs="宋体" w:eastAsia="宋体" w:hint="default"/>
                <w:sz w:val="18"/>
                <w:szCs w:val="18"/>
              </w:rPr>
            </w:pPr>
            <w:r>
              <w:rPr>
                <w:rFonts w:ascii="Arial" w:hAnsi="Arial" w:cs="Arial" w:eastAsia="Arial" w:hint="default"/>
                <w:sz w:val="18"/>
                <w:szCs w:val="18"/>
              </w:rPr>
              <w:t>2020</w:t>
            </w:r>
            <w:r>
              <w:rPr>
                <w:rFonts w:ascii="Arial" w:hAnsi="Arial" w:cs="Arial" w:eastAsia="Arial" w:hint="default"/>
                <w:spacing w:val="-5"/>
                <w:sz w:val="18"/>
                <w:szCs w:val="18"/>
              </w:rPr>
              <w:t> </w:t>
            </w:r>
            <w:r>
              <w:rPr>
                <w:rFonts w:ascii="宋体" w:hAnsi="宋体" w:cs="宋体" w:eastAsia="宋体" w:hint="default"/>
                <w:sz w:val="18"/>
                <w:szCs w:val="18"/>
              </w:rPr>
              <w:t>年</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752" w:type="dxa"/>
        <w:tblLayout w:type="fixed"/>
        <w:tblCellMar>
          <w:top w:w="0" w:type="dxa"/>
          <w:left w:w="0" w:type="dxa"/>
          <w:bottom w:w="0" w:type="dxa"/>
          <w:right w:w="0" w:type="dxa"/>
        </w:tblCellMar>
        <w:tblLook w:val="01E0"/>
      </w:tblPr>
      <w:tblGrid>
        <w:gridCol w:w="1697"/>
        <w:gridCol w:w="1469"/>
        <w:gridCol w:w="713"/>
        <w:gridCol w:w="1510"/>
        <w:gridCol w:w="1466"/>
        <w:gridCol w:w="853"/>
        <w:gridCol w:w="890"/>
      </w:tblGrid>
      <w:tr>
        <w:trPr>
          <w:trHeight w:val="723" w:hRule="exact"/>
        </w:trPr>
        <w:tc>
          <w:tcPr>
            <w:tcW w:w="169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655"/>
              <w:jc w:val="right"/>
              <w:rPr>
                <w:rFonts w:ascii="宋体" w:hAnsi="宋体" w:cs="宋体" w:eastAsia="宋体" w:hint="default"/>
                <w:sz w:val="18"/>
                <w:szCs w:val="18"/>
              </w:rPr>
            </w:pPr>
            <w:r>
              <w:rPr>
                <w:rFonts w:ascii="宋体" w:hAnsi="宋体" w:cs="宋体" w:eastAsia="宋体" w:hint="default"/>
                <w:sz w:val="18"/>
                <w:szCs w:val="18"/>
              </w:rPr>
              <w:t>项目</w:t>
            </w:r>
          </w:p>
        </w:tc>
        <w:tc>
          <w:tcPr>
            <w:tcW w:w="146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年末账面余额</w:t>
            </w:r>
          </w:p>
        </w:tc>
        <w:tc>
          <w:tcPr>
            <w:tcW w:w="713" w:type="dxa"/>
            <w:tcBorders>
              <w:top w:val="single" w:sz="12" w:space="0" w:color="000000"/>
              <w:left w:val="single" w:sz="2" w:space="0" w:color="000000"/>
              <w:bottom w:val="single" w:sz="2" w:space="0" w:color="000000"/>
              <w:right w:val="single" w:sz="2" w:space="0" w:color="000000"/>
            </w:tcBorders>
          </w:tcPr>
          <w:p>
            <w:pPr>
              <w:pStyle w:val="TableParagraph"/>
              <w:spacing w:line="314" w:lineRule="auto" w:before="51"/>
              <w:ind w:left="172" w:right="173"/>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51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年末账面价值</w:t>
            </w:r>
          </w:p>
        </w:tc>
        <w:tc>
          <w:tcPr>
            <w:tcW w:w="146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年末公允价值</w:t>
            </w:r>
          </w:p>
        </w:tc>
        <w:tc>
          <w:tcPr>
            <w:tcW w:w="853" w:type="dxa"/>
            <w:tcBorders>
              <w:top w:val="single" w:sz="12" w:space="0" w:color="000000"/>
              <w:left w:val="single" w:sz="2" w:space="0" w:color="000000"/>
              <w:bottom w:val="single" w:sz="2" w:space="0" w:color="000000"/>
              <w:right w:val="single" w:sz="2" w:space="0" w:color="000000"/>
            </w:tcBorders>
          </w:tcPr>
          <w:p>
            <w:pPr>
              <w:pStyle w:val="TableParagraph"/>
              <w:spacing w:line="314" w:lineRule="auto" w:before="51"/>
              <w:ind w:left="156" w:right="149"/>
              <w:jc w:val="left"/>
              <w:rPr>
                <w:rFonts w:ascii="宋体" w:hAnsi="宋体" w:cs="宋体" w:eastAsia="宋体" w:hint="default"/>
                <w:sz w:val="18"/>
                <w:szCs w:val="18"/>
              </w:rPr>
            </w:pPr>
            <w:r>
              <w:rPr>
                <w:rFonts w:ascii="宋体" w:hAnsi="宋体" w:cs="宋体" w:eastAsia="宋体" w:hint="default"/>
                <w:sz w:val="18"/>
                <w:szCs w:val="18"/>
              </w:rPr>
              <w:t>预计处 置费用</w:t>
            </w:r>
          </w:p>
        </w:tc>
        <w:tc>
          <w:tcPr>
            <w:tcW w:w="890" w:type="dxa"/>
            <w:tcBorders>
              <w:top w:val="single" w:sz="12" w:space="0" w:color="000000"/>
              <w:left w:val="single" w:sz="2" w:space="0" w:color="000000"/>
              <w:bottom w:val="single" w:sz="2" w:space="0" w:color="000000"/>
              <w:right w:val="nil" w:sz="6" w:space="0" w:color="auto"/>
            </w:tcBorders>
          </w:tcPr>
          <w:p>
            <w:pPr>
              <w:pStyle w:val="TableParagraph"/>
              <w:spacing w:line="314" w:lineRule="auto" w:before="51"/>
              <w:ind w:left="175" w:right="170"/>
              <w:jc w:val="left"/>
              <w:rPr>
                <w:rFonts w:ascii="宋体" w:hAnsi="宋体" w:cs="宋体" w:eastAsia="宋体" w:hint="default"/>
                <w:sz w:val="18"/>
                <w:szCs w:val="18"/>
              </w:rPr>
            </w:pPr>
            <w:r>
              <w:rPr>
                <w:rFonts w:ascii="宋体" w:hAnsi="宋体" w:cs="宋体" w:eastAsia="宋体" w:hint="default"/>
                <w:sz w:val="18"/>
                <w:szCs w:val="18"/>
              </w:rPr>
              <w:t>预计处 置时间</w:t>
            </w:r>
          </w:p>
        </w:tc>
      </w:tr>
      <w:tr>
        <w:trPr>
          <w:trHeight w:val="444" w:hRule="exact"/>
        </w:trPr>
        <w:tc>
          <w:tcPr>
            <w:tcW w:w="16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9"/>
              <w:ind w:right="669"/>
              <w:jc w:val="right"/>
              <w:rPr>
                <w:rFonts w:ascii="宋体" w:hAnsi="宋体" w:cs="宋体" w:eastAsia="宋体" w:hint="default"/>
                <w:sz w:val="18"/>
                <w:szCs w:val="18"/>
              </w:rPr>
            </w:pPr>
            <w:r>
              <w:rPr>
                <w:rFonts w:ascii="宋体" w:hAnsi="宋体" w:cs="宋体" w:eastAsia="宋体" w:hint="default"/>
                <w:sz w:val="18"/>
                <w:szCs w:val="18"/>
              </w:rPr>
              <w:t>限责任公司</w:t>
            </w:r>
          </w:p>
        </w:tc>
        <w:tc>
          <w:tcPr>
            <w:tcW w:w="1469" w:type="dxa"/>
            <w:tcBorders>
              <w:top w:val="single" w:sz="2" w:space="0" w:color="000000"/>
              <w:left w:val="single" w:sz="2" w:space="0" w:color="000000"/>
              <w:bottom w:val="single" w:sz="2" w:space="0" w:color="000000"/>
              <w:right w:val="single" w:sz="2" w:space="0" w:color="000000"/>
            </w:tcBorders>
          </w:tcPr>
          <w:p>
            <w:pPr/>
          </w:p>
        </w:tc>
        <w:tc>
          <w:tcPr>
            <w:tcW w:w="713" w:type="dxa"/>
            <w:tcBorders>
              <w:top w:val="single" w:sz="2" w:space="0" w:color="000000"/>
              <w:left w:val="single" w:sz="2" w:space="0" w:color="000000"/>
              <w:bottom w:val="single" w:sz="2" w:space="0" w:color="000000"/>
              <w:right w:val="single" w:sz="2" w:space="0" w:color="000000"/>
            </w:tcBorders>
          </w:tcPr>
          <w:p>
            <w:pPr/>
          </w:p>
        </w:tc>
        <w:tc>
          <w:tcPr>
            <w:tcW w:w="1510" w:type="dxa"/>
            <w:tcBorders>
              <w:top w:val="single" w:sz="2" w:space="0" w:color="000000"/>
              <w:left w:val="single" w:sz="2" w:space="0" w:color="000000"/>
              <w:bottom w:val="single" w:sz="2" w:space="0" w:color="000000"/>
              <w:right w:val="single" w:sz="2" w:space="0" w:color="000000"/>
            </w:tcBorders>
          </w:tcPr>
          <w:p>
            <w:pPr/>
          </w:p>
        </w:tc>
        <w:tc>
          <w:tcPr>
            <w:tcW w:w="1466" w:type="dxa"/>
            <w:tcBorders>
              <w:top w:val="single" w:sz="2" w:space="0" w:color="000000"/>
              <w:left w:val="single" w:sz="2" w:space="0" w:color="000000"/>
              <w:bottom w:val="single" w:sz="2" w:space="0" w:color="000000"/>
              <w:right w:val="single" w:sz="2" w:space="0" w:color="000000"/>
            </w:tcBorders>
          </w:tcPr>
          <w:p>
            <w:pPr/>
          </w:p>
        </w:tc>
        <w:tc>
          <w:tcPr>
            <w:tcW w:w="853" w:type="dxa"/>
            <w:tcBorders>
              <w:top w:val="single" w:sz="2" w:space="0" w:color="000000"/>
              <w:left w:val="single" w:sz="2" w:space="0" w:color="000000"/>
              <w:bottom w:val="single" w:sz="2" w:space="0" w:color="000000"/>
              <w:right w:val="single" w:sz="2" w:space="0" w:color="000000"/>
            </w:tcBorders>
          </w:tcPr>
          <w:p>
            <w:pPr/>
          </w:p>
        </w:tc>
        <w:tc>
          <w:tcPr>
            <w:tcW w:w="8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9"/>
              <w:ind w:left="283"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月</w:t>
            </w:r>
          </w:p>
        </w:tc>
      </w:tr>
      <w:tr>
        <w:trPr>
          <w:trHeight w:val="886" w:hRule="exact"/>
        </w:trPr>
        <w:tc>
          <w:tcPr>
            <w:tcW w:w="1697" w:type="dxa"/>
            <w:tcBorders>
              <w:top w:val="single" w:sz="2" w:space="0" w:color="000000"/>
              <w:left w:val="nil" w:sz="6" w:space="0" w:color="auto"/>
              <w:bottom w:val="single" w:sz="2" w:space="0" w:color="000000"/>
              <w:right w:val="single" w:sz="2" w:space="0" w:color="000000"/>
            </w:tcBorders>
          </w:tcPr>
          <w:p>
            <w:pPr>
              <w:pStyle w:val="TableParagraph"/>
              <w:spacing w:line="400" w:lineRule="exact" w:before="40"/>
              <w:ind w:left="122" w:right="99"/>
              <w:jc w:val="left"/>
              <w:rPr>
                <w:rFonts w:ascii="宋体" w:hAnsi="宋体" w:cs="宋体" w:eastAsia="宋体" w:hint="default"/>
                <w:sz w:val="18"/>
                <w:szCs w:val="18"/>
              </w:rPr>
            </w:pPr>
            <w:r>
              <w:rPr>
                <w:rFonts w:ascii="宋体" w:hAnsi="宋体" w:cs="宋体" w:eastAsia="宋体" w:hint="default"/>
                <w:spacing w:val="3"/>
                <w:sz w:val="18"/>
                <w:szCs w:val="18"/>
              </w:rPr>
              <w:t>深圳一海通全球供</w:t>
            </w:r>
            <w:r>
              <w:rPr>
                <w:rFonts w:ascii="宋体" w:hAnsi="宋体" w:cs="宋体" w:eastAsia="宋体" w:hint="default"/>
                <w:sz w:val="18"/>
                <w:szCs w:val="18"/>
              </w:rPr>
              <w:t> 应链管理有限公司</w:t>
            </w:r>
          </w:p>
        </w:tc>
        <w:tc>
          <w:tcPr>
            <w:tcW w:w="1469" w:type="dxa"/>
            <w:tcBorders>
              <w:top w:val="single" w:sz="2" w:space="0" w:color="000000"/>
              <w:left w:val="single" w:sz="2" w:space="0" w:color="000000"/>
              <w:bottom w:val="single" w:sz="2" w:space="0" w:color="000000"/>
              <w:right w:val="single" w:sz="2" w:space="0" w:color="000000"/>
            </w:tcBorders>
          </w:tcPr>
          <w:p>
            <w:pPr/>
          </w:p>
        </w:tc>
        <w:tc>
          <w:tcPr>
            <w:tcW w:w="713" w:type="dxa"/>
            <w:tcBorders>
              <w:top w:val="single" w:sz="2" w:space="0" w:color="000000"/>
              <w:left w:val="single" w:sz="2" w:space="0" w:color="000000"/>
              <w:bottom w:val="single" w:sz="2" w:space="0" w:color="000000"/>
              <w:right w:val="single" w:sz="2" w:space="0" w:color="000000"/>
            </w:tcBorders>
          </w:tcPr>
          <w:p>
            <w:pPr/>
          </w:p>
        </w:tc>
        <w:tc>
          <w:tcPr>
            <w:tcW w:w="1510" w:type="dxa"/>
            <w:tcBorders>
              <w:top w:val="single" w:sz="2" w:space="0" w:color="000000"/>
              <w:left w:val="single" w:sz="2" w:space="0" w:color="000000"/>
              <w:bottom w:val="single" w:sz="2" w:space="0" w:color="000000"/>
              <w:right w:val="single" w:sz="2" w:space="0" w:color="000000"/>
            </w:tcBorders>
          </w:tcPr>
          <w:p>
            <w:pPr/>
          </w:p>
        </w:tc>
        <w:tc>
          <w:tcPr>
            <w:tcW w:w="14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7"/>
              <w:ind w:left="206" w:right="0"/>
              <w:jc w:val="left"/>
              <w:rPr>
                <w:rFonts w:ascii="Arial" w:hAnsi="Arial" w:cs="Arial" w:eastAsia="Arial" w:hint="default"/>
                <w:sz w:val="18"/>
                <w:szCs w:val="18"/>
              </w:rPr>
            </w:pPr>
            <w:r>
              <w:rPr>
                <w:rFonts w:ascii="Arial"/>
                <w:sz w:val="18"/>
              </w:rPr>
              <w:t>13,234,350.00</w:t>
            </w:r>
          </w:p>
        </w:tc>
        <w:tc>
          <w:tcPr>
            <w:tcW w:w="853" w:type="dxa"/>
            <w:tcBorders>
              <w:top w:val="single" w:sz="2" w:space="0" w:color="000000"/>
              <w:left w:val="single" w:sz="2" w:space="0" w:color="000000"/>
              <w:bottom w:val="single" w:sz="2" w:space="0" w:color="000000"/>
              <w:right w:val="single" w:sz="2" w:space="0" w:color="000000"/>
            </w:tcBorders>
          </w:tcPr>
          <w:p>
            <w:pPr/>
          </w:p>
        </w:tc>
        <w:tc>
          <w:tcPr>
            <w:tcW w:w="8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left="4" w:right="0"/>
              <w:jc w:val="center"/>
              <w:rPr>
                <w:rFonts w:ascii="宋体" w:hAnsi="宋体" w:cs="宋体" w:eastAsia="宋体" w:hint="default"/>
                <w:sz w:val="18"/>
                <w:szCs w:val="18"/>
              </w:rPr>
            </w:pPr>
            <w:r>
              <w:rPr>
                <w:rFonts w:ascii="Arial" w:hAnsi="Arial" w:cs="Arial" w:eastAsia="Arial" w:hint="default"/>
                <w:sz w:val="18"/>
                <w:szCs w:val="18"/>
              </w:rPr>
              <w:t>2020</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152"/>
              <w:ind w:left="4"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月</w:t>
            </w:r>
          </w:p>
        </w:tc>
      </w:tr>
      <w:tr>
        <w:trPr>
          <w:trHeight w:val="499" w:hRule="exact"/>
        </w:trPr>
        <w:tc>
          <w:tcPr>
            <w:tcW w:w="169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right="655"/>
              <w:jc w:val="right"/>
              <w:rPr>
                <w:rFonts w:ascii="宋体" w:hAnsi="宋体" w:cs="宋体" w:eastAsia="宋体" w:hint="default"/>
                <w:sz w:val="18"/>
                <w:szCs w:val="18"/>
              </w:rPr>
            </w:pPr>
            <w:r>
              <w:rPr>
                <w:rFonts w:ascii="宋体" w:hAnsi="宋体" w:cs="宋体" w:eastAsia="宋体" w:hint="default"/>
                <w:sz w:val="18"/>
                <w:szCs w:val="18"/>
              </w:rPr>
              <w:t>合计</w:t>
            </w:r>
          </w:p>
        </w:tc>
        <w:tc>
          <w:tcPr>
            <w:tcW w:w="14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7" w:right="0"/>
              <w:jc w:val="center"/>
              <w:rPr>
                <w:rFonts w:ascii="Arial" w:hAnsi="Arial" w:cs="Arial" w:eastAsia="Arial" w:hint="default"/>
                <w:sz w:val="18"/>
                <w:szCs w:val="18"/>
              </w:rPr>
            </w:pPr>
            <w:r>
              <w:rPr>
                <w:rFonts w:ascii="Arial"/>
                <w:sz w:val="18"/>
              </w:rPr>
              <w:t>104,517,859.31</w:t>
            </w:r>
          </w:p>
        </w:tc>
        <w:tc>
          <w:tcPr>
            <w:tcW w:w="713" w:type="dxa"/>
            <w:tcBorders>
              <w:top w:val="single" w:sz="2" w:space="0" w:color="000000"/>
              <w:left w:val="single" w:sz="2" w:space="0" w:color="000000"/>
              <w:bottom w:val="single" w:sz="12" w:space="0" w:color="000000"/>
              <w:right w:val="single" w:sz="2" w:space="0" w:color="000000"/>
            </w:tcBorders>
          </w:tcPr>
          <w:p>
            <w:pPr/>
          </w:p>
        </w:tc>
        <w:tc>
          <w:tcPr>
            <w:tcW w:w="15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43" w:right="0"/>
              <w:jc w:val="center"/>
              <w:rPr>
                <w:rFonts w:ascii="Arial" w:hAnsi="Arial" w:cs="Arial" w:eastAsia="Arial" w:hint="default"/>
                <w:sz w:val="18"/>
                <w:szCs w:val="18"/>
              </w:rPr>
            </w:pPr>
            <w:r>
              <w:rPr>
                <w:rFonts w:ascii="Arial"/>
                <w:sz w:val="18"/>
              </w:rPr>
              <w:t>104,517,859.31</w:t>
            </w:r>
          </w:p>
        </w:tc>
        <w:tc>
          <w:tcPr>
            <w:tcW w:w="14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206" w:right="0"/>
              <w:jc w:val="left"/>
              <w:rPr>
                <w:rFonts w:ascii="Arial" w:hAnsi="Arial" w:cs="Arial" w:eastAsia="Arial" w:hint="default"/>
                <w:sz w:val="18"/>
                <w:szCs w:val="18"/>
              </w:rPr>
            </w:pPr>
            <w:r>
              <w:rPr>
                <w:rFonts w:ascii="Arial"/>
                <w:sz w:val="18"/>
              </w:rPr>
              <w:t>13,234,350.00</w:t>
            </w:r>
          </w:p>
        </w:tc>
        <w:tc>
          <w:tcPr>
            <w:tcW w:w="853" w:type="dxa"/>
            <w:tcBorders>
              <w:top w:val="single" w:sz="2" w:space="0" w:color="000000"/>
              <w:left w:val="single" w:sz="2" w:space="0" w:color="000000"/>
              <w:bottom w:val="single" w:sz="12" w:space="0" w:color="000000"/>
              <w:right w:val="single" w:sz="2" w:space="0" w:color="000000"/>
            </w:tcBorders>
          </w:tcPr>
          <w:p>
            <w:pPr/>
          </w:p>
        </w:tc>
        <w:tc>
          <w:tcPr>
            <w:tcW w:w="89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355" w:right="0"/>
              <w:jc w:val="left"/>
              <w:rPr>
                <w:rFonts w:ascii="Arial" w:hAnsi="Arial" w:cs="Arial" w:eastAsia="Arial" w:hint="default"/>
                <w:sz w:val="18"/>
                <w:szCs w:val="18"/>
              </w:rPr>
            </w:pPr>
            <w:r>
              <w:rPr>
                <w:rFonts w:ascii="Arial" w:hAnsi="Arial" w:cs="Arial" w:eastAsia="Arial" w:hint="default"/>
                <w:sz w:val="18"/>
                <w:szCs w:val="18"/>
              </w:rPr>
              <w:t>—</w:t>
            </w:r>
          </w:p>
        </w:tc>
      </w:tr>
    </w:tbl>
    <w:p>
      <w:pPr>
        <w:spacing w:line="240" w:lineRule="auto" w:before="5"/>
        <w:rPr>
          <w:rFonts w:ascii="宋体" w:hAnsi="宋体" w:cs="宋体" w:eastAsia="宋体" w:hint="default"/>
          <w:b/>
          <w:bCs/>
          <w:sz w:val="5"/>
          <w:szCs w:val="5"/>
        </w:rPr>
      </w:pPr>
    </w:p>
    <w:p>
      <w:pPr>
        <w:pStyle w:val="BodyText"/>
        <w:spacing w:line="240" w:lineRule="auto" w:before="32"/>
        <w:ind w:left="692" w:right="309"/>
        <w:jc w:val="left"/>
      </w:pPr>
      <w:r>
        <w:rPr>
          <w:w w:val="100"/>
        </w:rPr>
        <w:t>注</w:t>
      </w:r>
      <w:r>
        <w:rPr>
          <w:spacing w:val="-111"/>
          <w:w w:val="100"/>
        </w:rPr>
        <w:t>：</w:t>
      </w:r>
      <w:r>
        <w:rPr>
          <w:spacing w:val="-1"/>
          <w:w w:val="100"/>
        </w:rPr>
        <w:t>（</w:t>
      </w:r>
      <w:r>
        <w:rPr>
          <w:rFonts w:ascii="Arial" w:hAnsi="Arial" w:cs="Arial" w:eastAsia="Arial" w:hint="default"/>
          <w:spacing w:val="-1"/>
          <w:w w:val="100"/>
        </w:rPr>
        <w:t>1</w:t>
      </w:r>
      <w:r>
        <w:rPr>
          <w:w w:val="100"/>
        </w:rPr>
        <w:t>）</w:t>
      </w:r>
      <w:r>
        <w:rPr>
          <w:rFonts w:ascii="Arial" w:hAnsi="Arial" w:cs="Arial" w:eastAsia="Arial" w:hint="default"/>
          <w:spacing w:val="-1"/>
          <w:w w:val="100"/>
        </w:rPr>
        <w:t>201</w:t>
      </w:r>
      <w:r>
        <w:rPr>
          <w:rFonts w:ascii="Arial" w:hAnsi="Arial" w:cs="Arial" w:eastAsia="Arial" w:hint="default"/>
          <w:w w:val="100"/>
        </w:rPr>
        <w:t>9</w:t>
      </w:r>
      <w:r>
        <w:rPr>
          <w:rFonts w:ascii="Arial" w:hAnsi="Arial" w:cs="Arial" w:eastAsia="Arial" w:hint="default"/>
          <w:spacing w:val="-7"/>
        </w:rPr>
        <w:t> </w:t>
      </w:r>
      <w:r>
        <w:rPr>
          <w:w w:val="100"/>
        </w:rPr>
        <w:t>年</w:t>
      </w:r>
      <w:r>
        <w:rPr>
          <w:spacing w:val="-53"/>
        </w:rPr>
        <w:t> </w:t>
      </w:r>
      <w:r>
        <w:rPr>
          <w:rFonts w:ascii="Arial" w:hAnsi="Arial" w:cs="Arial" w:eastAsia="Arial" w:hint="default"/>
          <w:spacing w:val="-1"/>
          <w:w w:val="100"/>
        </w:rPr>
        <w:t>1</w:t>
      </w:r>
      <w:r>
        <w:rPr>
          <w:rFonts w:ascii="Arial" w:hAnsi="Arial" w:cs="Arial" w:eastAsia="Arial" w:hint="default"/>
          <w:w w:val="100"/>
        </w:rPr>
        <w:t>2</w:t>
      </w:r>
      <w:r>
        <w:rPr>
          <w:rFonts w:ascii="Arial" w:hAnsi="Arial" w:cs="Arial" w:eastAsia="Arial" w:hint="default"/>
          <w:spacing w:val="-4"/>
        </w:rPr>
        <w:t> </w:t>
      </w:r>
      <w:r>
        <w:rPr>
          <w:w w:val="100"/>
        </w:rPr>
        <w:t>月</w:t>
      </w:r>
      <w:r>
        <w:rPr>
          <w:spacing w:val="-52"/>
        </w:rPr>
        <w:t> </w:t>
      </w:r>
      <w:r>
        <w:rPr>
          <w:rFonts w:ascii="Arial" w:hAnsi="Arial" w:cs="Arial" w:eastAsia="Arial" w:hint="default"/>
          <w:spacing w:val="-3"/>
          <w:w w:val="100"/>
        </w:rPr>
        <w:t>3</w:t>
      </w:r>
      <w:r>
        <w:rPr>
          <w:rFonts w:ascii="Arial" w:hAnsi="Arial" w:cs="Arial" w:eastAsia="Arial" w:hint="default"/>
          <w:w w:val="100"/>
        </w:rPr>
        <w:t>0</w:t>
      </w:r>
      <w:r>
        <w:rPr>
          <w:rFonts w:ascii="Arial" w:hAnsi="Arial" w:cs="Arial" w:eastAsia="Arial" w:hint="default"/>
          <w:spacing w:val="-4"/>
        </w:rPr>
        <w:t> </w:t>
      </w:r>
      <w:r>
        <w:rPr>
          <w:w w:val="100"/>
        </w:rPr>
        <w:t>日，本</w:t>
      </w:r>
      <w:r>
        <w:rPr>
          <w:spacing w:val="-3"/>
          <w:w w:val="100"/>
        </w:rPr>
        <w:t>公</w:t>
      </w:r>
      <w:r>
        <w:rPr>
          <w:w w:val="100"/>
        </w:rPr>
        <w:t>司与</w:t>
      </w:r>
      <w:r>
        <w:rPr>
          <w:spacing w:val="-3"/>
          <w:w w:val="100"/>
        </w:rPr>
        <w:t>贵</w:t>
      </w:r>
      <w:r>
        <w:rPr>
          <w:w w:val="100"/>
        </w:rPr>
        <w:t>州高</w:t>
      </w:r>
      <w:r>
        <w:rPr>
          <w:spacing w:val="-3"/>
          <w:w w:val="100"/>
        </w:rPr>
        <w:t>速</w:t>
      </w:r>
      <w:r>
        <w:rPr>
          <w:w w:val="100"/>
        </w:rPr>
        <w:t>公路集</w:t>
      </w:r>
      <w:r>
        <w:rPr>
          <w:spacing w:val="-3"/>
          <w:w w:val="100"/>
        </w:rPr>
        <w:t>团</w:t>
      </w:r>
      <w:r>
        <w:rPr>
          <w:w w:val="100"/>
        </w:rPr>
        <w:t>有限</w:t>
      </w:r>
      <w:r>
        <w:rPr>
          <w:spacing w:val="-3"/>
          <w:w w:val="100"/>
        </w:rPr>
        <w:t>公</w:t>
      </w:r>
      <w:r>
        <w:rPr>
          <w:w w:val="100"/>
        </w:rPr>
        <w:t>司、</w:t>
      </w:r>
      <w:r>
        <w:rPr>
          <w:spacing w:val="-3"/>
          <w:w w:val="100"/>
        </w:rPr>
        <w:t>贵州</w:t>
      </w:r>
      <w:r>
        <w:rPr>
          <w:w w:val="100"/>
        </w:rPr>
        <w:t>中南交</w:t>
      </w:r>
      <w:r>
        <w:rPr>
          <w:spacing w:val="-3"/>
          <w:w w:val="100"/>
        </w:rPr>
        <w:t>通</w:t>
      </w:r>
      <w:r>
        <w:rPr>
          <w:w w:val="100"/>
        </w:rPr>
        <w:t>科技</w:t>
      </w:r>
      <w:r>
        <w:rPr>
          <w:spacing w:val="-3"/>
          <w:w w:val="100"/>
        </w:rPr>
        <w:t>有</w:t>
      </w:r>
      <w:r>
        <w:rPr>
          <w:w w:val="100"/>
        </w:rPr>
        <w:t>限公</w:t>
      </w:r>
    </w:p>
    <w:p>
      <w:pPr>
        <w:pStyle w:val="BodyText"/>
        <w:spacing w:line="240" w:lineRule="auto" w:before="95"/>
        <w:ind w:left="252" w:right="309"/>
        <w:jc w:val="left"/>
        <w:rPr>
          <w:rFonts w:ascii="Arial" w:hAnsi="Arial" w:cs="Arial" w:eastAsia="Arial" w:hint="default"/>
        </w:rPr>
      </w:pPr>
      <w:r>
        <w:rPr>
          <w:w w:val="100"/>
        </w:rPr>
        <w:t>司签订</w:t>
      </w:r>
      <w:r>
        <w:rPr>
          <w:spacing w:val="-3"/>
          <w:w w:val="100"/>
        </w:rPr>
        <w:t>股</w:t>
      </w:r>
      <w:r>
        <w:rPr>
          <w:w w:val="100"/>
        </w:rPr>
        <w:t>权增</w:t>
      </w:r>
      <w:r>
        <w:rPr>
          <w:spacing w:val="-3"/>
          <w:w w:val="100"/>
        </w:rPr>
        <w:t>资</w:t>
      </w:r>
      <w:r>
        <w:rPr>
          <w:w w:val="100"/>
        </w:rPr>
        <w:t>协</w:t>
      </w:r>
      <w:r>
        <w:rPr>
          <w:spacing w:val="-3"/>
          <w:w w:val="100"/>
        </w:rPr>
        <w:t>议</w:t>
      </w:r>
      <w:r>
        <w:rPr>
          <w:spacing w:val="-65"/>
          <w:w w:val="100"/>
        </w:rPr>
        <w:t>，</w:t>
      </w:r>
      <w:r>
        <w:rPr>
          <w:spacing w:val="-3"/>
          <w:w w:val="100"/>
        </w:rPr>
        <w:t>以</w:t>
      </w:r>
      <w:r>
        <w:rPr>
          <w:w w:val="100"/>
        </w:rPr>
        <w:t>本公司</w:t>
      </w:r>
      <w:r>
        <w:rPr>
          <w:spacing w:val="-3"/>
          <w:w w:val="100"/>
        </w:rPr>
        <w:t>持</w:t>
      </w:r>
      <w:r>
        <w:rPr>
          <w:w w:val="100"/>
        </w:rPr>
        <w:t>有的</w:t>
      </w:r>
      <w:r>
        <w:rPr>
          <w:spacing w:val="-3"/>
          <w:w w:val="100"/>
        </w:rPr>
        <w:t>贵</w:t>
      </w:r>
      <w:r>
        <w:rPr>
          <w:w w:val="100"/>
        </w:rPr>
        <w:t>州新</w:t>
      </w:r>
      <w:r>
        <w:rPr>
          <w:spacing w:val="-3"/>
          <w:w w:val="100"/>
        </w:rPr>
        <w:t>思维</w:t>
      </w:r>
      <w:r>
        <w:rPr>
          <w:w w:val="100"/>
        </w:rPr>
        <w:t>科技有</w:t>
      </w:r>
      <w:r>
        <w:rPr>
          <w:spacing w:val="-3"/>
          <w:w w:val="100"/>
        </w:rPr>
        <w:t>限</w:t>
      </w:r>
      <w:r>
        <w:rPr>
          <w:w w:val="100"/>
        </w:rPr>
        <w:t>责任</w:t>
      </w:r>
      <w:r>
        <w:rPr>
          <w:spacing w:val="-3"/>
          <w:w w:val="100"/>
        </w:rPr>
        <w:t>公</w:t>
      </w:r>
      <w:r>
        <w:rPr>
          <w:spacing w:val="-65"/>
          <w:w w:val="100"/>
        </w:rPr>
        <w:t>司</w:t>
      </w:r>
      <w:r>
        <w:rPr>
          <w:spacing w:val="-3"/>
          <w:w w:val="100"/>
        </w:rPr>
        <w:t>（</w:t>
      </w:r>
      <w:r>
        <w:rPr>
          <w:w w:val="100"/>
        </w:rPr>
        <w:t>以</w:t>
      </w:r>
      <w:r>
        <w:rPr>
          <w:spacing w:val="-3"/>
          <w:w w:val="100"/>
        </w:rPr>
        <w:t>下</w:t>
      </w:r>
      <w:r>
        <w:rPr>
          <w:w w:val="100"/>
        </w:rPr>
        <w:t>简</w:t>
      </w:r>
      <w:r>
        <w:rPr>
          <w:spacing w:val="-65"/>
          <w:w w:val="100"/>
        </w:rPr>
        <w:t>称</w:t>
      </w:r>
      <w:r>
        <w:rPr>
          <w:spacing w:val="-3"/>
          <w:w w:val="100"/>
        </w:rPr>
        <w:t>“</w:t>
      </w:r>
      <w:r>
        <w:rPr>
          <w:w w:val="100"/>
        </w:rPr>
        <w:t>贵州</w:t>
      </w:r>
      <w:r>
        <w:rPr>
          <w:spacing w:val="-3"/>
          <w:w w:val="100"/>
        </w:rPr>
        <w:t>新</w:t>
      </w:r>
      <w:r>
        <w:rPr>
          <w:w w:val="100"/>
        </w:rPr>
        <w:t>思维</w:t>
      </w:r>
      <w:r>
        <w:rPr>
          <w:spacing w:val="-113"/>
          <w:w w:val="100"/>
        </w:rPr>
        <w:t>”</w:t>
      </w:r>
      <w:r>
        <w:rPr>
          <w:w w:val="100"/>
        </w:rPr>
        <w:t>）</w:t>
      </w:r>
      <w:r>
        <w:rPr>
          <w:spacing w:val="-63"/>
        </w:rPr>
        <w:t> </w:t>
      </w:r>
      <w:r>
        <w:rPr>
          <w:rFonts w:ascii="Arial" w:hAnsi="Arial" w:cs="Arial" w:eastAsia="Arial" w:hint="default"/>
          <w:w w:val="100"/>
        </w:rPr>
        <w:t>3</w:t>
      </w:r>
      <w:r>
        <w:rPr>
          <w:rFonts w:ascii="Arial" w:hAnsi="Arial" w:cs="Arial" w:eastAsia="Arial" w:hint="default"/>
          <w:spacing w:val="-4"/>
          <w:w w:val="100"/>
        </w:rPr>
        <w:t>0</w:t>
      </w:r>
      <w:r>
        <w:rPr>
          <w:rFonts w:ascii="Arial" w:hAnsi="Arial" w:cs="Arial" w:eastAsia="Arial" w:hint="default"/>
          <w:w w:val="100"/>
        </w:rPr>
        <w:t>%</w:t>
      </w:r>
    </w:p>
    <w:p>
      <w:pPr>
        <w:pStyle w:val="BodyText"/>
        <w:spacing w:line="240" w:lineRule="auto" w:before="98"/>
        <w:ind w:left="252" w:right="309"/>
        <w:jc w:val="left"/>
      </w:pPr>
      <w:r>
        <w:rPr/>
        <w:t>的股权及现金合计 </w:t>
      </w:r>
      <w:r>
        <w:rPr>
          <w:rFonts w:ascii="Arial" w:hAnsi="Arial" w:cs="Arial" w:eastAsia="Arial" w:hint="default"/>
        </w:rPr>
        <w:t>8,120.00</w:t>
      </w:r>
      <w:r>
        <w:rPr>
          <w:rFonts w:ascii="Arial" w:hAnsi="Arial" w:cs="Arial" w:eastAsia="Arial" w:hint="default"/>
          <w:spacing w:val="28"/>
        </w:rPr>
        <w:t> </w:t>
      </w:r>
      <w:r>
        <w:rPr/>
        <w:t>万元对贵州中南交通科技有限公司进行增资。根据增资协议，本公司转</w:t>
      </w:r>
    </w:p>
    <w:p>
      <w:pPr>
        <w:pStyle w:val="BodyText"/>
        <w:spacing w:line="240" w:lineRule="auto" w:before="95"/>
        <w:ind w:left="252" w:right="309"/>
        <w:jc w:val="left"/>
        <w:rPr>
          <w:rFonts w:ascii="Arial" w:hAnsi="Arial" w:cs="Arial" w:eastAsia="Arial" w:hint="default"/>
        </w:rPr>
      </w:pPr>
      <w:r>
        <w:rPr/>
        <w:t>让贵州新思维  </w:t>
      </w:r>
      <w:r>
        <w:rPr>
          <w:rFonts w:ascii="Arial" w:hAnsi="Arial" w:cs="Arial" w:eastAsia="Arial" w:hint="default"/>
        </w:rPr>
        <w:t>30%</w:t>
      </w:r>
      <w:r>
        <w:rPr/>
        <w:t>股权的交割日为贵州新思维办理完毕股东变更的工商登记手续之日。截止</w:t>
      </w:r>
      <w:r>
        <w:rPr>
          <w:spacing w:val="7"/>
        </w:rPr>
        <w:t> </w:t>
      </w:r>
      <w:r>
        <w:rPr>
          <w:rFonts w:ascii="Arial" w:hAnsi="Arial" w:cs="Arial" w:eastAsia="Arial" w:hint="default"/>
        </w:rPr>
        <w:t>2019</w:t>
      </w:r>
    </w:p>
    <w:p>
      <w:pPr>
        <w:pStyle w:val="BodyText"/>
        <w:spacing w:line="316" w:lineRule="auto" w:before="97"/>
        <w:ind w:left="252" w:right="309"/>
        <w:jc w:val="left"/>
      </w:pPr>
      <w:r>
        <w:rPr/>
        <w:t>年</w:t>
      </w:r>
      <w:r>
        <w:rPr>
          <w:spacing w:val="-41"/>
        </w:rPr>
        <w:t> </w:t>
      </w:r>
      <w:r>
        <w:rPr>
          <w:rFonts w:ascii="Arial" w:hAnsi="Arial" w:cs="Arial" w:eastAsia="Arial" w:hint="default"/>
        </w:rPr>
        <w:t>12</w:t>
      </w:r>
      <w:r>
        <w:rPr>
          <w:rFonts w:ascii="Arial" w:hAnsi="Arial" w:cs="Arial" w:eastAsia="Arial" w:hint="default"/>
          <w:spacing w:val="7"/>
        </w:rPr>
        <w:t> </w:t>
      </w:r>
      <w:r>
        <w:rPr/>
        <w:t>月</w:t>
      </w:r>
      <w:r>
        <w:rPr>
          <w:spacing w:val="-41"/>
        </w:rPr>
        <w:t> </w:t>
      </w:r>
      <w:r>
        <w:rPr>
          <w:rFonts w:ascii="Arial" w:hAnsi="Arial" w:cs="Arial" w:eastAsia="Arial" w:hint="default"/>
        </w:rPr>
        <w:t>31</w:t>
      </w:r>
      <w:r>
        <w:rPr>
          <w:rFonts w:ascii="Arial" w:hAnsi="Arial" w:cs="Arial" w:eastAsia="Arial" w:hint="default"/>
          <w:spacing w:val="7"/>
        </w:rPr>
        <w:t> </w:t>
      </w:r>
      <w:r>
        <w:rPr>
          <w:spacing w:val="-7"/>
        </w:rPr>
        <w:t>日，贵州新思维尚未完成工商登记手续。本次股权评估采用收益法，估值高于账面净资产，</w:t>
      </w:r>
      <w:r>
        <w:rPr>
          <w:spacing w:val="-105"/>
        </w:rPr>
        <w:t> </w:t>
      </w:r>
      <w:r>
        <w:rPr>
          <w:spacing w:val="-105"/>
        </w:rPr>
      </w:r>
      <w:r>
        <w:rPr/>
        <w:t>不存在减值。</w:t>
      </w:r>
    </w:p>
    <w:p>
      <w:pPr>
        <w:pStyle w:val="BodyText"/>
        <w:spacing w:line="316" w:lineRule="auto" w:before="81"/>
        <w:ind w:left="252" w:right="1110" w:firstLine="439"/>
        <w:jc w:val="both"/>
      </w:pPr>
      <w:r>
        <w:rPr/>
        <w:t>（</w:t>
      </w:r>
      <w:r>
        <w:rPr>
          <w:rFonts w:ascii="Arial" w:hAnsi="Arial" w:cs="Arial" w:eastAsia="Arial" w:hint="default"/>
        </w:rPr>
        <w:t>2</w:t>
      </w:r>
      <w:r>
        <w:rPr/>
        <w:t>）</w:t>
      </w:r>
      <w:r>
        <w:rPr>
          <w:rFonts w:ascii="Arial" w:hAnsi="Arial" w:cs="Arial" w:eastAsia="Arial" w:hint="default"/>
        </w:rPr>
        <w:t>2019 </w:t>
      </w:r>
      <w:r>
        <w:rPr/>
        <w:t>年，本公司与 </w:t>
      </w:r>
      <w:r>
        <w:rPr>
          <w:rFonts w:ascii="Arial" w:hAnsi="Arial" w:cs="Arial" w:eastAsia="Arial" w:hint="default"/>
        </w:rPr>
        <w:t>Gold </w:t>
      </w:r>
      <w:r>
        <w:rPr>
          <w:rFonts w:ascii="Arial" w:hAnsi="Arial" w:cs="Arial" w:eastAsia="Arial" w:hint="default"/>
          <w:spacing w:val="-5"/>
        </w:rPr>
        <w:t>Talent </w:t>
      </w:r>
      <w:r>
        <w:rPr>
          <w:rFonts w:ascii="Arial" w:hAnsi="Arial" w:cs="Arial" w:eastAsia="Arial" w:hint="default"/>
        </w:rPr>
        <w:t>(HK) Limited</w:t>
      </w:r>
      <w:r>
        <w:rPr>
          <w:rFonts w:ascii="Arial" w:hAnsi="Arial" w:cs="Arial" w:eastAsia="Arial" w:hint="default"/>
          <w:spacing w:val="11"/>
        </w:rPr>
        <w:t> </w:t>
      </w:r>
      <w:r>
        <w:rPr/>
        <w:t>签订股权转让协议，将本公司持有的深圳一</w:t>
      </w:r>
      <w:r>
        <w:rPr>
          <w:w w:val="100"/>
        </w:rPr>
        <w:t> </w:t>
      </w:r>
      <w:r>
        <w:rPr>
          <w:spacing w:val="18"/>
        </w:rPr>
        <w:t>海通全球供应链管理有限公司</w:t>
      </w:r>
      <w:r>
        <w:rPr>
          <w:spacing w:val="31"/>
        </w:rPr>
        <w:t> </w:t>
      </w:r>
      <w:r>
        <w:rPr>
          <w:rFonts w:ascii="Arial" w:hAnsi="Arial" w:cs="Arial" w:eastAsia="Arial" w:hint="default"/>
        </w:rPr>
        <w:t>25.00%</w:t>
      </w:r>
      <w:r>
        <w:rPr>
          <w:rFonts w:ascii="Arial" w:hAnsi="Arial" w:cs="Arial" w:eastAsia="Arial" w:hint="default"/>
          <w:spacing w:val="-38"/>
        </w:rPr>
        <w:t> </w:t>
      </w:r>
      <w:r>
        <w:rPr>
          <w:spacing w:val="15"/>
        </w:rPr>
        <w:t>股权转让给</w:t>
      </w:r>
      <w:r>
        <w:rPr>
          <w:spacing w:val="29"/>
        </w:rPr>
        <w:t> </w:t>
      </w:r>
      <w:r>
        <w:rPr>
          <w:rFonts w:ascii="Arial" w:hAnsi="Arial" w:cs="Arial" w:eastAsia="Arial" w:hint="default"/>
        </w:rPr>
        <w:t>Gold</w:t>
      </w:r>
      <w:r>
        <w:rPr>
          <w:rFonts w:ascii="Arial" w:hAnsi="Arial" w:cs="Arial" w:eastAsia="Arial" w:hint="default"/>
          <w:spacing w:val="12"/>
        </w:rPr>
        <w:t> </w:t>
      </w:r>
      <w:r>
        <w:rPr>
          <w:rFonts w:ascii="Arial" w:hAnsi="Arial" w:cs="Arial" w:eastAsia="Arial" w:hint="default"/>
          <w:spacing w:val="-5"/>
        </w:rPr>
        <w:t>Talent</w:t>
      </w:r>
      <w:r>
        <w:rPr>
          <w:rFonts w:ascii="Arial" w:hAnsi="Arial" w:cs="Arial" w:eastAsia="Arial" w:hint="default"/>
          <w:spacing w:val="21"/>
        </w:rPr>
        <w:t> </w:t>
      </w:r>
      <w:r>
        <w:rPr>
          <w:rFonts w:ascii="Arial" w:hAnsi="Arial" w:cs="Arial" w:eastAsia="Arial" w:hint="default"/>
        </w:rPr>
        <w:t>(HK)</w:t>
      </w:r>
      <w:r>
        <w:rPr>
          <w:rFonts w:ascii="Arial" w:hAnsi="Arial" w:cs="Arial" w:eastAsia="Arial" w:hint="default"/>
          <w:spacing w:val="14"/>
        </w:rPr>
        <w:t> </w:t>
      </w:r>
      <w:r>
        <w:rPr>
          <w:rFonts w:ascii="Arial" w:hAnsi="Arial" w:cs="Arial" w:eastAsia="Arial" w:hint="default"/>
        </w:rPr>
        <w:t>Limited</w:t>
      </w:r>
      <w:r>
        <w:rPr>
          <w:rFonts w:ascii="Arial" w:hAnsi="Arial" w:cs="Arial" w:eastAsia="Arial" w:hint="default"/>
          <w:spacing w:val="-38"/>
        </w:rPr>
        <w:t> </w:t>
      </w:r>
      <w:r>
        <w:rPr/>
        <w:t>，</w:t>
      </w:r>
      <w:r>
        <w:rPr>
          <w:spacing w:val="-88"/>
        </w:rPr>
        <w:t> </w:t>
      </w:r>
      <w:r>
        <w:rPr>
          <w:spacing w:val="16"/>
        </w:rPr>
        <w:t>股权转让款为</w:t>
      </w:r>
      <w:r>
        <w:rPr>
          <w:spacing w:val="-108"/>
        </w:rPr>
        <w:t> </w:t>
      </w:r>
      <w:r>
        <w:rPr>
          <w:spacing w:val="-108"/>
        </w:rPr>
      </w:r>
      <w:r>
        <w:rPr>
          <w:rFonts w:ascii="Arial" w:hAnsi="Arial" w:cs="Arial" w:eastAsia="Arial" w:hint="default"/>
        </w:rPr>
        <w:t>13,234,350.00</w:t>
      </w:r>
      <w:r>
        <w:rPr>
          <w:rFonts w:ascii="Arial" w:hAnsi="Arial" w:cs="Arial" w:eastAsia="Arial" w:hint="default"/>
          <w:spacing w:val="42"/>
        </w:rPr>
        <w:t> </w:t>
      </w:r>
      <w:r>
        <w:rPr/>
        <w:t>元。根据股权转让协议，本次股权转让之股权交割日系工商变更登记办理完成之日。</w:t>
      </w:r>
    </w:p>
    <w:p>
      <w:pPr>
        <w:pStyle w:val="BodyText"/>
        <w:spacing w:line="316" w:lineRule="auto" w:before="18"/>
        <w:ind w:left="252" w:right="1123"/>
        <w:jc w:val="left"/>
      </w:pPr>
      <w:r>
        <w:rPr/>
        <w:t>截止 </w:t>
      </w:r>
      <w:r>
        <w:rPr>
          <w:rFonts w:ascii="Arial" w:hAnsi="Arial" w:cs="Arial" w:eastAsia="Arial" w:hint="default"/>
        </w:rPr>
        <w:t>2019 </w:t>
      </w:r>
      <w:r>
        <w:rPr/>
        <w:t>年 </w:t>
      </w:r>
      <w:r>
        <w:rPr>
          <w:rFonts w:ascii="Arial" w:hAnsi="Arial" w:cs="Arial" w:eastAsia="Arial" w:hint="default"/>
        </w:rPr>
        <w:t>12 </w:t>
      </w:r>
      <w:r>
        <w:rPr/>
        <w:t>月 </w:t>
      </w:r>
      <w:r>
        <w:rPr>
          <w:rFonts w:ascii="Arial" w:hAnsi="Arial" w:cs="Arial" w:eastAsia="Arial" w:hint="default"/>
        </w:rPr>
        <w:t>31</w:t>
      </w:r>
      <w:r>
        <w:rPr>
          <w:rFonts w:ascii="Arial" w:hAnsi="Arial" w:cs="Arial" w:eastAsia="Arial" w:hint="default"/>
          <w:spacing w:val="-1"/>
        </w:rPr>
        <w:t> </w:t>
      </w:r>
      <w:r>
        <w:rPr/>
        <w:t>日，深圳一海通已获取商务部关于变更为中外合资企业的批复，尚未完成工</w:t>
      </w:r>
      <w:r>
        <w:rPr>
          <w:w w:val="100"/>
        </w:rPr>
        <w:t> </w:t>
      </w:r>
      <w:r>
        <w:rPr/>
        <w:t>商变更，尚未完成股权交割。</w:t>
      </w:r>
    </w:p>
    <w:p>
      <w:pPr>
        <w:pStyle w:val="BodyText"/>
        <w:spacing w:line="240" w:lineRule="auto" w:before="81"/>
        <w:ind w:left="692" w:right="309"/>
        <w:jc w:val="left"/>
      </w:pPr>
      <w:r>
        <w:rPr/>
        <w:t>（</w:t>
      </w:r>
      <w:r>
        <w:rPr>
          <w:rFonts w:ascii="Arial" w:hAnsi="Arial" w:cs="Arial" w:eastAsia="Arial" w:hint="default"/>
        </w:rPr>
        <w:t>3</w:t>
      </w:r>
      <w:r>
        <w:rPr/>
        <w:t>）贵州新思维科技有限责任公司资产账面价值如下：</w:t>
      </w:r>
    </w:p>
    <w:p>
      <w:pPr>
        <w:spacing w:line="240" w:lineRule="auto" w:before="8"/>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4463"/>
        <w:gridCol w:w="5408"/>
      </w:tblGrid>
      <w:tr>
        <w:trPr>
          <w:trHeight w:val="499" w:hRule="exact"/>
        </w:trPr>
        <w:tc>
          <w:tcPr>
            <w:tcW w:w="446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2"/>
              <w:ind w:right="2042"/>
              <w:jc w:val="right"/>
              <w:rPr>
                <w:rFonts w:ascii="宋体" w:hAnsi="宋体" w:cs="宋体" w:eastAsia="宋体" w:hint="default"/>
                <w:sz w:val="18"/>
                <w:szCs w:val="18"/>
              </w:rPr>
            </w:pPr>
            <w:r>
              <w:rPr>
                <w:rFonts w:ascii="宋体" w:hAnsi="宋体" w:cs="宋体" w:eastAsia="宋体" w:hint="default"/>
                <w:sz w:val="18"/>
                <w:szCs w:val="18"/>
              </w:rPr>
              <w:t>项目</w:t>
            </w:r>
          </w:p>
        </w:tc>
        <w:tc>
          <w:tcPr>
            <w:tcW w:w="540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right="4"/>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485" w:hRule="exact"/>
        </w:trPr>
        <w:tc>
          <w:tcPr>
            <w:tcW w:w="44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54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102,046,470.18</w:t>
            </w:r>
          </w:p>
        </w:tc>
      </w:tr>
      <w:tr>
        <w:trPr>
          <w:trHeight w:val="485" w:hRule="exact"/>
        </w:trPr>
        <w:tc>
          <w:tcPr>
            <w:tcW w:w="44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54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2,471,389.13</w:t>
            </w:r>
          </w:p>
        </w:tc>
      </w:tr>
      <w:tr>
        <w:trPr>
          <w:trHeight w:val="485" w:hRule="exact"/>
        </w:trPr>
        <w:tc>
          <w:tcPr>
            <w:tcW w:w="44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往来合并抵消</w:t>
            </w:r>
          </w:p>
        </w:tc>
        <w:tc>
          <w:tcPr>
            <w:tcW w:w="5408" w:type="dxa"/>
            <w:tcBorders>
              <w:top w:val="single" w:sz="2" w:space="0" w:color="000000"/>
              <w:left w:val="single" w:sz="2" w:space="0" w:color="000000"/>
              <w:bottom w:val="single" w:sz="2" w:space="0" w:color="000000"/>
              <w:right w:val="nil" w:sz="6" w:space="0" w:color="auto"/>
            </w:tcBorders>
          </w:tcPr>
          <w:p>
            <w:pPr/>
          </w:p>
        </w:tc>
      </w:tr>
      <w:tr>
        <w:trPr>
          <w:trHeight w:val="500" w:hRule="exact"/>
        </w:trPr>
        <w:tc>
          <w:tcPr>
            <w:tcW w:w="446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right="2042"/>
              <w:jc w:val="right"/>
              <w:rPr>
                <w:rFonts w:ascii="宋体" w:hAnsi="宋体" w:cs="宋体" w:eastAsia="宋体" w:hint="default"/>
                <w:sz w:val="18"/>
                <w:szCs w:val="18"/>
              </w:rPr>
            </w:pPr>
            <w:r>
              <w:rPr>
                <w:rFonts w:ascii="宋体" w:hAnsi="宋体" w:cs="宋体" w:eastAsia="宋体" w:hint="default"/>
                <w:sz w:val="18"/>
                <w:szCs w:val="18"/>
              </w:rPr>
              <w:t>合计</w:t>
            </w:r>
          </w:p>
        </w:tc>
        <w:tc>
          <w:tcPr>
            <w:tcW w:w="540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104,517,859.31</w:t>
            </w:r>
          </w:p>
        </w:tc>
      </w:tr>
    </w:tbl>
    <w:p>
      <w:pPr>
        <w:pStyle w:val="Heading4"/>
        <w:spacing w:line="240" w:lineRule="auto"/>
        <w:ind w:left="694" w:right="309"/>
        <w:jc w:val="left"/>
        <w:rPr>
          <w:b w:val="0"/>
          <w:bCs w:val="0"/>
        </w:rPr>
      </w:pPr>
      <w:r>
        <w:rPr>
          <w:rFonts w:ascii="Arial" w:hAnsi="Arial" w:cs="Arial" w:eastAsia="Arial" w:hint="default"/>
        </w:rPr>
        <w:t>8</w:t>
      </w:r>
      <w:r>
        <w:rPr/>
        <w:t>、</w:t>
      </w:r>
      <w:r>
        <w:rPr>
          <w:spacing w:val="-57"/>
        </w:rPr>
        <w:t> </w:t>
      </w:r>
      <w:r>
        <w:rPr/>
        <w:t>其他流动资产</w:t>
      </w:r>
      <w:r>
        <w:rPr>
          <w:b w:val="0"/>
          <w:bCs w:val="0"/>
        </w:rPr>
      </w:r>
    </w:p>
    <w:p>
      <w:pPr>
        <w:spacing w:line="240" w:lineRule="auto" w:before="6"/>
        <w:rPr>
          <w:rFonts w:ascii="宋体" w:hAnsi="宋体" w:cs="宋体" w:eastAsia="宋体" w:hint="default"/>
          <w:b/>
          <w:bCs/>
          <w:sz w:val="2"/>
          <w:szCs w:val="2"/>
        </w:rPr>
      </w:pPr>
    </w:p>
    <w:tbl>
      <w:tblPr>
        <w:tblW w:w="0" w:type="auto"/>
        <w:jc w:val="left"/>
        <w:tblInd w:w="680" w:type="dxa"/>
        <w:tblLayout w:type="fixed"/>
        <w:tblCellMar>
          <w:top w:w="0" w:type="dxa"/>
          <w:left w:w="0" w:type="dxa"/>
          <w:bottom w:w="0" w:type="dxa"/>
          <w:right w:w="0" w:type="dxa"/>
        </w:tblCellMar>
        <w:tblLook w:val="01E0"/>
      </w:tblPr>
      <w:tblGrid>
        <w:gridCol w:w="2926"/>
        <w:gridCol w:w="2907"/>
        <w:gridCol w:w="2907"/>
      </w:tblGrid>
      <w:tr>
        <w:trPr>
          <w:trHeight w:val="499" w:hRule="exact"/>
        </w:trPr>
        <w:tc>
          <w:tcPr>
            <w:tcW w:w="292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2"/>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0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90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right="3"/>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85" w:hRule="exact"/>
        </w:trPr>
        <w:tc>
          <w:tcPr>
            <w:tcW w:w="29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已认证未抵扣的进项税</w:t>
            </w:r>
          </w:p>
        </w:tc>
        <w:tc>
          <w:tcPr>
            <w:tcW w:w="2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222,232.13</w:t>
            </w:r>
          </w:p>
        </w:tc>
        <w:tc>
          <w:tcPr>
            <w:tcW w:w="29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9,937,221.29</w:t>
            </w:r>
          </w:p>
        </w:tc>
      </w:tr>
      <w:tr>
        <w:trPr>
          <w:trHeight w:val="497" w:hRule="exact"/>
        </w:trPr>
        <w:tc>
          <w:tcPr>
            <w:tcW w:w="29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0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222,232.13</w:t>
            </w:r>
          </w:p>
        </w:tc>
        <w:tc>
          <w:tcPr>
            <w:tcW w:w="290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9,937,221.29</w:t>
            </w:r>
          </w:p>
        </w:tc>
      </w:tr>
    </w:tbl>
    <w:p>
      <w:pPr>
        <w:pStyle w:val="Heading4"/>
        <w:spacing w:line="240" w:lineRule="auto"/>
        <w:ind w:left="694" w:right="309"/>
        <w:jc w:val="left"/>
        <w:rPr>
          <w:b w:val="0"/>
          <w:bCs w:val="0"/>
        </w:rPr>
      </w:pPr>
      <w:r>
        <w:rPr>
          <w:rFonts w:ascii="Arial" w:hAnsi="Arial" w:cs="Arial" w:eastAsia="Arial" w:hint="default"/>
        </w:rPr>
        <w:t>9</w:t>
      </w:r>
      <w:r>
        <w:rPr/>
        <w:t>、</w:t>
      </w:r>
      <w:r>
        <w:rPr>
          <w:spacing w:val="-57"/>
        </w:rPr>
        <w:t> </w:t>
      </w:r>
      <w:r>
        <w:rPr/>
        <w:t>长期股权投资</w:t>
      </w:r>
      <w:r>
        <w:rPr>
          <w:b w:val="0"/>
          <w:bCs w:val="0"/>
        </w:rPr>
      </w:r>
    </w:p>
    <w:p>
      <w:pPr>
        <w:spacing w:line="240" w:lineRule="auto" w:before="9"/>
        <w:rPr>
          <w:rFonts w:ascii="宋体" w:hAnsi="宋体" w:cs="宋体" w:eastAsia="宋体" w:hint="default"/>
          <w:b/>
          <w:bCs/>
          <w:sz w:val="2"/>
          <w:szCs w:val="2"/>
        </w:rPr>
      </w:pPr>
    </w:p>
    <w:tbl>
      <w:tblPr>
        <w:tblW w:w="0" w:type="auto"/>
        <w:jc w:val="left"/>
        <w:tblInd w:w="694" w:type="dxa"/>
        <w:tblLayout w:type="fixed"/>
        <w:tblCellMar>
          <w:top w:w="0" w:type="dxa"/>
          <w:left w:w="0" w:type="dxa"/>
          <w:bottom w:w="0" w:type="dxa"/>
          <w:right w:w="0" w:type="dxa"/>
        </w:tblCellMar>
        <w:tblLook w:val="01E0"/>
      </w:tblPr>
      <w:tblGrid>
        <w:gridCol w:w="2377"/>
        <w:gridCol w:w="1315"/>
        <w:gridCol w:w="1522"/>
        <w:gridCol w:w="727"/>
        <w:gridCol w:w="1561"/>
        <w:gridCol w:w="1224"/>
      </w:tblGrid>
      <w:tr>
        <w:trPr>
          <w:trHeight w:val="499" w:hRule="exact"/>
        </w:trPr>
        <w:tc>
          <w:tcPr>
            <w:tcW w:w="2377"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73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15"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95"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5034"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right="4"/>
              <w:jc w:val="center"/>
              <w:rPr>
                <w:rFonts w:ascii="宋体" w:hAnsi="宋体" w:cs="宋体" w:eastAsia="宋体" w:hint="default"/>
                <w:sz w:val="18"/>
                <w:szCs w:val="18"/>
              </w:rPr>
            </w:pPr>
            <w:r>
              <w:rPr>
                <w:rFonts w:ascii="宋体" w:hAnsi="宋体" w:cs="宋体" w:eastAsia="宋体" w:hint="default"/>
                <w:sz w:val="18"/>
                <w:szCs w:val="18"/>
              </w:rPr>
              <w:t>本年增减变动</w:t>
            </w:r>
          </w:p>
        </w:tc>
      </w:tr>
      <w:tr>
        <w:trPr>
          <w:trHeight w:val="898" w:hRule="exact"/>
        </w:trPr>
        <w:tc>
          <w:tcPr>
            <w:tcW w:w="2377" w:type="dxa"/>
            <w:vMerge/>
            <w:tcBorders>
              <w:left w:val="nil" w:sz="6" w:space="0" w:color="auto"/>
              <w:bottom w:val="single" w:sz="12" w:space="0" w:color="000000"/>
              <w:right w:val="single" w:sz="2" w:space="0" w:color="000000"/>
            </w:tcBorders>
          </w:tcPr>
          <w:p>
            <w:pPr/>
          </w:p>
        </w:tc>
        <w:tc>
          <w:tcPr>
            <w:tcW w:w="1315" w:type="dxa"/>
            <w:vMerge/>
            <w:tcBorders>
              <w:left w:val="single" w:sz="2" w:space="0" w:color="000000"/>
              <w:bottom w:val="single" w:sz="12" w:space="0" w:color="000000"/>
              <w:right w:val="single" w:sz="2" w:space="0" w:color="000000"/>
            </w:tcBorders>
          </w:tcPr>
          <w:p>
            <w:pPr/>
          </w:p>
        </w:tc>
        <w:tc>
          <w:tcPr>
            <w:tcW w:w="15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27" w:type="dxa"/>
            <w:tcBorders>
              <w:top w:val="single" w:sz="2" w:space="0" w:color="000000"/>
              <w:left w:val="single" w:sz="2" w:space="0" w:color="000000"/>
              <w:bottom w:val="single" w:sz="12" w:space="0" w:color="000000"/>
              <w:right w:val="single" w:sz="2" w:space="0" w:color="000000"/>
            </w:tcBorders>
          </w:tcPr>
          <w:p>
            <w:pPr>
              <w:pStyle w:val="TableParagraph"/>
              <w:spacing w:line="405" w:lineRule="auto" w:before="150"/>
              <w:ind w:left="180" w:right="180"/>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561" w:type="dxa"/>
            <w:tcBorders>
              <w:top w:val="single" w:sz="2" w:space="0" w:color="000000"/>
              <w:left w:val="single" w:sz="2" w:space="0" w:color="000000"/>
              <w:bottom w:val="single" w:sz="12" w:space="0" w:color="000000"/>
              <w:right w:val="single" w:sz="2" w:space="0" w:color="000000"/>
            </w:tcBorders>
          </w:tcPr>
          <w:p>
            <w:pPr>
              <w:pStyle w:val="TableParagraph"/>
              <w:spacing w:line="405" w:lineRule="auto" w:before="150"/>
              <w:ind w:left="417" w:right="147" w:hanging="272"/>
              <w:jc w:val="left"/>
              <w:rPr>
                <w:rFonts w:ascii="宋体" w:hAnsi="宋体" w:cs="宋体" w:eastAsia="宋体" w:hint="default"/>
                <w:sz w:val="18"/>
                <w:szCs w:val="18"/>
              </w:rPr>
            </w:pPr>
            <w:r>
              <w:rPr>
                <w:rFonts w:ascii="宋体" w:hAnsi="宋体" w:cs="宋体" w:eastAsia="宋体" w:hint="default"/>
                <w:sz w:val="18"/>
                <w:szCs w:val="18"/>
              </w:rPr>
              <w:t>权益法下确认的 投资损益</w:t>
            </w:r>
          </w:p>
        </w:tc>
        <w:tc>
          <w:tcPr>
            <w:tcW w:w="1224" w:type="dxa"/>
            <w:tcBorders>
              <w:top w:val="single" w:sz="2" w:space="0" w:color="000000"/>
              <w:left w:val="single" w:sz="2" w:space="0" w:color="000000"/>
              <w:bottom w:val="single" w:sz="12" w:space="0" w:color="000000"/>
              <w:right w:val="nil" w:sz="6" w:space="0" w:color="auto"/>
            </w:tcBorders>
          </w:tcPr>
          <w:p>
            <w:pPr>
              <w:pStyle w:val="TableParagraph"/>
              <w:spacing w:line="405" w:lineRule="auto" w:before="150"/>
              <w:ind w:left="338" w:right="161" w:hanging="180"/>
              <w:jc w:val="left"/>
              <w:rPr>
                <w:rFonts w:ascii="宋体" w:hAnsi="宋体" w:cs="宋体" w:eastAsia="宋体" w:hint="default"/>
                <w:sz w:val="18"/>
                <w:szCs w:val="18"/>
              </w:rPr>
            </w:pPr>
            <w:r>
              <w:rPr>
                <w:rFonts w:ascii="宋体" w:hAnsi="宋体" w:cs="宋体" w:eastAsia="宋体" w:hint="default"/>
                <w:sz w:val="18"/>
                <w:szCs w:val="18"/>
              </w:rPr>
              <w:t>其他综合收 益调整</w:t>
            </w:r>
          </w:p>
        </w:tc>
      </w:tr>
    </w:tbl>
    <w:p>
      <w:pPr>
        <w:spacing w:after="0" w:line="405" w:lineRule="auto"/>
        <w:jc w:val="left"/>
        <w:rPr>
          <w:rFonts w:ascii="宋体" w:hAnsi="宋体" w:cs="宋体" w:eastAsia="宋体" w:hint="default"/>
          <w:sz w:val="18"/>
          <w:szCs w:val="18"/>
        </w:rPr>
        <w:sectPr>
          <w:pgSz w:w="11910" w:h="16840"/>
          <w:pgMar w:header="745" w:footer="979" w:top="1060" w:bottom="1160" w:left="880" w:right="0"/>
        </w:sectPr>
      </w:pPr>
    </w:p>
    <w:p>
      <w:pPr>
        <w:spacing w:line="240" w:lineRule="auto" w:before="6"/>
        <w:rPr>
          <w:rFonts w:ascii="宋体" w:hAnsi="宋体" w:cs="宋体" w:eastAsia="宋体" w:hint="default"/>
          <w:b/>
          <w:bCs/>
          <w:sz w:val="28"/>
          <w:szCs w:val="28"/>
        </w:rPr>
      </w:pPr>
    </w:p>
    <w:tbl>
      <w:tblPr>
        <w:tblW w:w="0" w:type="auto"/>
        <w:jc w:val="left"/>
        <w:tblInd w:w="580" w:type="dxa"/>
        <w:tblLayout w:type="fixed"/>
        <w:tblCellMar>
          <w:top w:w="0" w:type="dxa"/>
          <w:left w:w="0" w:type="dxa"/>
          <w:bottom w:w="0" w:type="dxa"/>
          <w:right w:w="0" w:type="dxa"/>
        </w:tblCellMar>
        <w:tblLook w:val="01E0"/>
      </w:tblPr>
      <w:tblGrid>
        <w:gridCol w:w="2391"/>
        <w:gridCol w:w="1315"/>
        <w:gridCol w:w="1522"/>
        <w:gridCol w:w="727"/>
        <w:gridCol w:w="1561"/>
        <w:gridCol w:w="1224"/>
      </w:tblGrid>
      <w:tr>
        <w:trPr>
          <w:trHeight w:val="500" w:hRule="exact"/>
        </w:trPr>
        <w:tc>
          <w:tcPr>
            <w:tcW w:w="2391"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753"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15"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95"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5034"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right="4"/>
              <w:jc w:val="center"/>
              <w:rPr>
                <w:rFonts w:ascii="宋体" w:hAnsi="宋体" w:cs="宋体" w:eastAsia="宋体" w:hint="default"/>
                <w:sz w:val="18"/>
                <w:szCs w:val="18"/>
              </w:rPr>
            </w:pPr>
            <w:r>
              <w:rPr>
                <w:rFonts w:ascii="宋体" w:hAnsi="宋体" w:cs="宋体" w:eastAsia="宋体" w:hint="default"/>
                <w:sz w:val="18"/>
                <w:szCs w:val="18"/>
              </w:rPr>
              <w:t>本年增减变动</w:t>
            </w:r>
          </w:p>
        </w:tc>
      </w:tr>
      <w:tr>
        <w:trPr>
          <w:trHeight w:val="883" w:hRule="exact"/>
        </w:trPr>
        <w:tc>
          <w:tcPr>
            <w:tcW w:w="2391" w:type="dxa"/>
            <w:vMerge/>
            <w:tcBorders>
              <w:left w:val="nil" w:sz="6" w:space="0" w:color="auto"/>
              <w:bottom w:val="single" w:sz="2" w:space="0" w:color="000000"/>
              <w:right w:val="single" w:sz="2" w:space="0" w:color="000000"/>
            </w:tcBorders>
          </w:tcPr>
          <w:p>
            <w:pPr/>
          </w:p>
        </w:tc>
        <w:tc>
          <w:tcPr>
            <w:tcW w:w="1315" w:type="dxa"/>
            <w:vMerge/>
            <w:tcBorders>
              <w:left w:val="single" w:sz="2" w:space="0" w:color="000000"/>
              <w:bottom w:val="single" w:sz="2" w:space="0" w:color="000000"/>
              <w:right w:val="single" w:sz="2" w:space="0" w:color="000000"/>
            </w:tcBorders>
          </w:tcPr>
          <w:p>
            <w:pPr/>
          </w:p>
        </w:tc>
        <w:tc>
          <w:tcPr>
            <w:tcW w:w="15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27" w:type="dxa"/>
            <w:tcBorders>
              <w:top w:val="single" w:sz="2" w:space="0" w:color="000000"/>
              <w:left w:val="single" w:sz="2" w:space="0" w:color="000000"/>
              <w:bottom w:val="single" w:sz="2" w:space="0" w:color="000000"/>
              <w:right w:val="single" w:sz="2" w:space="0" w:color="000000"/>
            </w:tcBorders>
          </w:tcPr>
          <w:p>
            <w:pPr>
              <w:pStyle w:val="TableParagraph"/>
              <w:spacing w:line="405" w:lineRule="auto" w:before="149"/>
              <w:ind w:left="180" w:right="180"/>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405" w:lineRule="auto" w:before="149"/>
              <w:ind w:left="417" w:right="147" w:hanging="272"/>
              <w:jc w:val="left"/>
              <w:rPr>
                <w:rFonts w:ascii="宋体" w:hAnsi="宋体" w:cs="宋体" w:eastAsia="宋体" w:hint="default"/>
                <w:sz w:val="18"/>
                <w:szCs w:val="18"/>
              </w:rPr>
            </w:pPr>
            <w:r>
              <w:rPr>
                <w:rFonts w:ascii="宋体" w:hAnsi="宋体" w:cs="宋体" w:eastAsia="宋体" w:hint="default"/>
                <w:sz w:val="18"/>
                <w:szCs w:val="18"/>
              </w:rPr>
              <w:t>权益法下确认的 投资损益</w:t>
            </w:r>
          </w:p>
        </w:tc>
        <w:tc>
          <w:tcPr>
            <w:tcW w:w="1224" w:type="dxa"/>
            <w:tcBorders>
              <w:top w:val="single" w:sz="2" w:space="0" w:color="000000"/>
              <w:left w:val="single" w:sz="2" w:space="0" w:color="000000"/>
              <w:bottom w:val="single" w:sz="2" w:space="0" w:color="000000"/>
              <w:right w:val="nil" w:sz="6" w:space="0" w:color="auto"/>
            </w:tcBorders>
          </w:tcPr>
          <w:p>
            <w:pPr>
              <w:pStyle w:val="TableParagraph"/>
              <w:spacing w:line="405" w:lineRule="auto" w:before="149"/>
              <w:ind w:left="338" w:right="161" w:hanging="180"/>
              <w:jc w:val="left"/>
              <w:rPr>
                <w:rFonts w:ascii="宋体" w:hAnsi="宋体" w:cs="宋体" w:eastAsia="宋体" w:hint="default"/>
                <w:sz w:val="18"/>
                <w:szCs w:val="18"/>
              </w:rPr>
            </w:pPr>
            <w:r>
              <w:rPr>
                <w:rFonts w:ascii="宋体" w:hAnsi="宋体" w:cs="宋体" w:eastAsia="宋体" w:hint="default"/>
                <w:sz w:val="18"/>
                <w:szCs w:val="18"/>
              </w:rPr>
              <w:t>其他综合收 益调整</w:t>
            </w:r>
          </w:p>
        </w:tc>
      </w:tr>
      <w:tr>
        <w:trPr>
          <w:trHeight w:val="485" w:hRule="exact"/>
        </w:trPr>
        <w:tc>
          <w:tcPr>
            <w:tcW w:w="23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一、合营企业</w:t>
            </w:r>
          </w:p>
        </w:tc>
        <w:tc>
          <w:tcPr>
            <w:tcW w:w="1315" w:type="dxa"/>
            <w:tcBorders>
              <w:top w:val="single" w:sz="2" w:space="0" w:color="000000"/>
              <w:left w:val="single" w:sz="2" w:space="0" w:color="000000"/>
              <w:bottom w:val="single" w:sz="2" w:space="0" w:color="000000"/>
              <w:right w:val="single" w:sz="2" w:space="0" w:color="000000"/>
            </w:tcBorders>
          </w:tcPr>
          <w:p>
            <w:pPr/>
          </w:p>
        </w:tc>
        <w:tc>
          <w:tcPr>
            <w:tcW w:w="1522" w:type="dxa"/>
            <w:tcBorders>
              <w:top w:val="single" w:sz="2" w:space="0" w:color="000000"/>
              <w:left w:val="single" w:sz="2" w:space="0" w:color="000000"/>
              <w:bottom w:val="single" w:sz="2" w:space="0" w:color="000000"/>
              <w:right w:val="single" w:sz="2" w:space="0" w:color="000000"/>
            </w:tcBorders>
          </w:tcPr>
          <w:p>
            <w:pPr/>
          </w:p>
        </w:tc>
        <w:tc>
          <w:tcPr>
            <w:tcW w:w="727" w:type="dxa"/>
            <w:tcBorders>
              <w:top w:val="single" w:sz="2" w:space="0" w:color="000000"/>
              <w:left w:val="single" w:sz="2" w:space="0" w:color="000000"/>
              <w:bottom w:val="single" w:sz="2" w:space="0" w:color="000000"/>
              <w:right w:val="single" w:sz="2" w:space="0" w:color="000000"/>
            </w:tcBorders>
          </w:tcPr>
          <w:p>
            <w:pPr/>
          </w:p>
        </w:tc>
        <w:tc>
          <w:tcPr>
            <w:tcW w:w="1561" w:type="dxa"/>
            <w:tcBorders>
              <w:top w:val="single" w:sz="2" w:space="0" w:color="000000"/>
              <w:left w:val="single" w:sz="2" w:space="0" w:color="000000"/>
              <w:bottom w:val="single" w:sz="2" w:space="0" w:color="000000"/>
              <w:right w:val="single" w:sz="2" w:space="0" w:color="000000"/>
            </w:tcBorders>
          </w:tcPr>
          <w:p>
            <w:pPr/>
          </w:p>
        </w:tc>
        <w:tc>
          <w:tcPr>
            <w:tcW w:w="1224" w:type="dxa"/>
            <w:tcBorders>
              <w:top w:val="single" w:sz="2" w:space="0" w:color="000000"/>
              <w:left w:val="single" w:sz="2" w:space="0" w:color="000000"/>
              <w:bottom w:val="single" w:sz="2" w:space="0" w:color="000000"/>
              <w:right w:val="nil" w:sz="6" w:space="0" w:color="auto"/>
            </w:tcBorders>
          </w:tcPr>
          <w:p>
            <w:pPr/>
          </w:p>
        </w:tc>
      </w:tr>
      <w:tr>
        <w:trPr>
          <w:trHeight w:val="886" w:hRule="exact"/>
        </w:trPr>
        <w:tc>
          <w:tcPr>
            <w:tcW w:w="23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中远海运古野通信导航科技</w:t>
            </w: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（上海）有限公司</w:t>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7"/>
              <w:ind w:right="103"/>
              <w:jc w:val="right"/>
              <w:rPr>
                <w:rFonts w:ascii="Arial" w:hAnsi="Arial" w:cs="Arial" w:eastAsia="Arial" w:hint="default"/>
                <w:sz w:val="18"/>
                <w:szCs w:val="18"/>
              </w:rPr>
            </w:pPr>
            <w:r>
              <w:rPr>
                <w:rFonts w:ascii="Arial"/>
                <w:spacing w:val="-1"/>
                <w:sz w:val="18"/>
              </w:rPr>
              <w:t>7,045,649.21</w:t>
            </w:r>
          </w:p>
        </w:tc>
        <w:tc>
          <w:tcPr>
            <w:tcW w:w="1522" w:type="dxa"/>
            <w:tcBorders>
              <w:top w:val="single" w:sz="2" w:space="0" w:color="000000"/>
              <w:left w:val="single" w:sz="2" w:space="0" w:color="000000"/>
              <w:bottom w:val="single" w:sz="2" w:space="0" w:color="000000"/>
              <w:right w:val="single" w:sz="2" w:space="0" w:color="000000"/>
            </w:tcBorders>
          </w:tcPr>
          <w:p>
            <w:pPr/>
          </w:p>
        </w:tc>
        <w:tc>
          <w:tcPr>
            <w:tcW w:w="727" w:type="dxa"/>
            <w:tcBorders>
              <w:top w:val="single" w:sz="2" w:space="0" w:color="000000"/>
              <w:left w:val="single" w:sz="2" w:space="0" w:color="000000"/>
              <w:bottom w:val="single" w:sz="2" w:space="0" w:color="000000"/>
              <w:right w:val="single" w:sz="2" w:space="0" w:color="000000"/>
            </w:tcBorders>
          </w:tcPr>
          <w:p>
            <w:pP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7"/>
              <w:ind w:right="103"/>
              <w:jc w:val="right"/>
              <w:rPr>
                <w:rFonts w:ascii="Arial" w:hAnsi="Arial" w:cs="Arial" w:eastAsia="Arial" w:hint="default"/>
                <w:sz w:val="18"/>
                <w:szCs w:val="18"/>
              </w:rPr>
            </w:pPr>
            <w:r>
              <w:rPr>
                <w:rFonts w:ascii="Arial"/>
                <w:spacing w:val="-1"/>
                <w:sz w:val="18"/>
              </w:rPr>
              <w:t>-1,320,588.83</w:t>
            </w:r>
          </w:p>
        </w:tc>
        <w:tc>
          <w:tcPr>
            <w:tcW w:w="1224"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23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2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7,045,649.21</w:t>
            </w:r>
          </w:p>
        </w:tc>
        <w:tc>
          <w:tcPr>
            <w:tcW w:w="1522" w:type="dxa"/>
            <w:tcBorders>
              <w:top w:val="single" w:sz="2" w:space="0" w:color="000000"/>
              <w:left w:val="single" w:sz="2" w:space="0" w:color="000000"/>
              <w:bottom w:val="single" w:sz="2" w:space="0" w:color="000000"/>
              <w:right w:val="single" w:sz="2" w:space="0" w:color="000000"/>
            </w:tcBorders>
          </w:tcPr>
          <w:p>
            <w:pPr/>
          </w:p>
        </w:tc>
        <w:tc>
          <w:tcPr>
            <w:tcW w:w="727" w:type="dxa"/>
            <w:tcBorders>
              <w:top w:val="single" w:sz="2" w:space="0" w:color="000000"/>
              <w:left w:val="single" w:sz="2" w:space="0" w:color="000000"/>
              <w:bottom w:val="single" w:sz="2" w:space="0" w:color="000000"/>
              <w:right w:val="single" w:sz="2" w:space="0" w:color="000000"/>
            </w:tcBorders>
          </w:tcPr>
          <w:p>
            <w:pP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-1,320,588.83</w:t>
            </w:r>
          </w:p>
        </w:tc>
        <w:tc>
          <w:tcPr>
            <w:tcW w:w="1224"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23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0"/>
              <w:ind w:left="124" w:right="0"/>
              <w:jc w:val="left"/>
              <w:rPr>
                <w:rFonts w:ascii="宋体" w:hAnsi="宋体" w:cs="宋体" w:eastAsia="宋体" w:hint="default"/>
                <w:sz w:val="18"/>
                <w:szCs w:val="18"/>
              </w:rPr>
            </w:pPr>
            <w:r>
              <w:rPr>
                <w:rFonts w:ascii="宋体" w:hAnsi="宋体" w:cs="宋体" w:eastAsia="宋体" w:hint="default"/>
                <w:sz w:val="18"/>
                <w:szCs w:val="18"/>
              </w:rPr>
              <w:t>二、联营企业</w:t>
            </w:r>
          </w:p>
        </w:tc>
        <w:tc>
          <w:tcPr>
            <w:tcW w:w="1315" w:type="dxa"/>
            <w:tcBorders>
              <w:top w:val="single" w:sz="2" w:space="0" w:color="000000"/>
              <w:left w:val="single" w:sz="2" w:space="0" w:color="000000"/>
              <w:bottom w:val="single" w:sz="2" w:space="0" w:color="000000"/>
              <w:right w:val="single" w:sz="2" w:space="0" w:color="000000"/>
            </w:tcBorders>
          </w:tcPr>
          <w:p>
            <w:pPr/>
          </w:p>
        </w:tc>
        <w:tc>
          <w:tcPr>
            <w:tcW w:w="1522" w:type="dxa"/>
            <w:tcBorders>
              <w:top w:val="single" w:sz="2" w:space="0" w:color="000000"/>
              <w:left w:val="single" w:sz="2" w:space="0" w:color="000000"/>
              <w:bottom w:val="single" w:sz="2" w:space="0" w:color="000000"/>
              <w:right w:val="single" w:sz="2" w:space="0" w:color="000000"/>
            </w:tcBorders>
          </w:tcPr>
          <w:p>
            <w:pPr/>
          </w:p>
        </w:tc>
        <w:tc>
          <w:tcPr>
            <w:tcW w:w="727" w:type="dxa"/>
            <w:tcBorders>
              <w:top w:val="single" w:sz="2" w:space="0" w:color="000000"/>
              <w:left w:val="single" w:sz="2" w:space="0" w:color="000000"/>
              <w:bottom w:val="single" w:sz="2" w:space="0" w:color="000000"/>
              <w:right w:val="single" w:sz="2" w:space="0" w:color="000000"/>
            </w:tcBorders>
          </w:tcPr>
          <w:p>
            <w:pPr/>
          </w:p>
        </w:tc>
        <w:tc>
          <w:tcPr>
            <w:tcW w:w="1561" w:type="dxa"/>
            <w:tcBorders>
              <w:top w:val="single" w:sz="2" w:space="0" w:color="000000"/>
              <w:left w:val="single" w:sz="2" w:space="0" w:color="000000"/>
              <w:bottom w:val="single" w:sz="2" w:space="0" w:color="000000"/>
              <w:right w:val="single" w:sz="2" w:space="0" w:color="000000"/>
            </w:tcBorders>
          </w:tcPr>
          <w:p>
            <w:pPr/>
          </w:p>
        </w:tc>
        <w:tc>
          <w:tcPr>
            <w:tcW w:w="1224" w:type="dxa"/>
            <w:tcBorders>
              <w:top w:val="single" w:sz="2" w:space="0" w:color="000000"/>
              <w:left w:val="single" w:sz="2" w:space="0" w:color="000000"/>
              <w:bottom w:val="single" w:sz="2" w:space="0" w:color="000000"/>
              <w:right w:val="nil" w:sz="6" w:space="0" w:color="auto"/>
            </w:tcBorders>
          </w:tcPr>
          <w:p>
            <w:pPr/>
          </w:p>
        </w:tc>
      </w:tr>
      <w:tr>
        <w:trPr>
          <w:trHeight w:val="886" w:hRule="exact"/>
        </w:trPr>
        <w:tc>
          <w:tcPr>
            <w:tcW w:w="2391" w:type="dxa"/>
            <w:tcBorders>
              <w:top w:val="single" w:sz="2" w:space="0" w:color="000000"/>
              <w:left w:val="nil" w:sz="6" w:space="0" w:color="auto"/>
              <w:bottom w:val="single" w:sz="2" w:space="0" w:color="000000"/>
              <w:right w:val="single" w:sz="2" w:space="0" w:color="000000"/>
            </w:tcBorders>
          </w:tcPr>
          <w:p>
            <w:pPr>
              <w:pStyle w:val="TableParagraph"/>
              <w:spacing w:line="400" w:lineRule="exact" w:before="40"/>
              <w:ind w:left="124" w:right="101"/>
              <w:jc w:val="left"/>
              <w:rPr>
                <w:rFonts w:ascii="宋体" w:hAnsi="宋体" w:cs="宋体" w:eastAsia="宋体" w:hint="default"/>
                <w:sz w:val="18"/>
                <w:szCs w:val="18"/>
              </w:rPr>
            </w:pPr>
            <w:r>
              <w:rPr>
                <w:rFonts w:ascii="宋体" w:hAnsi="宋体" w:cs="宋体" w:eastAsia="宋体" w:hint="default"/>
                <w:sz w:val="18"/>
                <w:szCs w:val="18"/>
              </w:rPr>
              <w:t>深圳一海通全球供应链管理 有限公司</w:t>
            </w:r>
          </w:p>
        </w:tc>
        <w:tc>
          <w:tcPr>
            <w:tcW w:w="1315" w:type="dxa"/>
            <w:tcBorders>
              <w:top w:val="single" w:sz="2" w:space="0" w:color="000000"/>
              <w:left w:val="single" w:sz="2" w:space="0" w:color="000000"/>
              <w:bottom w:val="single" w:sz="2" w:space="0" w:color="000000"/>
              <w:right w:val="single" w:sz="2" w:space="0" w:color="000000"/>
            </w:tcBorders>
          </w:tcPr>
          <w:p>
            <w:pPr/>
          </w:p>
        </w:tc>
        <w:tc>
          <w:tcPr>
            <w:tcW w:w="1522" w:type="dxa"/>
            <w:tcBorders>
              <w:top w:val="single" w:sz="2" w:space="0" w:color="000000"/>
              <w:left w:val="single" w:sz="2" w:space="0" w:color="000000"/>
              <w:bottom w:val="single" w:sz="2" w:space="0" w:color="000000"/>
              <w:right w:val="single" w:sz="2" w:space="0" w:color="000000"/>
            </w:tcBorders>
          </w:tcPr>
          <w:p>
            <w:pPr/>
          </w:p>
        </w:tc>
        <w:tc>
          <w:tcPr>
            <w:tcW w:w="727" w:type="dxa"/>
            <w:tcBorders>
              <w:top w:val="single" w:sz="2" w:space="0" w:color="000000"/>
              <w:left w:val="single" w:sz="2" w:space="0" w:color="000000"/>
              <w:bottom w:val="single" w:sz="2" w:space="0" w:color="000000"/>
              <w:right w:val="single" w:sz="2" w:space="0" w:color="000000"/>
            </w:tcBorders>
          </w:tcPr>
          <w:p>
            <w:pPr/>
          </w:p>
        </w:tc>
        <w:tc>
          <w:tcPr>
            <w:tcW w:w="1561" w:type="dxa"/>
            <w:tcBorders>
              <w:top w:val="single" w:sz="2" w:space="0" w:color="000000"/>
              <w:left w:val="single" w:sz="2" w:space="0" w:color="000000"/>
              <w:bottom w:val="single" w:sz="2" w:space="0" w:color="000000"/>
              <w:right w:val="single" w:sz="2" w:space="0" w:color="000000"/>
            </w:tcBorders>
          </w:tcPr>
          <w:p>
            <w:pPr/>
          </w:p>
        </w:tc>
        <w:tc>
          <w:tcPr>
            <w:tcW w:w="1224"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23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上海中远资讯科技有限公司</w:t>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1,577,596.33</w:t>
            </w:r>
          </w:p>
        </w:tc>
        <w:tc>
          <w:tcPr>
            <w:tcW w:w="1522" w:type="dxa"/>
            <w:tcBorders>
              <w:top w:val="single" w:sz="2" w:space="0" w:color="000000"/>
              <w:left w:val="single" w:sz="2" w:space="0" w:color="000000"/>
              <w:bottom w:val="single" w:sz="2" w:space="0" w:color="000000"/>
              <w:right w:val="single" w:sz="2" w:space="0" w:color="000000"/>
            </w:tcBorders>
          </w:tcPr>
          <w:p>
            <w:pPr/>
          </w:p>
        </w:tc>
        <w:tc>
          <w:tcPr>
            <w:tcW w:w="727" w:type="dxa"/>
            <w:tcBorders>
              <w:top w:val="single" w:sz="2" w:space="0" w:color="000000"/>
              <w:left w:val="single" w:sz="2" w:space="0" w:color="000000"/>
              <w:bottom w:val="single" w:sz="2" w:space="0" w:color="000000"/>
              <w:right w:val="single" w:sz="2" w:space="0" w:color="000000"/>
            </w:tcBorders>
          </w:tcPr>
          <w:p>
            <w:pP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84,236.40</w:t>
            </w:r>
          </w:p>
        </w:tc>
        <w:tc>
          <w:tcPr>
            <w:tcW w:w="1224"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23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宁夏交投科技发展有限公司</w:t>
            </w:r>
          </w:p>
        </w:tc>
        <w:tc>
          <w:tcPr>
            <w:tcW w:w="1315" w:type="dxa"/>
            <w:tcBorders>
              <w:top w:val="single" w:sz="2" w:space="0" w:color="000000"/>
              <w:left w:val="single" w:sz="2" w:space="0" w:color="000000"/>
              <w:bottom w:val="single" w:sz="2" w:space="0" w:color="000000"/>
              <w:right w:val="single" w:sz="2" w:space="0" w:color="000000"/>
            </w:tcBorders>
          </w:tcPr>
          <w:p>
            <w:pPr/>
          </w:p>
        </w:tc>
        <w:tc>
          <w:tcPr>
            <w:tcW w:w="15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360" w:right="0"/>
              <w:jc w:val="left"/>
              <w:rPr>
                <w:rFonts w:ascii="Arial" w:hAnsi="Arial" w:cs="Arial" w:eastAsia="Arial" w:hint="default"/>
                <w:sz w:val="18"/>
                <w:szCs w:val="18"/>
              </w:rPr>
            </w:pPr>
            <w:r>
              <w:rPr>
                <w:rFonts w:ascii="Arial"/>
                <w:sz w:val="18"/>
              </w:rPr>
              <w:t>9,800,000.00</w:t>
            </w:r>
          </w:p>
        </w:tc>
        <w:tc>
          <w:tcPr>
            <w:tcW w:w="727" w:type="dxa"/>
            <w:tcBorders>
              <w:top w:val="single" w:sz="2" w:space="0" w:color="000000"/>
              <w:left w:val="single" w:sz="2" w:space="0" w:color="000000"/>
              <w:bottom w:val="single" w:sz="2" w:space="0" w:color="000000"/>
              <w:right w:val="single" w:sz="2" w:space="0" w:color="000000"/>
            </w:tcBorders>
          </w:tcPr>
          <w:p>
            <w:pP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2,752,849.56</w:t>
            </w:r>
          </w:p>
        </w:tc>
        <w:tc>
          <w:tcPr>
            <w:tcW w:w="1224"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23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2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1,577,596.33</w:t>
            </w:r>
          </w:p>
        </w:tc>
        <w:tc>
          <w:tcPr>
            <w:tcW w:w="15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360" w:right="0"/>
              <w:jc w:val="left"/>
              <w:rPr>
                <w:rFonts w:ascii="Arial" w:hAnsi="Arial" w:cs="Arial" w:eastAsia="Arial" w:hint="default"/>
                <w:sz w:val="18"/>
                <w:szCs w:val="18"/>
              </w:rPr>
            </w:pPr>
            <w:r>
              <w:rPr>
                <w:rFonts w:ascii="Arial"/>
                <w:sz w:val="18"/>
              </w:rPr>
              <w:t>9,800,000.00</w:t>
            </w:r>
          </w:p>
        </w:tc>
        <w:tc>
          <w:tcPr>
            <w:tcW w:w="727" w:type="dxa"/>
            <w:tcBorders>
              <w:top w:val="single" w:sz="2" w:space="0" w:color="000000"/>
              <w:left w:val="single" w:sz="2" w:space="0" w:color="000000"/>
              <w:bottom w:val="single" w:sz="2" w:space="0" w:color="000000"/>
              <w:right w:val="single" w:sz="2" w:space="0" w:color="000000"/>
            </w:tcBorders>
          </w:tcPr>
          <w:p>
            <w:pP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2,837,085.96</w:t>
            </w:r>
          </w:p>
        </w:tc>
        <w:tc>
          <w:tcPr>
            <w:tcW w:w="1224" w:type="dxa"/>
            <w:tcBorders>
              <w:top w:val="single" w:sz="2" w:space="0" w:color="000000"/>
              <w:left w:val="single" w:sz="2" w:space="0" w:color="000000"/>
              <w:bottom w:val="single" w:sz="2" w:space="0" w:color="000000"/>
              <w:right w:val="nil" w:sz="6" w:space="0" w:color="auto"/>
            </w:tcBorders>
          </w:tcPr>
          <w:p>
            <w:pPr/>
          </w:p>
        </w:tc>
      </w:tr>
      <w:tr>
        <w:trPr>
          <w:trHeight w:val="499" w:hRule="exact"/>
        </w:trPr>
        <w:tc>
          <w:tcPr>
            <w:tcW w:w="239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8,623,245.54</w:t>
            </w:r>
          </w:p>
        </w:tc>
        <w:tc>
          <w:tcPr>
            <w:tcW w:w="15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360" w:right="0"/>
              <w:jc w:val="left"/>
              <w:rPr>
                <w:rFonts w:ascii="Arial" w:hAnsi="Arial" w:cs="Arial" w:eastAsia="Arial" w:hint="default"/>
                <w:sz w:val="18"/>
                <w:szCs w:val="18"/>
              </w:rPr>
            </w:pPr>
            <w:r>
              <w:rPr>
                <w:rFonts w:ascii="Arial"/>
                <w:sz w:val="18"/>
              </w:rPr>
              <w:t>9,800,000.00</w:t>
            </w:r>
          </w:p>
        </w:tc>
        <w:tc>
          <w:tcPr>
            <w:tcW w:w="727" w:type="dxa"/>
            <w:tcBorders>
              <w:top w:val="single" w:sz="2" w:space="0" w:color="000000"/>
              <w:left w:val="single" w:sz="2" w:space="0" w:color="000000"/>
              <w:bottom w:val="single" w:sz="12" w:space="0" w:color="000000"/>
              <w:right w:val="single" w:sz="2" w:space="0" w:color="000000"/>
            </w:tcBorders>
          </w:tcPr>
          <w:p>
            <w:pPr/>
          </w:p>
        </w:tc>
        <w:tc>
          <w:tcPr>
            <w:tcW w:w="15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1,516,497.13</w:t>
            </w:r>
          </w:p>
        </w:tc>
        <w:tc>
          <w:tcPr>
            <w:tcW w:w="1224" w:type="dxa"/>
            <w:tcBorders>
              <w:top w:val="single" w:sz="2" w:space="0" w:color="000000"/>
              <w:left w:val="single" w:sz="2" w:space="0" w:color="000000"/>
              <w:bottom w:val="single" w:sz="12" w:space="0" w:color="000000"/>
              <w:right w:val="nil" w:sz="6" w:space="0" w:color="auto"/>
            </w:tcBorders>
          </w:tcPr>
          <w:p>
            <w:pPr/>
          </w:p>
        </w:tc>
      </w:tr>
    </w:tbl>
    <w:p>
      <w:pPr>
        <w:spacing w:line="240" w:lineRule="auto" w:before="5"/>
        <w:rPr>
          <w:rFonts w:ascii="宋体" w:hAnsi="宋体" w:cs="宋体" w:eastAsia="宋体" w:hint="default"/>
          <w:b/>
          <w:bCs/>
          <w:sz w:val="5"/>
          <w:szCs w:val="5"/>
        </w:rPr>
      </w:pPr>
    </w:p>
    <w:p>
      <w:pPr>
        <w:pStyle w:val="BodyText"/>
        <w:spacing w:line="240" w:lineRule="auto" w:before="32"/>
        <w:ind w:left="592" w:right="1133"/>
        <w:jc w:val="left"/>
      </w:pPr>
      <w:r>
        <w:rPr/>
        <w:t>（续）</w:t>
      </w:r>
    </w:p>
    <w:p>
      <w:pPr>
        <w:spacing w:line="240" w:lineRule="auto" w:before="11"/>
        <w:rPr>
          <w:rFonts w:ascii="宋体" w:hAnsi="宋体" w:cs="宋体" w:eastAsia="宋体" w:hint="default"/>
          <w:sz w:val="6"/>
          <w:szCs w:val="6"/>
        </w:rPr>
      </w:pPr>
    </w:p>
    <w:tbl>
      <w:tblPr>
        <w:tblW w:w="0" w:type="auto"/>
        <w:jc w:val="left"/>
        <w:tblInd w:w="580" w:type="dxa"/>
        <w:tblLayout w:type="fixed"/>
        <w:tblCellMar>
          <w:top w:w="0" w:type="dxa"/>
          <w:left w:w="0" w:type="dxa"/>
          <w:bottom w:w="0" w:type="dxa"/>
          <w:right w:w="0" w:type="dxa"/>
        </w:tblCellMar>
        <w:tblLook w:val="01E0"/>
      </w:tblPr>
      <w:tblGrid>
        <w:gridCol w:w="2391"/>
        <w:gridCol w:w="1135"/>
        <w:gridCol w:w="1181"/>
        <w:gridCol w:w="749"/>
        <w:gridCol w:w="905"/>
        <w:gridCol w:w="1417"/>
        <w:gridCol w:w="962"/>
      </w:tblGrid>
      <w:tr>
        <w:trPr>
          <w:trHeight w:val="497" w:hRule="exact"/>
        </w:trPr>
        <w:tc>
          <w:tcPr>
            <w:tcW w:w="2391"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753"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3970"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9"/>
              <w:ind w:left="4" w:right="0"/>
              <w:jc w:val="center"/>
              <w:rPr>
                <w:rFonts w:ascii="宋体" w:hAnsi="宋体" w:cs="宋体" w:eastAsia="宋体" w:hint="default"/>
                <w:sz w:val="18"/>
                <w:szCs w:val="18"/>
              </w:rPr>
            </w:pPr>
            <w:r>
              <w:rPr>
                <w:rFonts w:ascii="宋体" w:hAnsi="宋体" w:cs="宋体" w:eastAsia="宋体" w:hint="default"/>
                <w:sz w:val="18"/>
                <w:szCs w:val="18"/>
              </w:rPr>
              <w:t>本年增减变动</w:t>
            </w:r>
          </w:p>
        </w:tc>
        <w:tc>
          <w:tcPr>
            <w:tcW w:w="1417"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962" w:type="dxa"/>
            <w:vMerge w:val="restart"/>
            <w:tcBorders>
              <w:top w:val="single" w:sz="1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05" w:lineRule="auto" w:before="122"/>
              <w:ind w:left="117" w:right="120"/>
              <w:jc w:val="left"/>
              <w:rPr>
                <w:rFonts w:ascii="宋体" w:hAnsi="宋体" w:cs="宋体" w:eastAsia="宋体" w:hint="default"/>
                <w:sz w:val="18"/>
                <w:szCs w:val="18"/>
              </w:rPr>
            </w:pPr>
            <w:r>
              <w:rPr>
                <w:rFonts w:ascii="宋体" w:hAnsi="宋体" w:cs="宋体" w:eastAsia="宋体" w:hint="default"/>
                <w:sz w:val="18"/>
                <w:szCs w:val="18"/>
              </w:rPr>
              <w:t>减值准备 年末余额</w:t>
            </w:r>
          </w:p>
        </w:tc>
      </w:tr>
      <w:tr>
        <w:trPr>
          <w:trHeight w:val="1286" w:hRule="exact"/>
        </w:trPr>
        <w:tc>
          <w:tcPr>
            <w:tcW w:w="2391" w:type="dxa"/>
            <w:vMerge/>
            <w:tcBorders>
              <w:left w:val="nil" w:sz="6" w:space="0" w:color="auto"/>
              <w:bottom w:val="single" w:sz="2" w:space="0" w:color="000000"/>
              <w:right w:val="single" w:sz="2" w:space="0" w:color="000000"/>
            </w:tcBorders>
          </w:tcPr>
          <w:p>
            <w:pP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405" w:lineRule="auto"/>
              <w:ind w:left="475" w:right="113" w:hanging="360"/>
              <w:jc w:val="left"/>
              <w:rPr>
                <w:rFonts w:ascii="宋体" w:hAnsi="宋体" w:cs="宋体" w:eastAsia="宋体" w:hint="default"/>
                <w:sz w:val="18"/>
                <w:szCs w:val="18"/>
              </w:rPr>
            </w:pPr>
            <w:r>
              <w:rPr>
                <w:rFonts w:ascii="宋体" w:hAnsi="宋体" w:cs="宋体" w:eastAsia="宋体" w:hint="default"/>
                <w:sz w:val="18"/>
                <w:szCs w:val="18"/>
              </w:rPr>
              <w:t>其他权益变 动</w:t>
            </w:r>
          </w:p>
        </w:tc>
        <w:tc>
          <w:tcPr>
            <w:tcW w:w="1181" w:type="dxa"/>
            <w:tcBorders>
              <w:top w:val="single" w:sz="2" w:space="0" w:color="000000"/>
              <w:left w:val="single" w:sz="2" w:space="0" w:color="000000"/>
              <w:bottom w:val="single" w:sz="2" w:space="0" w:color="000000"/>
              <w:right w:val="single" w:sz="2" w:space="0" w:color="000000"/>
            </w:tcBorders>
          </w:tcPr>
          <w:p>
            <w:pPr>
              <w:pStyle w:val="TableParagraph"/>
              <w:spacing w:line="408" w:lineRule="auto" w:before="149"/>
              <w:ind w:left="139" w:right="135"/>
              <w:jc w:val="center"/>
              <w:rPr>
                <w:rFonts w:ascii="宋体" w:hAnsi="宋体" w:cs="宋体" w:eastAsia="宋体" w:hint="default"/>
                <w:sz w:val="18"/>
                <w:szCs w:val="18"/>
              </w:rPr>
            </w:pPr>
            <w:r>
              <w:rPr>
                <w:rFonts w:ascii="宋体" w:hAnsi="宋体" w:cs="宋体" w:eastAsia="宋体" w:hint="default"/>
                <w:sz w:val="18"/>
                <w:szCs w:val="18"/>
              </w:rPr>
              <w:t>宣告发放现 金股利或利 润</w:t>
            </w:r>
          </w:p>
        </w:tc>
        <w:tc>
          <w:tcPr>
            <w:tcW w:w="749" w:type="dxa"/>
            <w:tcBorders>
              <w:top w:val="single" w:sz="2" w:space="0" w:color="000000"/>
              <w:left w:val="single" w:sz="2" w:space="0" w:color="000000"/>
              <w:bottom w:val="single" w:sz="2" w:space="0" w:color="000000"/>
              <w:right w:val="single" w:sz="2" w:space="0" w:color="000000"/>
            </w:tcBorders>
          </w:tcPr>
          <w:p>
            <w:pPr>
              <w:pStyle w:val="TableParagraph"/>
              <w:spacing w:line="408" w:lineRule="auto" w:before="149"/>
              <w:ind w:left="194" w:right="187"/>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9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7" w:type="dxa"/>
            <w:vMerge/>
            <w:tcBorders>
              <w:left w:val="single" w:sz="2" w:space="0" w:color="000000"/>
              <w:bottom w:val="single" w:sz="2" w:space="0" w:color="000000"/>
              <w:right w:val="single" w:sz="2" w:space="0" w:color="000000"/>
            </w:tcBorders>
          </w:tcPr>
          <w:p>
            <w:pPr/>
          </w:p>
        </w:tc>
        <w:tc>
          <w:tcPr>
            <w:tcW w:w="962" w:type="dxa"/>
            <w:vMerge/>
            <w:tcBorders>
              <w:left w:val="single" w:sz="2" w:space="0" w:color="000000"/>
              <w:bottom w:val="single" w:sz="2" w:space="0" w:color="000000"/>
              <w:right w:val="nil" w:sz="6" w:space="0" w:color="auto"/>
            </w:tcBorders>
          </w:tcPr>
          <w:p>
            <w:pPr/>
          </w:p>
        </w:tc>
      </w:tr>
      <w:tr>
        <w:trPr>
          <w:trHeight w:val="485" w:hRule="exact"/>
        </w:trPr>
        <w:tc>
          <w:tcPr>
            <w:tcW w:w="23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一、合营企业</w:t>
            </w:r>
          </w:p>
        </w:tc>
        <w:tc>
          <w:tcPr>
            <w:tcW w:w="1135" w:type="dxa"/>
            <w:tcBorders>
              <w:top w:val="single" w:sz="2" w:space="0" w:color="000000"/>
              <w:left w:val="single" w:sz="2" w:space="0" w:color="000000"/>
              <w:bottom w:val="single" w:sz="2" w:space="0" w:color="000000"/>
              <w:right w:val="single" w:sz="2" w:space="0" w:color="000000"/>
            </w:tcBorders>
          </w:tcPr>
          <w:p>
            <w:pPr/>
          </w:p>
        </w:tc>
        <w:tc>
          <w:tcPr>
            <w:tcW w:w="1181" w:type="dxa"/>
            <w:tcBorders>
              <w:top w:val="single" w:sz="2" w:space="0" w:color="000000"/>
              <w:left w:val="single" w:sz="2" w:space="0" w:color="000000"/>
              <w:bottom w:val="single" w:sz="2" w:space="0" w:color="000000"/>
              <w:right w:val="single" w:sz="2" w:space="0" w:color="000000"/>
            </w:tcBorders>
          </w:tcPr>
          <w:p>
            <w:pPr/>
          </w:p>
        </w:tc>
        <w:tc>
          <w:tcPr>
            <w:tcW w:w="749" w:type="dxa"/>
            <w:tcBorders>
              <w:top w:val="single" w:sz="2" w:space="0" w:color="000000"/>
              <w:left w:val="single" w:sz="2" w:space="0" w:color="000000"/>
              <w:bottom w:val="single" w:sz="2" w:space="0" w:color="000000"/>
              <w:right w:val="single" w:sz="2" w:space="0" w:color="000000"/>
            </w:tcBorders>
          </w:tcPr>
          <w:p>
            <w:pPr/>
          </w:p>
        </w:tc>
        <w:tc>
          <w:tcPr>
            <w:tcW w:w="905"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
        </w:tc>
        <w:tc>
          <w:tcPr>
            <w:tcW w:w="962" w:type="dxa"/>
            <w:tcBorders>
              <w:top w:val="single" w:sz="2" w:space="0" w:color="000000"/>
              <w:left w:val="single" w:sz="2" w:space="0" w:color="000000"/>
              <w:bottom w:val="single" w:sz="2" w:space="0" w:color="000000"/>
              <w:right w:val="nil" w:sz="6" w:space="0" w:color="auto"/>
            </w:tcBorders>
          </w:tcPr>
          <w:p>
            <w:pPr/>
          </w:p>
        </w:tc>
      </w:tr>
      <w:tr>
        <w:trPr>
          <w:trHeight w:val="886" w:hRule="exact"/>
        </w:trPr>
        <w:tc>
          <w:tcPr>
            <w:tcW w:w="23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中远海运古野通信导航科技</w:t>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（上海）有限公司</w:t>
            </w:r>
          </w:p>
        </w:tc>
        <w:tc>
          <w:tcPr>
            <w:tcW w:w="1135" w:type="dxa"/>
            <w:tcBorders>
              <w:top w:val="single" w:sz="2" w:space="0" w:color="000000"/>
              <w:left w:val="single" w:sz="2" w:space="0" w:color="000000"/>
              <w:bottom w:val="single" w:sz="2" w:space="0" w:color="000000"/>
              <w:right w:val="single" w:sz="2" w:space="0" w:color="000000"/>
            </w:tcBorders>
          </w:tcPr>
          <w:p>
            <w:pPr/>
          </w:p>
        </w:tc>
        <w:tc>
          <w:tcPr>
            <w:tcW w:w="1181" w:type="dxa"/>
            <w:tcBorders>
              <w:top w:val="single" w:sz="2" w:space="0" w:color="000000"/>
              <w:left w:val="single" w:sz="2" w:space="0" w:color="000000"/>
              <w:bottom w:val="single" w:sz="2" w:space="0" w:color="000000"/>
              <w:right w:val="single" w:sz="2" w:space="0" w:color="000000"/>
            </w:tcBorders>
          </w:tcPr>
          <w:p>
            <w:pPr/>
          </w:p>
        </w:tc>
        <w:tc>
          <w:tcPr>
            <w:tcW w:w="749" w:type="dxa"/>
            <w:tcBorders>
              <w:top w:val="single" w:sz="2" w:space="0" w:color="000000"/>
              <w:left w:val="single" w:sz="2" w:space="0" w:color="000000"/>
              <w:bottom w:val="single" w:sz="2" w:space="0" w:color="000000"/>
              <w:right w:val="single" w:sz="2" w:space="0" w:color="000000"/>
            </w:tcBorders>
          </w:tcPr>
          <w:p>
            <w:pPr/>
          </w:p>
        </w:tc>
        <w:tc>
          <w:tcPr>
            <w:tcW w:w="905"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256" w:right="0"/>
              <w:jc w:val="left"/>
              <w:rPr>
                <w:rFonts w:ascii="Arial" w:hAnsi="Arial" w:cs="Arial" w:eastAsia="Arial" w:hint="default"/>
                <w:sz w:val="18"/>
                <w:szCs w:val="18"/>
              </w:rPr>
            </w:pPr>
            <w:r>
              <w:rPr>
                <w:rFonts w:ascii="Arial"/>
                <w:sz w:val="18"/>
              </w:rPr>
              <w:t>5,725,060.38</w:t>
            </w:r>
          </w:p>
        </w:tc>
        <w:tc>
          <w:tcPr>
            <w:tcW w:w="962"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23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2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35" w:type="dxa"/>
            <w:tcBorders>
              <w:top w:val="single" w:sz="2" w:space="0" w:color="000000"/>
              <w:left w:val="single" w:sz="2" w:space="0" w:color="000000"/>
              <w:bottom w:val="single" w:sz="2" w:space="0" w:color="000000"/>
              <w:right w:val="single" w:sz="2" w:space="0" w:color="000000"/>
            </w:tcBorders>
          </w:tcPr>
          <w:p>
            <w:pPr/>
          </w:p>
        </w:tc>
        <w:tc>
          <w:tcPr>
            <w:tcW w:w="1181" w:type="dxa"/>
            <w:tcBorders>
              <w:top w:val="single" w:sz="2" w:space="0" w:color="000000"/>
              <w:left w:val="single" w:sz="2" w:space="0" w:color="000000"/>
              <w:bottom w:val="single" w:sz="2" w:space="0" w:color="000000"/>
              <w:right w:val="single" w:sz="2" w:space="0" w:color="000000"/>
            </w:tcBorders>
          </w:tcPr>
          <w:p>
            <w:pPr/>
          </w:p>
        </w:tc>
        <w:tc>
          <w:tcPr>
            <w:tcW w:w="749" w:type="dxa"/>
            <w:tcBorders>
              <w:top w:val="single" w:sz="2" w:space="0" w:color="000000"/>
              <w:left w:val="single" w:sz="2" w:space="0" w:color="000000"/>
              <w:bottom w:val="single" w:sz="2" w:space="0" w:color="000000"/>
              <w:right w:val="single" w:sz="2" w:space="0" w:color="000000"/>
            </w:tcBorders>
          </w:tcPr>
          <w:p>
            <w:pPr/>
          </w:p>
        </w:tc>
        <w:tc>
          <w:tcPr>
            <w:tcW w:w="905"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56" w:right="0"/>
              <w:jc w:val="left"/>
              <w:rPr>
                <w:rFonts w:ascii="Arial" w:hAnsi="Arial" w:cs="Arial" w:eastAsia="Arial" w:hint="default"/>
                <w:sz w:val="18"/>
                <w:szCs w:val="18"/>
              </w:rPr>
            </w:pPr>
            <w:r>
              <w:rPr>
                <w:rFonts w:ascii="Arial"/>
                <w:sz w:val="18"/>
              </w:rPr>
              <w:t>5,725,060.38</w:t>
            </w:r>
          </w:p>
        </w:tc>
        <w:tc>
          <w:tcPr>
            <w:tcW w:w="962"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23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二、联营企业</w:t>
            </w:r>
          </w:p>
        </w:tc>
        <w:tc>
          <w:tcPr>
            <w:tcW w:w="1135" w:type="dxa"/>
            <w:tcBorders>
              <w:top w:val="single" w:sz="2" w:space="0" w:color="000000"/>
              <w:left w:val="single" w:sz="2" w:space="0" w:color="000000"/>
              <w:bottom w:val="single" w:sz="2" w:space="0" w:color="000000"/>
              <w:right w:val="single" w:sz="2" w:space="0" w:color="000000"/>
            </w:tcBorders>
          </w:tcPr>
          <w:p>
            <w:pPr/>
          </w:p>
        </w:tc>
        <w:tc>
          <w:tcPr>
            <w:tcW w:w="1181" w:type="dxa"/>
            <w:tcBorders>
              <w:top w:val="single" w:sz="2" w:space="0" w:color="000000"/>
              <w:left w:val="single" w:sz="2" w:space="0" w:color="000000"/>
              <w:bottom w:val="single" w:sz="2" w:space="0" w:color="000000"/>
              <w:right w:val="single" w:sz="2" w:space="0" w:color="000000"/>
            </w:tcBorders>
          </w:tcPr>
          <w:p>
            <w:pPr/>
          </w:p>
        </w:tc>
        <w:tc>
          <w:tcPr>
            <w:tcW w:w="749" w:type="dxa"/>
            <w:tcBorders>
              <w:top w:val="single" w:sz="2" w:space="0" w:color="000000"/>
              <w:left w:val="single" w:sz="2" w:space="0" w:color="000000"/>
              <w:bottom w:val="single" w:sz="2" w:space="0" w:color="000000"/>
              <w:right w:val="single" w:sz="2" w:space="0" w:color="000000"/>
            </w:tcBorders>
          </w:tcPr>
          <w:p>
            <w:pPr/>
          </w:p>
        </w:tc>
        <w:tc>
          <w:tcPr>
            <w:tcW w:w="905"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1"/>
              <w:jc w:val="right"/>
              <w:rPr>
                <w:rFonts w:ascii="宋体" w:hAnsi="宋体" w:cs="宋体" w:eastAsia="宋体" w:hint="default"/>
                <w:sz w:val="18"/>
                <w:szCs w:val="18"/>
              </w:rPr>
            </w:pPr>
            <w:r>
              <w:rPr>
                <w:rFonts w:ascii="宋体"/>
                <w:sz w:val="18"/>
              </w:rPr>
              <w:t> </w:t>
            </w:r>
          </w:p>
        </w:tc>
        <w:tc>
          <w:tcPr>
            <w:tcW w:w="962" w:type="dxa"/>
            <w:tcBorders>
              <w:top w:val="single" w:sz="2" w:space="0" w:color="000000"/>
              <w:left w:val="single" w:sz="2" w:space="0" w:color="000000"/>
              <w:bottom w:val="single" w:sz="2" w:space="0" w:color="000000"/>
              <w:right w:val="nil" w:sz="6" w:space="0" w:color="auto"/>
            </w:tcBorders>
          </w:tcPr>
          <w:p>
            <w:pPr/>
          </w:p>
        </w:tc>
      </w:tr>
      <w:tr>
        <w:trPr>
          <w:trHeight w:val="886" w:hRule="exact"/>
        </w:trPr>
        <w:tc>
          <w:tcPr>
            <w:tcW w:w="2391" w:type="dxa"/>
            <w:tcBorders>
              <w:top w:val="single" w:sz="2" w:space="0" w:color="000000"/>
              <w:left w:val="nil" w:sz="6" w:space="0" w:color="auto"/>
              <w:bottom w:val="single" w:sz="2" w:space="0" w:color="000000"/>
              <w:right w:val="single" w:sz="2" w:space="0" w:color="000000"/>
            </w:tcBorders>
          </w:tcPr>
          <w:p>
            <w:pPr>
              <w:pStyle w:val="TableParagraph"/>
              <w:spacing w:line="405" w:lineRule="auto" w:before="149"/>
              <w:ind w:left="124" w:right="101"/>
              <w:jc w:val="left"/>
              <w:rPr>
                <w:rFonts w:ascii="宋体" w:hAnsi="宋体" w:cs="宋体" w:eastAsia="宋体" w:hint="default"/>
                <w:sz w:val="18"/>
                <w:szCs w:val="18"/>
              </w:rPr>
            </w:pPr>
            <w:r>
              <w:rPr>
                <w:rFonts w:ascii="宋体" w:hAnsi="宋体" w:cs="宋体" w:eastAsia="宋体" w:hint="default"/>
                <w:sz w:val="18"/>
                <w:szCs w:val="18"/>
              </w:rPr>
              <w:t>深圳一海通全球供应链管理 有限公司</w:t>
            </w:r>
          </w:p>
        </w:tc>
        <w:tc>
          <w:tcPr>
            <w:tcW w:w="1135" w:type="dxa"/>
            <w:tcBorders>
              <w:top w:val="single" w:sz="2" w:space="0" w:color="000000"/>
              <w:left w:val="single" w:sz="2" w:space="0" w:color="000000"/>
              <w:bottom w:val="single" w:sz="2" w:space="0" w:color="000000"/>
              <w:right w:val="single" w:sz="2" w:space="0" w:color="000000"/>
            </w:tcBorders>
          </w:tcPr>
          <w:p>
            <w:pPr/>
          </w:p>
        </w:tc>
        <w:tc>
          <w:tcPr>
            <w:tcW w:w="1181" w:type="dxa"/>
            <w:tcBorders>
              <w:top w:val="single" w:sz="2" w:space="0" w:color="000000"/>
              <w:left w:val="single" w:sz="2" w:space="0" w:color="000000"/>
              <w:bottom w:val="single" w:sz="2" w:space="0" w:color="000000"/>
              <w:right w:val="single" w:sz="2" w:space="0" w:color="000000"/>
            </w:tcBorders>
          </w:tcPr>
          <w:p>
            <w:pPr/>
          </w:p>
        </w:tc>
        <w:tc>
          <w:tcPr>
            <w:tcW w:w="749" w:type="dxa"/>
            <w:tcBorders>
              <w:top w:val="single" w:sz="2" w:space="0" w:color="000000"/>
              <w:left w:val="single" w:sz="2" w:space="0" w:color="000000"/>
              <w:bottom w:val="single" w:sz="2" w:space="0" w:color="000000"/>
              <w:right w:val="single" w:sz="2" w:space="0" w:color="000000"/>
            </w:tcBorders>
          </w:tcPr>
          <w:p>
            <w:pPr/>
          </w:p>
        </w:tc>
        <w:tc>
          <w:tcPr>
            <w:tcW w:w="905"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962"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23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上海中远资讯科技有限公司</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Arial" w:hAnsi="Arial" w:cs="Arial" w:eastAsia="Arial" w:hint="default"/>
                <w:sz w:val="18"/>
                <w:szCs w:val="18"/>
              </w:rPr>
            </w:pPr>
            <w:r>
              <w:rPr>
                <w:rFonts w:ascii="Arial"/>
                <w:sz w:val="18"/>
              </w:rPr>
              <w:t>319,157.49</w:t>
            </w:r>
          </w:p>
        </w:tc>
        <w:tc>
          <w:tcPr>
            <w:tcW w:w="1181" w:type="dxa"/>
            <w:tcBorders>
              <w:top w:val="single" w:sz="2" w:space="0" w:color="000000"/>
              <w:left w:val="single" w:sz="2" w:space="0" w:color="000000"/>
              <w:bottom w:val="single" w:sz="2" w:space="0" w:color="000000"/>
              <w:right w:val="single" w:sz="2" w:space="0" w:color="000000"/>
            </w:tcBorders>
          </w:tcPr>
          <w:p>
            <w:pPr/>
          </w:p>
        </w:tc>
        <w:tc>
          <w:tcPr>
            <w:tcW w:w="749" w:type="dxa"/>
            <w:tcBorders>
              <w:top w:val="single" w:sz="2" w:space="0" w:color="000000"/>
              <w:left w:val="single" w:sz="2" w:space="0" w:color="000000"/>
              <w:bottom w:val="single" w:sz="2" w:space="0" w:color="000000"/>
              <w:right w:val="single" w:sz="2" w:space="0" w:color="000000"/>
            </w:tcBorders>
          </w:tcPr>
          <w:p>
            <w:pPr/>
          </w:p>
        </w:tc>
        <w:tc>
          <w:tcPr>
            <w:tcW w:w="905"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56" w:right="0"/>
              <w:jc w:val="left"/>
              <w:rPr>
                <w:rFonts w:ascii="Arial" w:hAnsi="Arial" w:cs="Arial" w:eastAsia="Arial" w:hint="default"/>
                <w:sz w:val="18"/>
                <w:szCs w:val="18"/>
              </w:rPr>
            </w:pPr>
            <w:r>
              <w:rPr>
                <w:rFonts w:ascii="Arial"/>
                <w:sz w:val="18"/>
              </w:rPr>
              <w:t>1,980,990.22</w:t>
            </w:r>
          </w:p>
        </w:tc>
        <w:tc>
          <w:tcPr>
            <w:tcW w:w="962"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23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宁夏交投科技发展有限公司</w:t>
            </w:r>
          </w:p>
        </w:tc>
        <w:tc>
          <w:tcPr>
            <w:tcW w:w="1135" w:type="dxa"/>
            <w:tcBorders>
              <w:top w:val="single" w:sz="2" w:space="0" w:color="000000"/>
              <w:left w:val="single" w:sz="2" w:space="0" w:color="000000"/>
              <w:bottom w:val="single" w:sz="2" w:space="0" w:color="000000"/>
              <w:right w:val="single" w:sz="2" w:space="0" w:color="000000"/>
            </w:tcBorders>
          </w:tcPr>
          <w:p>
            <w:pPr/>
          </w:p>
        </w:tc>
        <w:tc>
          <w:tcPr>
            <w:tcW w:w="1181" w:type="dxa"/>
            <w:tcBorders>
              <w:top w:val="single" w:sz="2" w:space="0" w:color="000000"/>
              <w:left w:val="single" w:sz="2" w:space="0" w:color="000000"/>
              <w:bottom w:val="single" w:sz="2" w:space="0" w:color="000000"/>
              <w:right w:val="single" w:sz="2" w:space="0" w:color="000000"/>
            </w:tcBorders>
          </w:tcPr>
          <w:p>
            <w:pPr/>
          </w:p>
        </w:tc>
        <w:tc>
          <w:tcPr>
            <w:tcW w:w="749" w:type="dxa"/>
            <w:tcBorders>
              <w:top w:val="single" w:sz="2" w:space="0" w:color="000000"/>
              <w:left w:val="single" w:sz="2" w:space="0" w:color="000000"/>
              <w:bottom w:val="single" w:sz="2" w:space="0" w:color="000000"/>
              <w:right w:val="single" w:sz="2" w:space="0" w:color="000000"/>
            </w:tcBorders>
          </w:tcPr>
          <w:p>
            <w:pPr/>
          </w:p>
        </w:tc>
        <w:tc>
          <w:tcPr>
            <w:tcW w:w="905"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55" w:right="0"/>
              <w:jc w:val="left"/>
              <w:rPr>
                <w:rFonts w:ascii="Arial" w:hAnsi="Arial" w:cs="Arial" w:eastAsia="Arial" w:hint="default"/>
                <w:sz w:val="18"/>
                <w:szCs w:val="18"/>
              </w:rPr>
            </w:pPr>
            <w:r>
              <w:rPr>
                <w:rFonts w:ascii="Arial"/>
                <w:sz w:val="18"/>
              </w:rPr>
              <w:t>12,552,849.56</w:t>
            </w:r>
          </w:p>
        </w:tc>
        <w:tc>
          <w:tcPr>
            <w:tcW w:w="962" w:type="dxa"/>
            <w:tcBorders>
              <w:top w:val="single" w:sz="2" w:space="0" w:color="000000"/>
              <w:left w:val="single" w:sz="2" w:space="0" w:color="000000"/>
              <w:bottom w:val="single" w:sz="2" w:space="0" w:color="000000"/>
              <w:right w:val="nil" w:sz="6" w:space="0" w:color="auto"/>
            </w:tcBorders>
          </w:tcPr>
          <w:p>
            <w:pPr/>
          </w:p>
        </w:tc>
      </w:tr>
      <w:tr>
        <w:trPr>
          <w:trHeight w:val="497" w:hRule="exact"/>
        </w:trPr>
        <w:tc>
          <w:tcPr>
            <w:tcW w:w="239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50"/>
              <w:ind w:left="2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Arial" w:hAnsi="Arial" w:cs="Arial" w:eastAsia="Arial" w:hint="default"/>
                <w:sz w:val="18"/>
                <w:szCs w:val="18"/>
              </w:rPr>
            </w:pPr>
            <w:r>
              <w:rPr>
                <w:rFonts w:ascii="Arial"/>
                <w:sz w:val="18"/>
              </w:rPr>
              <w:t>319,157.49</w:t>
            </w:r>
          </w:p>
        </w:tc>
        <w:tc>
          <w:tcPr>
            <w:tcW w:w="1181" w:type="dxa"/>
            <w:tcBorders>
              <w:top w:val="single" w:sz="2" w:space="0" w:color="000000"/>
              <w:left w:val="single" w:sz="2" w:space="0" w:color="000000"/>
              <w:bottom w:val="single" w:sz="12" w:space="0" w:color="000000"/>
              <w:right w:val="single" w:sz="2" w:space="0" w:color="000000"/>
            </w:tcBorders>
          </w:tcPr>
          <w:p>
            <w:pPr/>
          </w:p>
        </w:tc>
        <w:tc>
          <w:tcPr>
            <w:tcW w:w="749" w:type="dxa"/>
            <w:tcBorders>
              <w:top w:val="single" w:sz="2" w:space="0" w:color="000000"/>
              <w:left w:val="single" w:sz="2" w:space="0" w:color="000000"/>
              <w:bottom w:val="single" w:sz="12" w:space="0" w:color="000000"/>
              <w:right w:val="single" w:sz="2" w:space="0" w:color="000000"/>
            </w:tcBorders>
          </w:tcPr>
          <w:p>
            <w:pPr/>
          </w:p>
        </w:tc>
        <w:tc>
          <w:tcPr>
            <w:tcW w:w="905" w:type="dxa"/>
            <w:tcBorders>
              <w:top w:val="single" w:sz="2" w:space="0" w:color="000000"/>
              <w:left w:val="single" w:sz="2" w:space="0" w:color="000000"/>
              <w:bottom w:val="single" w:sz="12" w:space="0" w:color="000000"/>
              <w:right w:val="single" w:sz="2" w:space="0" w:color="000000"/>
            </w:tcBorders>
          </w:tcPr>
          <w:p>
            <w:pPr/>
          </w:p>
        </w:tc>
        <w:tc>
          <w:tcPr>
            <w:tcW w:w="14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55" w:right="0"/>
              <w:jc w:val="left"/>
              <w:rPr>
                <w:rFonts w:ascii="Arial" w:hAnsi="Arial" w:cs="Arial" w:eastAsia="Arial" w:hint="default"/>
                <w:sz w:val="18"/>
                <w:szCs w:val="18"/>
              </w:rPr>
            </w:pPr>
            <w:r>
              <w:rPr>
                <w:rFonts w:ascii="Arial"/>
                <w:sz w:val="18"/>
              </w:rPr>
              <w:t>14,533,839.78</w:t>
            </w:r>
          </w:p>
        </w:tc>
        <w:tc>
          <w:tcPr>
            <w:tcW w:w="962"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580" w:type="dxa"/>
        <w:tblLayout w:type="fixed"/>
        <w:tblCellMar>
          <w:top w:w="0" w:type="dxa"/>
          <w:left w:w="0" w:type="dxa"/>
          <w:bottom w:w="0" w:type="dxa"/>
          <w:right w:w="0" w:type="dxa"/>
        </w:tblCellMar>
        <w:tblLook w:val="01E0"/>
      </w:tblPr>
      <w:tblGrid>
        <w:gridCol w:w="2391"/>
        <w:gridCol w:w="1135"/>
        <w:gridCol w:w="1181"/>
        <w:gridCol w:w="749"/>
        <w:gridCol w:w="905"/>
        <w:gridCol w:w="1417"/>
        <w:gridCol w:w="962"/>
      </w:tblGrid>
      <w:tr>
        <w:trPr>
          <w:trHeight w:val="500" w:hRule="exact"/>
        </w:trPr>
        <w:tc>
          <w:tcPr>
            <w:tcW w:w="2391"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753"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3970"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left="4" w:right="0"/>
              <w:jc w:val="center"/>
              <w:rPr>
                <w:rFonts w:ascii="宋体" w:hAnsi="宋体" w:cs="宋体" w:eastAsia="宋体" w:hint="default"/>
                <w:sz w:val="18"/>
                <w:szCs w:val="18"/>
              </w:rPr>
            </w:pPr>
            <w:r>
              <w:rPr>
                <w:rFonts w:ascii="宋体" w:hAnsi="宋体" w:cs="宋体" w:eastAsia="宋体" w:hint="default"/>
                <w:sz w:val="18"/>
                <w:szCs w:val="18"/>
              </w:rPr>
              <w:t>本年增减变动</w:t>
            </w:r>
          </w:p>
        </w:tc>
        <w:tc>
          <w:tcPr>
            <w:tcW w:w="1417"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962" w:type="dxa"/>
            <w:vMerge w:val="restart"/>
            <w:tcBorders>
              <w:top w:val="single" w:sz="1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05" w:lineRule="auto" w:before="123"/>
              <w:ind w:left="117" w:right="120"/>
              <w:jc w:val="left"/>
              <w:rPr>
                <w:rFonts w:ascii="宋体" w:hAnsi="宋体" w:cs="宋体" w:eastAsia="宋体" w:hint="default"/>
                <w:sz w:val="18"/>
                <w:szCs w:val="18"/>
              </w:rPr>
            </w:pPr>
            <w:r>
              <w:rPr>
                <w:rFonts w:ascii="宋体" w:hAnsi="宋体" w:cs="宋体" w:eastAsia="宋体" w:hint="default"/>
                <w:sz w:val="18"/>
                <w:szCs w:val="18"/>
              </w:rPr>
              <w:t>减值准备 年末余额</w:t>
            </w:r>
          </w:p>
        </w:tc>
      </w:tr>
      <w:tr>
        <w:trPr>
          <w:trHeight w:val="1284" w:hRule="exact"/>
        </w:trPr>
        <w:tc>
          <w:tcPr>
            <w:tcW w:w="2391" w:type="dxa"/>
            <w:vMerge/>
            <w:tcBorders>
              <w:left w:val="nil" w:sz="6" w:space="0" w:color="auto"/>
              <w:bottom w:val="single" w:sz="2" w:space="0" w:color="000000"/>
              <w:right w:val="single" w:sz="2" w:space="0" w:color="000000"/>
            </w:tcBorders>
          </w:tcPr>
          <w:p>
            <w:pP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405" w:lineRule="auto"/>
              <w:ind w:left="475" w:right="113" w:hanging="360"/>
              <w:jc w:val="left"/>
              <w:rPr>
                <w:rFonts w:ascii="宋体" w:hAnsi="宋体" w:cs="宋体" w:eastAsia="宋体" w:hint="default"/>
                <w:sz w:val="18"/>
                <w:szCs w:val="18"/>
              </w:rPr>
            </w:pPr>
            <w:r>
              <w:rPr>
                <w:rFonts w:ascii="宋体" w:hAnsi="宋体" w:cs="宋体" w:eastAsia="宋体" w:hint="default"/>
                <w:sz w:val="18"/>
                <w:szCs w:val="18"/>
              </w:rPr>
              <w:t>其他权益变 动</w:t>
            </w:r>
          </w:p>
        </w:tc>
        <w:tc>
          <w:tcPr>
            <w:tcW w:w="1181" w:type="dxa"/>
            <w:tcBorders>
              <w:top w:val="single" w:sz="2" w:space="0" w:color="000000"/>
              <w:left w:val="single" w:sz="2" w:space="0" w:color="000000"/>
              <w:bottom w:val="single" w:sz="2" w:space="0" w:color="000000"/>
              <w:right w:val="single" w:sz="2" w:space="0" w:color="000000"/>
            </w:tcBorders>
          </w:tcPr>
          <w:p>
            <w:pPr>
              <w:pStyle w:val="TableParagraph"/>
              <w:spacing w:line="408" w:lineRule="auto" w:before="149"/>
              <w:ind w:left="139" w:right="135"/>
              <w:jc w:val="center"/>
              <w:rPr>
                <w:rFonts w:ascii="宋体" w:hAnsi="宋体" w:cs="宋体" w:eastAsia="宋体" w:hint="default"/>
                <w:sz w:val="18"/>
                <w:szCs w:val="18"/>
              </w:rPr>
            </w:pPr>
            <w:r>
              <w:rPr>
                <w:rFonts w:ascii="宋体" w:hAnsi="宋体" w:cs="宋体" w:eastAsia="宋体" w:hint="default"/>
                <w:sz w:val="18"/>
                <w:szCs w:val="18"/>
              </w:rPr>
              <w:t>宣告发放现 金股利或利 润</w:t>
            </w:r>
          </w:p>
        </w:tc>
        <w:tc>
          <w:tcPr>
            <w:tcW w:w="749" w:type="dxa"/>
            <w:tcBorders>
              <w:top w:val="single" w:sz="2" w:space="0" w:color="000000"/>
              <w:left w:val="single" w:sz="2" w:space="0" w:color="000000"/>
              <w:bottom w:val="single" w:sz="2" w:space="0" w:color="000000"/>
              <w:right w:val="single" w:sz="2" w:space="0" w:color="000000"/>
            </w:tcBorders>
          </w:tcPr>
          <w:p>
            <w:pPr>
              <w:pStyle w:val="TableParagraph"/>
              <w:spacing w:line="408" w:lineRule="auto" w:before="149"/>
              <w:ind w:left="194" w:right="187"/>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9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7" w:type="dxa"/>
            <w:vMerge/>
            <w:tcBorders>
              <w:left w:val="single" w:sz="2" w:space="0" w:color="000000"/>
              <w:bottom w:val="single" w:sz="2" w:space="0" w:color="000000"/>
              <w:right w:val="single" w:sz="2" w:space="0" w:color="000000"/>
            </w:tcBorders>
          </w:tcPr>
          <w:p>
            <w:pPr/>
          </w:p>
        </w:tc>
        <w:tc>
          <w:tcPr>
            <w:tcW w:w="962" w:type="dxa"/>
            <w:vMerge/>
            <w:tcBorders>
              <w:left w:val="single" w:sz="2" w:space="0" w:color="000000"/>
              <w:bottom w:val="single" w:sz="2" w:space="0" w:color="000000"/>
              <w:right w:val="nil" w:sz="6" w:space="0" w:color="auto"/>
            </w:tcBorders>
          </w:tcPr>
          <w:p>
            <w:pPr/>
          </w:p>
        </w:tc>
      </w:tr>
      <w:tr>
        <w:trPr>
          <w:trHeight w:val="499" w:hRule="exact"/>
        </w:trPr>
        <w:tc>
          <w:tcPr>
            <w:tcW w:w="239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Arial" w:hAnsi="Arial" w:cs="Arial" w:eastAsia="Arial" w:hint="default"/>
                <w:sz w:val="18"/>
                <w:szCs w:val="18"/>
              </w:rPr>
            </w:pPr>
            <w:r>
              <w:rPr>
                <w:rFonts w:ascii="Arial"/>
                <w:sz w:val="18"/>
              </w:rPr>
              <w:t>319,157.49</w:t>
            </w:r>
          </w:p>
        </w:tc>
        <w:tc>
          <w:tcPr>
            <w:tcW w:w="1181" w:type="dxa"/>
            <w:tcBorders>
              <w:top w:val="single" w:sz="2" w:space="0" w:color="000000"/>
              <w:left w:val="single" w:sz="2" w:space="0" w:color="000000"/>
              <w:bottom w:val="single" w:sz="12" w:space="0" w:color="000000"/>
              <w:right w:val="single" w:sz="2" w:space="0" w:color="000000"/>
            </w:tcBorders>
          </w:tcPr>
          <w:p>
            <w:pPr/>
          </w:p>
        </w:tc>
        <w:tc>
          <w:tcPr>
            <w:tcW w:w="749" w:type="dxa"/>
            <w:tcBorders>
              <w:top w:val="single" w:sz="2" w:space="0" w:color="000000"/>
              <w:left w:val="single" w:sz="2" w:space="0" w:color="000000"/>
              <w:bottom w:val="single" w:sz="12" w:space="0" w:color="000000"/>
              <w:right w:val="single" w:sz="2" w:space="0" w:color="000000"/>
            </w:tcBorders>
          </w:tcPr>
          <w:p>
            <w:pPr/>
          </w:p>
        </w:tc>
        <w:tc>
          <w:tcPr>
            <w:tcW w:w="905" w:type="dxa"/>
            <w:tcBorders>
              <w:top w:val="single" w:sz="2" w:space="0" w:color="000000"/>
              <w:left w:val="single" w:sz="2" w:space="0" w:color="000000"/>
              <w:bottom w:val="single" w:sz="12" w:space="0" w:color="000000"/>
              <w:right w:val="single" w:sz="2" w:space="0" w:color="000000"/>
            </w:tcBorders>
          </w:tcPr>
          <w:p>
            <w:pPr/>
          </w:p>
        </w:tc>
        <w:tc>
          <w:tcPr>
            <w:tcW w:w="14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55" w:right="0"/>
              <w:jc w:val="left"/>
              <w:rPr>
                <w:rFonts w:ascii="Arial" w:hAnsi="Arial" w:cs="Arial" w:eastAsia="Arial" w:hint="default"/>
                <w:sz w:val="18"/>
                <w:szCs w:val="18"/>
              </w:rPr>
            </w:pPr>
            <w:r>
              <w:rPr>
                <w:rFonts w:ascii="Arial"/>
                <w:sz w:val="18"/>
              </w:rPr>
              <w:t>20,258,900.16</w:t>
            </w:r>
          </w:p>
        </w:tc>
        <w:tc>
          <w:tcPr>
            <w:tcW w:w="962" w:type="dxa"/>
            <w:tcBorders>
              <w:top w:val="single" w:sz="2" w:space="0" w:color="000000"/>
              <w:left w:val="single" w:sz="2" w:space="0" w:color="000000"/>
              <w:bottom w:val="single" w:sz="12" w:space="0" w:color="000000"/>
              <w:right w:val="nil" w:sz="6" w:space="0" w:color="auto"/>
            </w:tcBorders>
          </w:tcPr>
          <w:p>
            <w:pPr/>
          </w:p>
        </w:tc>
      </w:tr>
    </w:tbl>
    <w:p>
      <w:pPr>
        <w:tabs>
          <w:tab w:pos="1413" w:val="left" w:leader="none"/>
        </w:tabs>
        <w:spacing w:line="348" w:lineRule="auto" w:before="62"/>
        <w:ind w:left="592" w:right="7029" w:firstLine="2"/>
        <w:jc w:val="left"/>
        <w:rPr>
          <w:rFonts w:ascii="宋体" w:hAnsi="宋体" w:cs="宋体" w:eastAsia="宋体" w:hint="default"/>
          <w:sz w:val="22"/>
          <w:szCs w:val="22"/>
        </w:rPr>
      </w:pPr>
      <w:r>
        <w:rPr>
          <w:rFonts w:ascii="Arial" w:hAnsi="Arial" w:cs="Arial" w:eastAsia="Arial" w:hint="default"/>
          <w:b/>
          <w:bCs/>
          <w:spacing w:val="-1"/>
          <w:sz w:val="22"/>
          <w:szCs w:val="22"/>
        </w:rPr>
        <w:t>10</w:t>
      </w:r>
      <w:r>
        <w:rPr>
          <w:rFonts w:ascii="宋体" w:hAnsi="宋体" w:cs="宋体" w:eastAsia="宋体" w:hint="default"/>
          <w:b/>
          <w:bCs/>
          <w:spacing w:val="-1"/>
          <w:sz w:val="22"/>
          <w:szCs w:val="22"/>
        </w:rPr>
        <w:t>、</w:t>
        <w:tab/>
      </w:r>
      <w:r>
        <w:rPr>
          <w:rFonts w:ascii="宋体" w:hAnsi="宋体" w:cs="宋体" w:eastAsia="宋体" w:hint="default"/>
          <w:b/>
          <w:bCs/>
          <w:sz w:val="22"/>
          <w:szCs w:val="22"/>
        </w:rPr>
        <w:t>投资性房地产</w:t>
      </w:r>
      <w:r>
        <w:rPr>
          <w:rFonts w:ascii="宋体" w:hAnsi="宋体" w:cs="宋体" w:eastAsia="宋体" w:hint="default"/>
          <w:b/>
          <w:bCs/>
          <w:w w:val="99"/>
          <w:sz w:val="22"/>
          <w:szCs w:val="22"/>
        </w:rPr>
        <w:t> </w:t>
      </w:r>
      <w:r>
        <w:rPr>
          <w:rFonts w:ascii="宋体" w:hAnsi="宋体" w:cs="宋体" w:eastAsia="宋体" w:hint="default"/>
          <w:spacing w:val="-1"/>
          <w:sz w:val="22"/>
          <w:szCs w:val="22"/>
        </w:rPr>
        <w:t>采用成本计量模式的投资性房地产</w:t>
      </w:r>
    </w:p>
    <w:tbl>
      <w:tblPr>
        <w:tblW w:w="0" w:type="auto"/>
        <w:jc w:val="left"/>
        <w:tblInd w:w="580" w:type="dxa"/>
        <w:tblLayout w:type="fixed"/>
        <w:tblCellMar>
          <w:top w:w="0" w:type="dxa"/>
          <w:left w:w="0" w:type="dxa"/>
          <w:bottom w:w="0" w:type="dxa"/>
          <w:right w:w="0" w:type="dxa"/>
        </w:tblCellMar>
        <w:tblLook w:val="01E0"/>
      </w:tblPr>
      <w:tblGrid>
        <w:gridCol w:w="3668"/>
        <w:gridCol w:w="2535"/>
        <w:gridCol w:w="2537"/>
      </w:tblGrid>
      <w:tr>
        <w:trPr>
          <w:trHeight w:val="500" w:hRule="exact"/>
        </w:trPr>
        <w:tc>
          <w:tcPr>
            <w:tcW w:w="366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43"/>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3"/>
              <w:ind w:left="7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53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43"/>
              <w:ind w:right="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85" w:hRule="exact"/>
        </w:trPr>
        <w:tc>
          <w:tcPr>
            <w:tcW w:w="36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0"/>
              <w:ind w:left="1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2535" w:type="dxa"/>
            <w:tcBorders>
              <w:top w:val="single" w:sz="2" w:space="0" w:color="000000"/>
              <w:left w:val="single" w:sz="2" w:space="0" w:color="000000"/>
              <w:bottom w:val="single" w:sz="2" w:space="0" w:color="000000"/>
              <w:right w:val="single" w:sz="2" w:space="0" w:color="000000"/>
            </w:tcBorders>
          </w:tcPr>
          <w:p>
            <w:pPr/>
          </w:p>
        </w:tc>
        <w:tc>
          <w:tcPr>
            <w:tcW w:w="2537"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36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0"/>
              <w:ind w:left="12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年初余额</w:t>
            </w:r>
          </w:p>
        </w:tc>
        <w:tc>
          <w:tcPr>
            <w:tcW w:w="25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Arial" w:hAnsi="Arial" w:cs="Arial" w:eastAsia="Arial" w:hint="default"/>
                <w:sz w:val="18"/>
                <w:szCs w:val="18"/>
              </w:rPr>
            </w:pPr>
            <w:r>
              <w:rPr>
                <w:rFonts w:ascii="Arial"/>
                <w:spacing w:val="-1"/>
                <w:sz w:val="18"/>
              </w:rPr>
              <w:t>89</w:t>
            </w:r>
            <w:r>
              <w:rPr>
                <w:rFonts w:ascii="Times New Roman"/>
                <w:spacing w:val="-1"/>
                <w:sz w:val="18"/>
              </w:rPr>
              <w:t>,</w:t>
            </w:r>
            <w:r>
              <w:rPr>
                <w:rFonts w:ascii="Arial"/>
                <w:spacing w:val="-1"/>
                <w:sz w:val="18"/>
              </w:rPr>
              <w:t>416</w:t>
            </w:r>
            <w:r>
              <w:rPr>
                <w:rFonts w:ascii="Times New Roman"/>
                <w:spacing w:val="-1"/>
                <w:sz w:val="18"/>
              </w:rPr>
              <w:t>,</w:t>
            </w:r>
            <w:r>
              <w:rPr>
                <w:rFonts w:ascii="Arial"/>
                <w:spacing w:val="-1"/>
                <w:sz w:val="18"/>
              </w:rPr>
              <w:t>141</w:t>
            </w:r>
            <w:r>
              <w:rPr>
                <w:rFonts w:ascii="Times New Roman"/>
                <w:spacing w:val="-1"/>
                <w:sz w:val="18"/>
              </w:rPr>
              <w:t>.</w:t>
            </w:r>
            <w:r>
              <w:rPr>
                <w:rFonts w:ascii="Arial"/>
                <w:spacing w:val="-1"/>
                <w:sz w:val="18"/>
              </w:rPr>
              <w:t>04</w:t>
            </w:r>
            <w:r>
              <w:rPr>
                <w:rFonts w:ascii="Arial"/>
                <w:sz w:val="18"/>
              </w:rPr>
            </w:r>
          </w:p>
        </w:tc>
        <w:tc>
          <w:tcPr>
            <w:tcW w:w="253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5"/>
              <w:jc w:val="right"/>
              <w:rPr>
                <w:rFonts w:ascii="Arial" w:hAnsi="Arial" w:cs="Arial" w:eastAsia="Arial" w:hint="default"/>
                <w:sz w:val="18"/>
                <w:szCs w:val="18"/>
              </w:rPr>
            </w:pPr>
            <w:r>
              <w:rPr>
                <w:rFonts w:ascii="Arial"/>
                <w:spacing w:val="-1"/>
                <w:sz w:val="18"/>
              </w:rPr>
              <w:t>89</w:t>
            </w:r>
            <w:r>
              <w:rPr>
                <w:rFonts w:ascii="Times New Roman"/>
                <w:spacing w:val="-1"/>
                <w:sz w:val="18"/>
              </w:rPr>
              <w:t>,</w:t>
            </w:r>
            <w:r>
              <w:rPr>
                <w:rFonts w:ascii="Arial"/>
                <w:spacing w:val="-1"/>
                <w:sz w:val="18"/>
              </w:rPr>
              <w:t>416</w:t>
            </w:r>
            <w:r>
              <w:rPr>
                <w:rFonts w:ascii="Times New Roman"/>
                <w:spacing w:val="-1"/>
                <w:sz w:val="18"/>
              </w:rPr>
              <w:t>,</w:t>
            </w:r>
            <w:r>
              <w:rPr>
                <w:rFonts w:ascii="Arial"/>
                <w:spacing w:val="-1"/>
                <w:sz w:val="18"/>
              </w:rPr>
              <w:t>141</w:t>
            </w:r>
            <w:r>
              <w:rPr>
                <w:rFonts w:ascii="Times New Roman"/>
                <w:spacing w:val="-1"/>
                <w:sz w:val="18"/>
              </w:rPr>
              <w:t>.</w:t>
            </w:r>
            <w:r>
              <w:rPr>
                <w:rFonts w:ascii="Arial"/>
                <w:spacing w:val="-1"/>
                <w:sz w:val="18"/>
              </w:rPr>
              <w:t>04</w:t>
            </w:r>
            <w:r>
              <w:rPr>
                <w:rFonts w:ascii="Arial"/>
                <w:sz w:val="18"/>
              </w:rPr>
            </w:r>
          </w:p>
        </w:tc>
      </w:tr>
      <w:tr>
        <w:trPr>
          <w:trHeight w:val="485" w:hRule="exact"/>
        </w:trPr>
        <w:tc>
          <w:tcPr>
            <w:tcW w:w="36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0"/>
              <w:ind w:left="124"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本年增加金额</w:t>
            </w:r>
          </w:p>
        </w:tc>
        <w:tc>
          <w:tcPr>
            <w:tcW w:w="25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3"/>
              <w:jc w:val="right"/>
              <w:rPr>
                <w:rFonts w:ascii="宋体" w:hAnsi="宋体" w:cs="宋体" w:eastAsia="宋体" w:hint="default"/>
                <w:sz w:val="18"/>
                <w:szCs w:val="18"/>
              </w:rPr>
            </w:pPr>
            <w:r>
              <w:rPr>
                <w:rFonts w:ascii="宋体"/>
                <w:sz w:val="18"/>
              </w:rPr>
              <w:t> </w:t>
            </w:r>
          </w:p>
        </w:tc>
        <w:tc>
          <w:tcPr>
            <w:tcW w:w="253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0"/>
              <w:ind w:right="15"/>
              <w:jc w:val="right"/>
              <w:rPr>
                <w:rFonts w:ascii="宋体" w:hAnsi="宋体" w:cs="宋体" w:eastAsia="宋体" w:hint="default"/>
                <w:sz w:val="18"/>
                <w:szCs w:val="18"/>
              </w:rPr>
            </w:pPr>
            <w:r>
              <w:rPr>
                <w:rFonts w:ascii="宋体"/>
                <w:sz w:val="18"/>
              </w:rPr>
              <w:t> </w:t>
            </w:r>
          </w:p>
        </w:tc>
      </w:tr>
      <w:tr>
        <w:trPr>
          <w:trHeight w:val="485" w:hRule="exact"/>
        </w:trPr>
        <w:tc>
          <w:tcPr>
            <w:tcW w:w="36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0"/>
              <w:ind w:left="124"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本年减少金额</w:t>
            </w:r>
          </w:p>
        </w:tc>
        <w:tc>
          <w:tcPr>
            <w:tcW w:w="2535" w:type="dxa"/>
            <w:tcBorders>
              <w:top w:val="single" w:sz="2" w:space="0" w:color="000000"/>
              <w:left w:val="single" w:sz="2" w:space="0" w:color="000000"/>
              <w:bottom w:val="single" w:sz="2" w:space="0" w:color="000000"/>
              <w:right w:val="single" w:sz="2" w:space="0" w:color="000000"/>
            </w:tcBorders>
          </w:tcPr>
          <w:p>
            <w:pPr/>
          </w:p>
        </w:tc>
        <w:tc>
          <w:tcPr>
            <w:tcW w:w="2537"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36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0"/>
              <w:ind w:left="124"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年末余额</w:t>
            </w:r>
          </w:p>
        </w:tc>
        <w:tc>
          <w:tcPr>
            <w:tcW w:w="25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Arial" w:hAnsi="Arial" w:cs="Arial" w:eastAsia="Arial" w:hint="default"/>
                <w:sz w:val="18"/>
                <w:szCs w:val="18"/>
              </w:rPr>
            </w:pPr>
            <w:r>
              <w:rPr>
                <w:rFonts w:ascii="Arial"/>
                <w:spacing w:val="-1"/>
                <w:sz w:val="18"/>
              </w:rPr>
              <w:t>89</w:t>
            </w:r>
            <w:r>
              <w:rPr>
                <w:rFonts w:ascii="Times New Roman"/>
                <w:spacing w:val="-1"/>
                <w:sz w:val="18"/>
              </w:rPr>
              <w:t>,</w:t>
            </w:r>
            <w:r>
              <w:rPr>
                <w:rFonts w:ascii="Arial"/>
                <w:spacing w:val="-1"/>
                <w:sz w:val="18"/>
              </w:rPr>
              <w:t>416</w:t>
            </w:r>
            <w:r>
              <w:rPr>
                <w:rFonts w:ascii="Times New Roman"/>
                <w:spacing w:val="-1"/>
                <w:sz w:val="18"/>
              </w:rPr>
              <w:t>,</w:t>
            </w:r>
            <w:r>
              <w:rPr>
                <w:rFonts w:ascii="Arial"/>
                <w:spacing w:val="-1"/>
                <w:sz w:val="18"/>
              </w:rPr>
              <w:t>141</w:t>
            </w:r>
            <w:r>
              <w:rPr>
                <w:rFonts w:ascii="Times New Roman"/>
                <w:spacing w:val="-1"/>
                <w:sz w:val="18"/>
              </w:rPr>
              <w:t>.</w:t>
            </w:r>
            <w:r>
              <w:rPr>
                <w:rFonts w:ascii="Arial"/>
                <w:spacing w:val="-1"/>
                <w:sz w:val="18"/>
              </w:rPr>
              <w:t>04</w:t>
            </w:r>
            <w:r>
              <w:rPr>
                <w:rFonts w:ascii="Arial"/>
                <w:sz w:val="18"/>
              </w:rPr>
            </w:r>
          </w:p>
        </w:tc>
        <w:tc>
          <w:tcPr>
            <w:tcW w:w="253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5"/>
              <w:jc w:val="right"/>
              <w:rPr>
                <w:rFonts w:ascii="Arial" w:hAnsi="Arial" w:cs="Arial" w:eastAsia="Arial" w:hint="default"/>
                <w:sz w:val="18"/>
                <w:szCs w:val="18"/>
              </w:rPr>
            </w:pPr>
            <w:r>
              <w:rPr>
                <w:rFonts w:ascii="Arial"/>
                <w:spacing w:val="-1"/>
                <w:sz w:val="18"/>
              </w:rPr>
              <w:t>89</w:t>
            </w:r>
            <w:r>
              <w:rPr>
                <w:rFonts w:ascii="Times New Roman"/>
                <w:spacing w:val="-1"/>
                <w:sz w:val="18"/>
              </w:rPr>
              <w:t>,</w:t>
            </w:r>
            <w:r>
              <w:rPr>
                <w:rFonts w:ascii="Arial"/>
                <w:spacing w:val="-1"/>
                <w:sz w:val="18"/>
              </w:rPr>
              <w:t>416</w:t>
            </w:r>
            <w:r>
              <w:rPr>
                <w:rFonts w:ascii="Times New Roman"/>
                <w:spacing w:val="-1"/>
                <w:sz w:val="18"/>
              </w:rPr>
              <w:t>,</w:t>
            </w:r>
            <w:r>
              <w:rPr>
                <w:rFonts w:ascii="Arial"/>
                <w:spacing w:val="-1"/>
                <w:sz w:val="18"/>
              </w:rPr>
              <w:t>141</w:t>
            </w:r>
            <w:r>
              <w:rPr>
                <w:rFonts w:ascii="Times New Roman"/>
                <w:spacing w:val="-1"/>
                <w:sz w:val="18"/>
              </w:rPr>
              <w:t>.</w:t>
            </w:r>
            <w:r>
              <w:rPr>
                <w:rFonts w:ascii="Arial"/>
                <w:spacing w:val="-1"/>
                <w:sz w:val="18"/>
              </w:rPr>
              <w:t>04</w:t>
            </w:r>
            <w:r>
              <w:rPr>
                <w:rFonts w:ascii="Arial"/>
                <w:sz w:val="18"/>
              </w:rPr>
            </w:r>
          </w:p>
        </w:tc>
      </w:tr>
      <w:tr>
        <w:trPr>
          <w:trHeight w:val="485" w:hRule="exact"/>
        </w:trPr>
        <w:tc>
          <w:tcPr>
            <w:tcW w:w="36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0"/>
              <w:ind w:left="124" w:right="0"/>
              <w:jc w:val="left"/>
              <w:rPr>
                <w:rFonts w:ascii="宋体" w:hAnsi="宋体" w:cs="宋体" w:eastAsia="宋体" w:hint="default"/>
                <w:sz w:val="18"/>
                <w:szCs w:val="18"/>
              </w:rPr>
            </w:pPr>
            <w:r>
              <w:rPr>
                <w:rFonts w:ascii="宋体" w:hAnsi="宋体" w:cs="宋体" w:eastAsia="宋体" w:hint="default"/>
                <w:sz w:val="18"/>
                <w:szCs w:val="18"/>
              </w:rPr>
              <w:t>二、累计折旧和累计摊销</w:t>
            </w:r>
          </w:p>
        </w:tc>
        <w:tc>
          <w:tcPr>
            <w:tcW w:w="25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3"/>
              <w:jc w:val="right"/>
              <w:rPr>
                <w:rFonts w:ascii="宋体" w:hAnsi="宋体" w:cs="宋体" w:eastAsia="宋体" w:hint="default"/>
                <w:sz w:val="18"/>
                <w:szCs w:val="18"/>
              </w:rPr>
            </w:pPr>
            <w:r>
              <w:rPr>
                <w:rFonts w:ascii="宋体"/>
                <w:sz w:val="18"/>
              </w:rPr>
              <w:t> </w:t>
            </w:r>
          </w:p>
        </w:tc>
        <w:tc>
          <w:tcPr>
            <w:tcW w:w="2537"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36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0"/>
              <w:ind w:left="12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年初余额</w:t>
            </w:r>
          </w:p>
        </w:tc>
        <w:tc>
          <w:tcPr>
            <w:tcW w:w="25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Arial" w:hAnsi="Arial" w:cs="Arial" w:eastAsia="Arial" w:hint="default"/>
                <w:sz w:val="18"/>
                <w:szCs w:val="18"/>
              </w:rPr>
            </w:pPr>
            <w:r>
              <w:rPr>
                <w:rFonts w:ascii="Arial"/>
                <w:spacing w:val="-1"/>
                <w:sz w:val="18"/>
              </w:rPr>
              <w:t>5</w:t>
            </w:r>
            <w:r>
              <w:rPr>
                <w:rFonts w:ascii="Times New Roman"/>
                <w:spacing w:val="-1"/>
                <w:sz w:val="18"/>
              </w:rPr>
              <w:t>,</w:t>
            </w:r>
            <w:r>
              <w:rPr>
                <w:rFonts w:ascii="Arial"/>
                <w:spacing w:val="-1"/>
                <w:sz w:val="18"/>
              </w:rPr>
              <w:t>204</w:t>
            </w:r>
            <w:r>
              <w:rPr>
                <w:rFonts w:ascii="Times New Roman"/>
                <w:spacing w:val="-1"/>
                <w:sz w:val="18"/>
              </w:rPr>
              <w:t>,</w:t>
            </w:r>
            <w:r>
              <w:rPr>
                <w:rFonts w:ascii="Arial"/>
                <w:spacing w:val="-1"/>
                <w:sz w:val="18"/>
              </w:rPr>
              <w:t>650</w:t>
            </w:r>
            <w:r>
              <w:rPr>
                <w:rFonts w:ascii="Times New Roman"/>
                <w:spacing w:val="-1"/>
                <w:sz w:val="18"/>
              </w:rPr>
              <w:t>.</w:t>
            </w:r>
            <w:r>
              <w:rPr>
                <w:rFonts w:ascii="Arial"/>
                <w:spacing w:val="-1"/>
                <w:sz w:val="18"/>
              </w:rPr>
              <w:t>46</w:t>
            </w:r>
          </w:p>
        </w:tc>
        <w:tc>
          <w:tcPr>
            <w:tcW w:w="253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Arial" w:hAnsi="Arial" w:cs="Arial" w:eastAsia="Arial" w:hint="default"/>
                <w:sz w:val="18"/>
                <w:szCs w:val="18"/>
              </w:rPr>
            </w:pPr>
            <w:r>
              <w:rPr>
                <w:rFonts w:ascii="Arial"/>
                <w:spacing w:val="-1"/>
                <w:sz w:val="18"/>
              </w:rPr>
              <w:t>5</w:t>
            </w:r>
            <w:r>
              <w:rPr>
                <w:rFonts w:ascii="Times New Roman"/>
                <w:spacing w:val="-1"/>
                <w:sz w:val="18"/>
              </w:rPr>
              <w:t>,</w:t>
            </w:r>
            <w:r>
              <w:rPr>
                <w:rFonts w:ascii="Arial"/>
                <w:spacing w:val="-1"/>
                <w:sz w:val="18"/>
              </w:rPr>
              <w:t>204</w:t>
            </w:r>
            <w:r>
              <w:rPr>
                <w:rFonts w:ascii="Times New Roman"/>
                <w:spacing w:val="-1"/>
                <w:sz w:val="18"/>
              </w:rPr>
              <w:t>,</w:t>
            </w:r>
            <w:r>
              <w:rPr>
                <w:rFonts w:ascii="Arial"/>
                <w:spacing w:val="-1"/>
                <w:sz w:val="18"/>
              </w:rPr>
              <w:t>650</w:t>
            </w:r>
            <w:r>
              <w:rPr>
                <w:rFonts w:ascii="Times New Roman"/>
                <w:spacing w:val="-1"/>
                <w:sz w:val="18"/>
              </w:rPr>
              <w:t>.</w:t>
            </w:r>
            <w:r>
              <w:rPr>
                <w:rFonts w:ascii="Arial"/>
                <w:spacing w:val="-1"/>
                <w:sz w:val="18"/>
              </w:rPr>
              <w:t>46</w:t>
            </w:r>
          </w:p>
        </w:tc>
      </w:tr>
      <w:tr>
        <w:trPr>
          <w:trHeight w:val="485" w:hRule="exact"/>
        </w:trPr>
        <w:tc>
          <w:tcPr>
            <w:tcW w:w="36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0"/>
              <w:ind w:left="124"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本年增加金额</w:t>
            </w:r>
          </w:p>
        </w:tc>
        <w:tc>
          <w:tcPr>
            <w:tcW w:w="25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2,302,654.20</w:t>
            </w:r>
          </w:p>
        </w:tc>
        <w:tc>
          <w:tcPr>
            <w:tcW w:w="253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5"/>
              <w:jc w:val="right"/>
              <w:rPr>
                <w:rFonts w:ascii="Arial" w:hAnsi="Arial" w:cs="Arial" w:eastAsia="Arial" w:hint="default"/>
                <w:sz w:val="18"/>
                <w:szCs w:val="18"/>
              </w:rPr>
            </w:pPr>
            <w:r>
              <w:rPr>
                <w:rFonts w:ascii="Arial"/>
                <w:spacing w:val="-1"/>
                <w:sz w:val="18"/>
              </w:rPr>
              <w:t>2,302,654.20</w:t>
            </w:r>
          </w:p>
        </w:tc>
      </w:tr>
      <w:tr>
        <w:trPr>
          <w:trHeight w:val="485" w:hRule="exact"/>
        </w:trPr>
        <w:tc>
          <w:tcPr>
            <w:tcW w:w="36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0"/>
              <w:ind w:left="124"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）计提或摊销</w:t>
            </w:r>
          </w:p>
        </w:tc>
        <w:tc>
          <w:tcPr>
            <w:tcW w:w="25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2,302,654.20</w:t>
            </w:r>
          </w:p>
        </w:tc>
        <w:tc>
          <w:tcPr>
            <w:tcW w:w="253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5"/>
              <w:jc w:val="right"/>
              <w:rPr>
                <w:rFonts w:ascii="Arial" w:hAnsi="Arial" w:cs="Arial" w:eastAsia="Arial" w:hint="default"/>
                <w:sz w:val="18"/>
                <w:szCs w:val="18"/>
              </w:rPr>
            </w:pPr>
            <w:r>
              <w:rPr>
                <w:rFonts w:ascii="Arial"/>
                <w:spacing w:val="-1"/>
                <w:sz w:val="18"/>
              </w:rPr>
              <w:t>2,302,654.20</w:t>
            </w:r>
          </w:p>
        </w:tc>
      </w:tr>
      <w:tr>
        <w:trPr>
          <w:trHeight w:val="487" w:hRule="exact"/>
        </w:trPr>
        <w:tc>
          <w:tcPr>
            <w:tcW w:w="36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2"/>
              <w:ind w:left="124"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本年减少金额</w:t>
            </w:r>
          </w:p>
        </w:tc>
        <w:tc>
          <w:tcPr>
            <w:tcW w:w="2535" w:type="dxa"/>
            <w:tcBorders>
              <w:top w:val="single" w:sz="2" w:space="0" w:color="000000"/>
              <w:left w:val="single" w:sz="2" w:space="0" w:color="000000"/>
              <w:bottom w:val="single" w:sz="2" w:space="0" w:color="000000"/>
              <w:right w:val="single" w:sz="2" w:space="0" w:color="000000"/>
            </w:tcBorders>
          </w:tcPr>
          <w:p>
            <w:pPr/>
          </w:p>
        </w:tc>
        <w:tc>
          <w:tcPr>
            <w:tcW w:w="2537"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36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0"/>
              <w:ind w:left="124"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年末余额</w:t>
            </w:r>
          </w:p>
        </w:tc>
        <w:tc>
          <w:tcPr>
            <w:tcW w:w="25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Arial" w:hAnsi="Arial" w:cs="Arial" w:eastAsia="Arial" w:hint="default"/>
                <w:sz w:val="18"/>
                <w:szCs w:val="18"/>
              </w:rPr>
            </w:pPr>
            <w:r>
              <w:rPr>
                <w:rFonts w:ascii="Arial"/>
                <w:spacing w:val="-1"/>
                <w:sz w:val="18"/>
              </w:rPr>
              <w:t>7,507,304.66</w:t>
            </w:r>
          </w:p>
        </w:tc>
        <w:tc>
          <w:tcPr>
            <w:tcW w:w="253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5"/>
              <w:jc w:val="right"/>
              <w:rPr>
                <w:rFonts w:ascii="Arial" w:hAnsi="Arial" w:cs="Arial" w:eastAsia="Arial" w:hint="default"/>
                <w:sz w:val="18"/>
                <w:szCs w:val="18"/>
              </w:rPr>
            </w:pPr>
            <w:r>
              <w:rPr>
                <w:rFonts w:ascii="Arial"/>
                <w:spacing w:val="-1"/>
                <w:sz w:val="18"/>
              </w:rPr>
              <w:t>7,507,304.66</w:t>
            </w:r>
          </w:p>
        </w:tc>
      </w:tr>
      <w:tr>
        <w:trPr>
          <w:trHeight w:val="485" w:hRule="exact"/>
        </w:trPr>
        <w:tc>
          <w:tcPr>
            <w:tcW w:w="36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0"/>
              <w:ind w:left="1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2535" w:type="dxa"/>
            <w:tcBorders>
              <w:top w:val="single" w:sz="2" w:space="0" w:color="000000"/>
              <w:left w:val="single" w:sz="2" w:space="0" w:color="000000"/>
              <w:bottom w:val="single" w:sz="2" w:space="0" w:color="000000"/>
              <w:right w:val="single" w:sz="2" w:space="0" w:color="000000"/>
            </w:tcBorders>
          </w:tcPr>
          <w:p>
            <w:pPr/>
          </w:p>
        </w:tc>
        <w:tc>
          <w:tcPr>
            <w:tcW w:w="2537"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36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0"/>
              <w:ind w:left="12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年初余额</w:t>
            </w:r>
          </w:p>
        </w:tc>
        <w:tc>
          <w:tcPr>
            <w:tcW w:w="2535" w:type="dxa"/>
            <w:tcBorders>
              <w:top w:val="single" w:sz="2" w:space="0" w:color="000000"/>
              <w:left w:val="single" w:sz="2" w:space="0" w:color="000000"/>
              <w:bottom w:val="single" w:sz="2" w:space="0" w:color="000000"/>
              <w:right w:val="single" w:sz="2" w:space="0" w:color="000000"/>
            </w:tcBorders>
          </w:tcPr>
          <w:p>
            <w:pPr/>
          </w:p>
        </w:tc>
        <w:tc>
          <w:tcPr>
            <w:tcW w:w="2537"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36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0"/>
              <w:ind w:left="124"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本年增加金额</w:t>
            </w:r>
          </w:p>
        </w:tc>
        <w:tc>
          <w:tcPr>
            <w:tcW w:w="2535" w:type="dxa"/>
            <w:tcBorders>
              <w:top w:val="single" w:sz="2" w:space="0" w:color="000000"/>
              <w:left w:val="single" w:sz="2" w:space="0" w:color="000000"/>
              <w:bottom w:val="single" w:sz="2" w:space="0" w:color="000000"/>
              <w:right w:val="single" w:sz="2" w:space="0" w:color="000000"/>
            </w:tcBorders>
          </w:tcPr>
          <w:p>
            <w:pPr/>
          </w:p>
        </w:tc>
        <w:tc>
          <w:tcPr>
            <w:tcW w:w="2537"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36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0"/>
              <w:ind w:left="124"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本年减少金额</w:t>
            </w:r>
          </w:p>
        </w:tc>
        <w:tc>
          <w:tcPr>
            <w:tcW w:w="2535" w:type="dxa"/>
            <w:tcBorders>
              <w:top w:val="single" w:sz="2" w:space="0" w:color="000000"/>
              <w:left w:val="single" w:sz="2" w:space="0" w:color="000000"/>
              <w:bottom w:val="single" w:sz="2" w:space="0" w:color="000000"/>
              <w:right w:val="single" w:sz="2" w:space="0" w:color="000000"/>
            </w:tcBorders>
          </w:tcPr>
          <w:p>
            <w:pPr/>
          </w:p>
        </w:tc>
        <w:tc>
          <w:tcPr>
            <w:tcW w:w="2537"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36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0"/>
              <w:ind w:left="124"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年末余额</w:t>
            </w:r>
          </w:p>
        </w:tc>
        <w:tc>
          <w:tcPr>
            <w:tcW w:w="2535" w:type="dxa"/>
            <w:tcBorders>
              <w:top w:val="single" w:sz="2" w:space="0" w:color="000000"/>
              <w:left w:val="single" w:sz="2" w:space="0" w:color="000000"/>
              <w:bottom w:val="single" w:sz="2" w:space="0" w:color="000000"/>
              <w:right w:val="single" w:sz="2" w:space="0" w:color="000000"/>
            </w:tcBorders>
          </w:tcPr>
          <w:p>
            <w:pPr/>
          </w:p>
        </w:tc>
        <w:tc>
          <w:tcPr>
            <w:tcW w:w="2537"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36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0"/>
              <w:ind w:left="1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2535" w:type="dxa"/>
            <w:tcBorders>
              <w:top w:val="single" w:sz="2" w:space="0" w:color="000000"/>
              <w:left w:val="single" w:sz="2" w:space="0" w:color="000000"/>
              <w:bottom w:val="single" w:sz="2" w:space="0" w:color="000000"/>
              <w:right w:val="single" w:sz="2" w:space="0" w:color="000000"/>
            </w:tcBorders>
          </w:tcPr>
          <w:p>
            <w:pPr/>
          </w:p>
        </w:tc>
        <w:tc>
          <w:tcPr>
            <w:tcW w:w="2537"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36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0"/>
              <w:ind w:left="12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年末账面价值</w:t>
            </w:r>
          </w:p>
        </w:tc>
        <w:tc>
          <w:tcPr>
            <w:tcW w:w="25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Arial" w:hAnsi="Arial" w:cs="Arial" w:eastAsia="Arial" w:hint="default"/>
                <w:sz w:val="18"/>
                <w:szCs w:val="18"/>
              </w:rPr>
            </w:pPr>
            <w:r>
              <w:rPr>
                <w:rFonts w:ascii="Arial"/>
                <w:spacing w:val="-1"/>
                <w:sz w:val="18"/>
              </w:rPr>
              <w:t>81,908,836.38</w:t>
            </w:r>
          </w:p>
        </w:tc>
        <w:tc>
          <w:tcPr>
            <w:tcW w:w="253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5"/>
              <w:jc w:val="right"/>
              <w:rPr>
                <w:rFonts w:ascii="Arial" w:hAnsi="Arial" w:cs="Arial" w:eastAsia="Arial" w:hint="default"/>
                <w:sz w:val="18"/>
                <w:szCs w:val="18"/>
              </w:rPr>
            </w:pPr>
            <w:r>
              <w:rPr>
                <w:rFonts w:ascii="Arial"/>
                <w:spacing w:val="-1"/>
                <w:sz w:val="18"/>
              </w:rPr>
              <w:t>81,908,836.38</w:t>
            </w:r>
          </w:p>
        </w:tc>
      </w:tr>
      <w:tr>
        <w:trPr>
          <w:trHeight w:val="499" w:hRule="exact"/>
        </w:trPr>
        <w:tc>
          <w:tcPr>
            <w:tcW w:w="366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0"/>
              <w:ind w:left="124"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年初账面价值</w:t>
            </w:r>
          </w:p>
        </w:tc>
        <w:tc>
          <w:tcPr>
            <w:tcW w:w="25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Arial" w:hAnsi="Arial" w:cs="Arial" w:eastAsia="Arial" w:hint="default"/>
                <w:sz w:val="18"/>
                <w:szCs w:val="18"/>
              </w:rPr>
            </w:pPr>
            <w:r>
              <w:rPr>
                <w:rFonts w:ascii="Arial"/>
                <w:spacing w:val="-2"/>
                <w:sz w:val="18"/>
              </w:rPr>
              <w:t>84</w:t>
            </w:r>
            <w:r>
              <w:rPr>
                <w:rFonts w:ascii="Times New Roman"/>
                <w:spacing w:val="-2"/>
                <w:sz w:val="18"/>
              </w:rPr>
              <w:t>,</w:t>
            </w:r>
            <w:r>
              <w:rPr>
                <w:rFonts w:ascii="Arial"/>
                <w:spacing w:val="-2"/>
                <w:sz w:val="18"/>
              </w:rPr>
              <w:t>211</w:t>
            </w:r>
            <w:r>
              <w:rPr>
                <w:rFonts w:ascii="Times New Roman"/>
                <w:spacing w:val="-2"/>
                <w:sz w:val="18"/>
              </w:rPr>
              <w:t>,</w:t>
            </w:r>
            <w:r>
              <w:rPr>
                <w:rFonts w:ascii="Arial"/>
                <w:spacing w:val="-2"/>
                <w:sz w:val="18"/>
              </w:rPr>
              <w:t>490</w:t>
            </w:r>
            <w:r>
              <w:rPr>
                <w:rFonts w:ascii="Times New Roman"/>
                <w:spacing w:val="-2"/>
                <w:sz w:val="18"/>
              </w:rPr>
              <w:t>.</w:t>
            </w:r>
            <w:r>
              <w:rPr>
                <w:rFonts w:ascii="Arial"/>
                <w:spacing w:val="-2"/>
                <w:sz w:val="18"/>
              </w:rPr>
              <w:t>58</w:t>
            </w:r>
          </w:p>
        </w:tc>
        <w:tc>
          <w:tcPr>
            <w:tcW w:w="253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Arial" w:hAnsi="Arial" w:cs="Arial" w:eastAsia="Arial" w:hint="default"/>
                <w:sz w:val="18"/>
                <w:szCs w:val="18"/>
              </w:rPr>
            </w:pPr>
            <w:r>
              <w:rPr>
                <w:rFonts w:ascii="Arial"/>
                <w:spacing w:val="-2"/>
                <w:sz w:val="18"/>
              </w:rPr>
              <w:t>84</w:t>
            </w:r>
            <w:r>
              <w:rPr>
                <w:rFonts w:ascii="Times New Roman"/>
                <w:spacing w:val="-2"/>
                <w:sz w:val="18"/>
              </w:rPr>
              <w:t>,</w:t>
            </w:r>
            <w:r>
              <w:rPr>
                <w:rFonts w:ascii="Arial"/>
                <w:spacing w:val="-2"/>
                <w:sz w:val="18"/>
              </w:rPr>
              <w:t>211</w:t>
            </w:r>
            <w:r>
              <w:rPr>
                <w:rFonts w:ascii="Times New Roman"/>
                <w:spacing w:val="-2"/>
                <w:sz w:val="18"/>
              </w:rPr>
              <w:t>,</w:t>
            </w:r>
            <w:r>
              <w:rPr>
                <w:rFonts w:ascii="Arial"/>
                <w:spacing w:val="-2"/>
                <w:sz w:val="18"/>
              </w:rPr>
              <w:t>490</w:t>
            </w:r>
            <w:r>
              <w:rPr>
                <w:rFonts w:ascii="Times New Roman"/>
                <w:spacing w:val="-2"/>
                <w:sz w:val="18"/>
              </w:rPr>
              <w:t>.</w:t>
            </w:r>
            <w:r>
              <w:rPr>
                <w:rFonts w:ascii="Arial"/>
                <w:spacing w:val="-2"/>
                <w:sz w:val="18"/>
              </w:rPr>
              <w:t>58</w:t>
            </w:r>
          </w:p>
        </w:tc>
      </w:tr>
    </w:tbl>
    <w:p>
      <w:pPr>
        <w:pStyle w:val="Heading4"/>
        <w:tabs>
          <w:tab w:pos="1413" w:val="left" w:leader="none"/>
        </w:tabs>
        <w:spacing w:line="240" w:lineRule="auto" w:before="52"/>
        <w:ind w:right="1133"/>
        <w:jc w:val="left"/>
        <w:rPr>
          <w:b w:val="0"/>
          <w:bCs w:val="0"/>
        </w:rPr>
      </w:pPr>
      <w:r>
        <w:rPr>
          <w:rFonts w:ascii="Arial" w:hAnsi="Arial" w:cs="Arial" w:eastAsia="Arial" w:hint="default"/>
          <w:spacing w:val="-1"/>
        </w:rPr>
        <w:t>11</w:t>
      </w:r>
      <w:r>
        <w:rPr>
          <w:spacing w:val="-1"/>
        </w:rPr>
        <w:t>、</w:t>
        <w:tab/>
      </w:r>
      <w:r>
        <w:rPr/>
        <w:t>固定资产</w:t>
      </w:r>
      <w:r>
        <w:rPr>
          <w:b w:val="0"/>
          <w:bCs w:val="0"/>
        </w:rPr>
      </w:r>
    </w:p>
    <w:p>
      <w:pPr>
        <w:spacing w:line="240" w:lineRule="auto" w:before="6"/>
        <w:rPr>
          <w:rFonts w:ascii="宋体" w:hAnsi="宋体" w:cs="宋体" w:eastAsia="宋体" w:hint="default"/>
          <w:b/>
          <w:bCs/>
          <w:sz w:val="2"/>
          <w:szCs w:val="2"/>
        </w:rPr>
      </w:pPr>
    </w:p>
    <w:tbl>
      <w:tblPr>
        <w:tblW w:w="0" w:type="auto"/>
        <w:jc w:val="left"/>
        <w:tblInd w:w="594" w:type="dxa"/>
        <w:tblLayout w:type="fixed"/>
        <w:tblCellMar>
          <w:top w:w="0" w:type="dxa"/>
          <w:left w:w="0" w:type="dxa"/>
          <w:bottom w:w="0" w:type="dxa"/>
          <w:right w:w="0" w:type="dxa"/>
        </w:tblCellMar>
        <w:tblLook w:val="01E0"/>
      </w:tblPr>
      <w:tblGrid>
        <w:gridCol w:w="3101"/>
        <w:gridCol w:w="2818"/>
        <w:gridCol w:w="2820"/>
      </w:tblGrid>
      <w:tr>
        <w:trPr>
          <w:trHeight w:val="511" w:hRule="exact"/>
        </w:trPr>
        <w:tc>
          <w:tcPr>
            <w:tcW w:w="3101"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52"/>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18"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52"/>
              <w:ind w:left="866" w:right="0"/>
              <w:jc w:val="left"/>
              <w:rPr>
                <w:rFonts w:ascii="宋体" w:hAnsi="宋体" w:cs="宋体" w:eastAsia="宋体" w:hint="default"/>
                <w:sz w:val="18"/>
                <w:szCs w:val="18"/>
              </w:rPr>
            </w:pPr>
            <w:r>
              <w:rPr>
                <w:rFonts w:ascii="宋体" w:hAnsi="宋体" w:cs="宋体" w:eastAsia="宋体" w:hint="default"/>
                <w:sz w:val="18"/>
                <w:szCs w:val="18"/>
              </w:rPr>
              <w:t>年末账面价值</w:t>
            </w:r>
          </w:p>
        </w:tc>
        <w:tc>
          <w:tcPr>
            <w:tcW w:w="2820"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52"/>
              <w:ind w:left="866" w:right="0"/>
              <w:jc w:val="left"/>
              <w:rPr>
                <w:rFonts w:ascii="宋体" w:hAnsi="宋体" w:cs="宋体" w:eastAsia="宋体" w:hint="default"/>
                <w:sz w:val="18"/>
                <w:szCs w:val="18"/>
              </w:rPr>
            </w:pPr>
            <w:r>
              <w:rPr>
                <w:rFonts w:ascii="宋体" w:hAnsi="宋体" w:cs="宋体" w:eastAsia="宋体" w:hint="default"/>
                <w:sz w:val="18"/>
                <w:szCs w:val="18"/>
              </w:rPr>
              <w:t>年初账面价值</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580" w:type="dxa"/>
        <w:tblLayout w:type="fixed"/>
        <w:tblCellMar>
          <w:top w:w="0" w:type="dxa"/>
          <w:left w:w="0" w:type="dxa"/>
          <w:bottom w:w="0" w:type="dxa"/>
          <w:right w:w="0" w:type="dxa"/>
        </w:tblCellMar>
        <w:tblLook w:val="01E0"/>
      </w:tblPr>
      <w:tblGrid>
        <w:gridCol w:w="3101"/>
        <w:gridCol w:w="2818"/>
        <w:gridCol w:w="2820"/>
      </w:tblGrid>
      <w:tr>
        <w:trPr>
          <w:trHeight w:val="502" w:hRule="exact"/>
        </w:trPr>
        <w:tc>
          <w:tcPr>
            <w:tcW w:w="310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2"/>
              <w:ind w:left="1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8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98"/>
              <w:jc w:val="right"/>
              <w:rPr>
                <w:rFonts w:ascii="Arial" w:hAnsi="Arial" w:cs="Arial" w:eastAsia="Arial" w:hint="default"/>
                <w:sz w:val="18"/>
                <w:szCs w:val="18"/>
              </w:rPr>
            </w:pPr>
            <w:r>
              <w:rPr>
                <w:rFonts w:ascii="Arial"/>
                <w:spacing w:val="-1"/>
                <w:sz w:val="18"/>
              </w:rPr>
              <w:t>84,131,713.94</w:t>
            </w:r>
          </w:p>
        </w:tc>
        <w:tc>
          <w:tcPr>
            <w:tcW w:w="282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76,294,598.22</w:t>
            </w:r>
          </w:p>
        </w:tc>
      </w:tr>
      <w:tr>
        <w:trPr>
          <w:trHeight w:val="499" w:hRule="exact"/>
        </w:trPr>
        <w:tc>
          <w:tcPr>
            <w:tcW w:w="310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49"/>
              <w:ind w:left="2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98"/>
              <w:jc w:val="right"/>
              <w:rPr>
                <w:rFonts w:ascii="Arial" w:hAnsi="Arial" w:cs="Arial" w:eastAsia="Arial" w:hint="default"/>
                <w:sz w:val="18"/>
                <w:szCs w:val="18"/>
              </w:rPr>
            </w:pPr>
            <w:r>
              <w:rPr>
                <w:rFonts w:ascii="Arial"/>
                <w:spacing w:val="-1"/>
                <w:sz w:val="18"/>
              </w:rPr>
              <w:t>84,131,713.94</w:t>
            </w:r>
          </w:p>
        </w:tc>
        <w:tc>
          <w:tcPr>
            <w:tcW w:w="28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76,294,598.22</w:t>
            </w:r>
          </w:p>
        </w:tc>
      </w:tr>
    </w:tbl>
    <w:p>
      <w:pPr>
        <w:spacing w:line="240" w:lineRule="auto" w:before="5"/>
        <w:rPr>
          <w:rFonts w:ascii="宋体" w:hAnsi="宋体" w:cs="宋体" w:eastAsia="宋体" w:hint="default"/>
          <w:b/>
          <w:bCs/>
          <w:sz w:val="5"/>
          <w:szCs w:val="5"/>
        </w:rPr>
      </w:pPr>
    </w:p>
    <w:p>
      <w:pPr>
        <w:pStyle w:val="BodyText"/>
        <w:spacing w:line="240" w:lineRule="auto" w:before="32"/>
        <w:ind w:left="592" w:right="1133"/>
        <w:jc w:val="left"/>
      </w:pPr>
      <w:r>
        <w:rPr/>
        <w:t>固定资产情况</w:t>
      </w:r>
    </w:p>
    <w:p>
      <w:pPr>
        <w:spacing w:line="240" w:lineRule="auto" w:before="11"/>
        <w:rPr>
          <w:rFonts w:ascii="宋体" w:hAnsi="宋体" w:cs="宋体" w:eastAsia="宋体" w:hint="default"/>
          <w:sz w:val="6"/>
          <w:szCs w:val="6"/>
        </w:rPr>
      </w:pPr>
    </w:p>
    <w:tbl>
      <w:tblPr>
        <w:tblW w:w="0" w:type="auto"/>
        <w:jc w:val="left"/>
        <w:tblInd w:w="580" w:type="dxa"/>
        <w:tblLayout w:type="fixed"/>
        <w:tblCellMar>
          <w:top w:w="0" w:type="dxa"/>
          <w:left w:w="0" w:type="dxa"/>
          <w:bottom w:w="0" w:type="dxa"/>
          <w:right w:w="0" w:type="dxa"/>
        </w:tblCellMar>
        <w:tblLook w:val="01E0"/>
      </w:tblPr>
      <w:tblGrid>
        <w:gridCol w:w="1877"/>
        <w:gridCol w:w="1481"/>
        <w:gridCol w:w="1368"/>
        <w:gridCol w:w="1478"/>
        <w:gridCol w:w="1268"/>
        <w:gridCol w:w="1267"/>
      </w:tblGrid>
      <w:tr>
        <w:trPr>
          <w:trHeight w:val="722" w:hRule="exact"/>
        </w:trPr>
        <w:tc>
          <w:tcPr>
            <w:tcW w:w="187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6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268" w:type="dxa"/>
            <w:tcBorders>
              <w:top w:val="single" w:sz="12" w:space="0" w:color="000000"/>
              <w:left w:val="single" w:sz="2" w:space="0" w:color="000000"/>
              <w:bottom w:val="single" w:sz="2" w:space="0" w:color="000000"/>
              <w:right w:val="single" w:sz="2" w:space="0" w:color="000000"/>
            </w:tcBorders>
          </w:tcPr>
          <w:p>
            <w:pPr>
              <w:pStyle w:val="TableParagraph"/>
              <w:spacing w:line="314" w:lineRule="auto" w:before="51"/>
              <w:ind w:left="540" w:right="182" w:hanging="360"/>
              <w:jc w:val="left"/>
              <w:rPr>
                <w:rFonts w:ascii="宋体" w:hAnsi="宋体" w:cs="宋体" w:eastAsia="宋体" w:hint="default"/>
                <w:sz w:val="18"/>
                <w:szCs w:val="18"/>
              </w:rPr>
            </w:pPr>
            <w:r>
              <w:rPr>
                <w:rFonts w:ascii="宋体" w:hAnsi="宋体" w:cs="宋体" w:eastAsia="宋体" w:hint="default"/>
                <w:sz w:val="18"/>
                <w:szCs w:val="18"/>
              </w:rPr>
              <w:t>装卸机械设 备</w:t>
            </w:r>
          </w:p>
        </w:tc>
        <w:tc>
          <w:tcPr>
            <w:tcW w:w="1267" w:type="dxa"/>
            <w:tcBorders>
              <w:top w:val="single" w:sz="12" w:space="0" w:color="000000"/>
              <w:left w:val="single" w:sz="2" w:space="0" w:color="000000"/>
              <w:bottom w:val="single" w:sz="2" w:space="0" w:color="000000"/>
              <w:right w:val="nil" w:sz="6" w:space="0" w:color="auto"/>
            </w:tcBorders>
          </w:tcPr>
          <w:p>
            <w:pPr>
              <w:pStyle w:val="TableParagraph"/>
              <w:spacing w:line="314" w:lineRule="auto" w:before="51"/>
              <w:ind w:left="273" w:right="180" w:hanging="92"/>
              <w:jc w:val="left"/>
              <w:rPr>
                <w:rFonts w:ascii="宋体" w:hAnsi="宋体" w:cs="宋体" w:eastAsia="宋体" w:hint="default"/>
                <w:sz w:val="18"/>
                <w:szCs w:val="18"/>
              </w:rPr>
            </w:pPr>
            <w:r>
              <w:rPr>
                <w:rFonts w:ascii="宋体" w:hAnsi="宋体" w:cs="宋体" w:eastAsia="宋体" w:hint="default"/>
                <w:sz w:val="18"/>
                <w:szCs w:val="18"/>
              </w:rPr>
              <w:t>通讯及导航 设施设备</w:t>
            </w:r>
          </w:p>
        </w:tc>
      </w:tr>
      <w:tr>
        <w:trPr>
          <w:trHeight w:val="485" w:hRule="exact"/>
        </w:trPr>
        <w:tc>
          <w:tcPr>
            <w:tcW w:w="1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81" w:type="dxa"/>
            <w:tcBorders>
              <w:top w:val="single" w:sz="2" w:space="0" w:color="000000"/>
              <w:left w:val="single" w:sz="2" w:space="0" w:color="000000"/>
              <w:bottom w:val="single" w:sz="2" w:space="0" w:color="000000"/>
              <w:right w:val="single" w:sz="2" w:space="0" w:color="000000"/>
            </w:tcBorders>
          </w:tcPr>
          <w:p>
            <w:pPr/>
          </w:p>
        </w:tc>
        <w:tc>
          <w:tcPr>
            <w:tcW w:w="1368" w:type="dxa"/>
            <w:tcBorders>
              <w:top w:val="single" w:sz="2" w:space="0" w:color="000000"/>
              <w:left w:val="single" w:sz="2" w:space="0" w:color="000000"/>
              <w:bottom w:val="single" w:sz="2" w:space="0" w:color="000000"/>
              <w:right w:val="single" w:sz="2" w:space="0" w:color="000000"/>
            </w:tcBorders>
          </w:tcPr>
          <w:p>
            <w:pPr/>
          </w:p>
        </w:tc>
        <w:tc>
          <w:tcPr>
            <w:tcW w:w="1478" w:type="dxa"/>
            <w:tcBorders>
              <w:top w:val="single" w:sz="2" w:space="0" w:color="000000"/>
              <w:left w:val="single" w:sz="2" w:space="0" w:color="000000"/>
              <w:bottom w:val="single" w:sz="2" w:space="0" w:color="000000"/>
              <w:right w:val="single" w:sz="2" w:space="0" w:color="000000"/>
            </w:tcBorders>
          </w:tcPr>
          <w:p>
            <w:pPr/>
          </w:p>
        </w:tc>
        <w:tc>
          <w:tcPr>
            <w:tcW w:w="1268" w:type="dxa"/>
            <w:tcBorders>
              <w:top w:val="single" w:sz="2" w:space="0" w:color="000000"/>
              <w:left w:val="single" w:sz="2" w:space="0" w:color="000000"/>
              <w:bottom w:val="single" w:sz="2" w:space="0" w:color="000000"/>
              <w:right w:val="single" w:sz="2" w:space="0" w:color="000000"/>
            </w:tcBorders>
          </w:tcPr>
          <w:p>
            <w:pPr/>
          </w:p>
        </w:tc>
        <w:tc>
          <w:tcPr>
            <w:tcW w:w="1267"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1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年初余额</w:t>
            </w:r>
          </w:p>
        </w:tc>
        <w:tc>
          <w:tcPr>
            <w:tcW w:w="14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62</w:t>
            </w:r>
            <w:r>
              <w:rPr>
                <w:rFonts w:ascii="Times New Roman"/>
                <w:spacing w:val="-1"/>
                <w:sz w:val="18"/>
              </w:rPr>
              <w:t>,</w:t>
            </w:r>
            <w:r>
              <w:rPr>
                <w:rFonts w:ascii="Arial"/>
                <w:spacing w:val="-1"/>
                <w:sz w:val="18"/>
              </w:rPr>
              <w:t>777</w:t>
            </w:r>
            <w:r>
              <w:rPr>
                <w:rFonts w:ascii="Times New Roman"/>
                <w:spacing w:val="-1"/>
                <w:sz w:val="18"/>
              </w:rPr>
              <w:t>,</w:t>
            </w:r>
            <w:r>
              <w:rPr>
                <w:rFonts w:ascii="Arial"/>
                <w:spacing w:val="-1"/>
                <w:sz w:val="18"/>
              </w:rPr>
              <w:t>939</w:t>
            </w:r>
            <w:r>
              <w:rPr>
                <w:rFonts w:ascii="Times New Roman"/>
                <w:spacing w:val="-1"/>
                <w:sz w:val="18"/>
              </w:rPr>
              <w:t>.</w:t>
            </w:r>
            <w:r>
              <w:rPr>
                <w:rFonts w:ascii="Arial"/>
                <w:spacing w:val="-1"/>
                <w:sz w:val="18"/>
              </w:rPr>
              <w:t>42</w:t>
            </w:r>
            <w:r>
              <w:rPr>
                <w:rFonts w:ascii="Arial"/>
                <w:sz w:val="18"/>
              </w:rPr>
            </w:r>
          </w:p>
        </w:tc>
        <w:tc>
          <w:tcPr>
            <w:tcW w:w="13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7</w:t>
            </w:r>
            <w:r>
              <w:rPr>
                <w:rFonts w:ascii="Times New Roman"/>
                <w:spacing w:val="-1"/>
                <w:sz w:val="18"/>
              </w:rPr>
              <w:t>,</w:t>
            </w:r>
            <w:r>
              <w:rPr>
                <w:rFonts w:ascii="Arial"/>
                <w:spacing w:val="-1"/>
                <w:sz w:val="18"/>
              </w:rPr>
              <w:t>988</w:t>
            </w:r>
            <w:r>
              <w:rPr>
                <w:rFonts w:ascii="Times New Roman"/>
                <w:spacing w:val="-1"/>
                <w:sz w:val="18"/>
              </w:rPr>
              <w:t>,</w:t>
            </w:r>
            <w:r>
              <w:rPr>
                <w:rFonts w:ascii="Arial"/>
                <w:spacing w:val="-1"/>
                <w:sz w:val="18"/>
              </w:rPr>
              <w:t>240</w:t>
            </w:r>
            <w:r>
              <w:rPr>
                <w:rFonts w:ascii="Times New Roman"/>
                <w:spacing w:val="-1"/>
                <w:sz w:val="18"/>
              </w:rPr>
              <w:t>.</w:t>
            </w:r>
            <w:r>
              <w:rPr>
                <w:rFonts w:ascii="Arial"/>
                <w:spacing w:val="-1"/>
                <w:sz w:val="18"/>
              </w:rPr>
              <w:t>35</w:t>
            </w:r>
          </w:p>
        </w:tc>
        <w:tc>
          <w:tcPr>
            <w:tcW w:w="14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15</w:t>
            </w:r>
            <w:r>
              <w:rPr>
                <w:rFonts w:ascii="Times New Roman"/>
                <w:spacing w:val="-1"/>
                <w:sz w:val="18"/>
              </w:rPr>
              <w:t>,</w:t>
            </w:r>
            <w:r>
              <w:rPr>
                <w:rFonts w:ascii="Arial"/>
                <w:spacing w:val="-1"/>
                <w:sz w:val="18"/>
              </w:rPr>
              <w:t>630</w:t>
            </w:r>
            <w:r>
              <w:rPr>
                <w:rFonts w:ascii="Times New Roman"/>
                <w:spacing w:val="-1"/>
                <w:sz w:val="18"/>
              </w:rPr>
              <w:t>,</w:t>
            </w:r>
            <w:r>
              <w:rPr>
                <w:rFonts w:ascii="Arial"/>
                <w:spacing w:val="-1"/>
                <w:sz w:val="18"/>
              </w:rPr>
              <w:t>968</w:t>
            </w:r>
            <w:r>
              <w:rPr>
                <w:rFonts w:ascii="Times New Roman"/>
                <w:spacing w:val="-1"/>
                <w:sz w:val="18"/>
              </w:rPr>
              <w:t>.</w:t>
            </w:r>
            <w:r>
              <w:rPr>
                <w:rFonts w:ascii="Arial"/>
                <w:spacing w:val="-1"/>
                <w:sz w:val="18"/>
              </w:rPr>
              <w:t>01</w:t>
            </w:r>
            <w:r>
              <w:rPr>
                <w:rFonts w:ascii="Arial"/>
                <w:sz w:val="18"/>
              </w:rPr>
            </w:r>
          </w:p>
        </w:tc>
        <w:tc>
          <w:tcPr>
            <w:tcW w:w="1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69</w:t>
            </w:r>
            <w:r>
              <w:rPr>
                <w:rFonts w:ascii="Times New Roman"/>
                <w:spacing w:val="-1"/>
                <w:sz w:val="18"/>
              </w:rPr>
              <w:t>,</w:t>
            </w:r>
            <w:r>
              <w:rPr>
                <w:rFonts w:ascii="Arial"/>
                <w:spacing w:val="-1"/>
                <w:sz w:val="18"/>
              </w:rPr>
              <w:t>500</w:t>
            </w:r>
            <w:r>
              <w:rPr>
                <w:rFonts w:ascii="Times New Roman"/>
                <w:spacing w:val="-1"/>
                <w:sz w:val="18"/>
              </w:rPr>
              <w:t>.</w:t>
            </w:r>
            <w:r>
              <w:rPr>
                <w:rFonts w:ascii="Arial"/>
                <w:spacing w:val="-1"/>
                <w:sz w:val="18"/>
              </w:rPr>
              <w:t>00</w:t>
            </w:r>
          </w:p>
        </w:tc>
        <w:tc>
          <w:tcPr>
            <w:tcW w:w="126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67</w:t>
            </w:r>
            <w:r>
              <w:rPr>
                <w:rFonts w:ascii="Times New Roman"/>
                <w:spacing w:val="-1"/>
                <w:sz w:val="18"/>
              </w:rPr>
              <w:t>,</w:t>
            </w:r>
            <w:r>
              <w:rPr>
                <w:rFonts w:ascii="Arial"/>
                <w:spacing w:val="-1"/>
                <w:sz w:val="18"/>
              </w:rPr>
              <w:t>435</w:t>
            </w:r>
            <w:r>
              <w:rPr>
                <w:rFonts w:ascii="Times New Roman"/>
                <w:spacing w:val="-1"/>
                <w:sz w:val="18"/>
              </w:rPr>
              <w:t>.</w:t>
            </w:r>
            <w:r>
              <w:rPr>
                <w:rFonts w:ascii="Arial"/>
                <w:spacing w:val="-1"/>
                <w:sz w:val="18"/>
              </w:rPr>
              <w:t>90</w:t>
            </w:r>
          </w:p>
        </w:tc>
      </w:tr>
      <w:tr>
        <w:trPr>
          <w:trHeight w:val="485" w:hRule="exact"/>
        </w:trPr>
        <w:tc>
          <w:tcPr>
            <w:tcW w:w="1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0"/>
              <w:ind w:left="124"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本年增加金额</w:t>
            </w:r>
          </w:p>
        </w:tc>
        <w:tc>
          <w:tcPr>
            <w:tcW w:w="14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12,635,020.15</w:t>
            </w:r>
          </w:p>
        </w:tc>
        <w:tc>
          <w:tcPr>
            <w:tcW w:w="13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580,689.66</w:t>
            </w:r>
          </w:p>
        </w:tc>
        <w:tc>
          <w:tcPr>
            <w:tcW w:w="14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539,708.47</w:t>
            </w:r>
          </w:p>
        </w:tc>
        <w:tc>
          <w:tcPr>
            <w:tcW w:w="1268" w:type="dxa"/>
            <w:tcBorders>
              <w:top w:val="single" w:sz="2" w:space="0" w:color="000000"/>
              <w:left w:val="single" w:sz="2" w:space="0" w:color="000000"/>
              <w:bottom w:val="single" w:sz="2" w:space="0" w:color="000000"/>
              <w:right w:val="single" w:sz="2" w:space="0" w:color="000000"/>
            </w:tcBorders>
          </w:tcPr>
          <w:p>
            <w:pPr/>
          </w:p>
        </w:tc>
        <w:tc>
          <w:tcPr>
            <w:tcW w:w="1267"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1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）购置</w:t>
            </w:r>
          </w:p>
        </w:tc>
        <w:tc>
          <w:tcPr>
            <w:tcW w:w="1481" w:type="dxa"/>
            <w:tcBorders>
              <w:top w:val="single" w:sz="2" w:space="0" w:color="000000"/>
              <w:left w:val="single" w:sz="2" w:space="0" w:color="000000"/>
              <w:bottom w:val="single" w:sz="2" w:space="0" w:color="000000"/>
              <w:right w:val="single" w:sz="2" w:space="0" w:color="000000"/>
            </w:tcBorders>
          </w:tcPr>
          <w:p>
            <w:pPr/>
          </w:p>
        </w:tc>
        <w:tc>
          <w:tcPr>
            <w:tcW w:w="13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580,689.66</w:t>
            </w:r>
          </w:p>
        </w:tc>
        <w:tc>
          <w:tcPr>
            <w:tcW w:w="14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539,708.47</w:t>
            </w:r>
          </w:p>
        </w:tc>
        <w:tc>
          <w:tcPr>
            <w:tcW w:w="1268" w:type="dxa"/>
            <w:tcBorders>
              <w:top w:val="single" w:sz="2" w:space="0" w:color="000000"/>
              <w:left w:val="single" w:sz="2" w:space="0" w:color="000000"/>
              <w:bottom w:val="single" w:sz="2" w:space="0" w:color="000000"/>
              <w:right w:val="single" w:sz="2" w:space="0" w:color="000000"/>
            </w:tcBorders>
          </w:tcPr>
          <w:p>
            <w:pPr/>
          </w:p>
        </w:tc>
        <w:tc>
          <w:tcPr>
            <w:tcW w:w="1267"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1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2</w:t>
            </w:r>
            <w:r>
              <w:rPr>
                <w:rFonts w:ascii="宋体" w:hAnsi="宋体" w:cs="宋体" w:eastAsia="宋体" w:hint="default"/>
                <w:sz w:val="18"/>
                <w:szCs w:val="18"/>
              </w:rPr>
              <w:t>）在建工程转入</w:t>
            </w:r>
          </w:p>
        </w:tc>
        <w:tc>
          <w:tcPr>
            <w:tcW w:w="14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12,635,020.15</w:t>
            </w:r>
          </w:p>
        </w:tc>
        <w:tc>
          <w:tcPr>
            <w:tcW w:w="1368" w:type="dxa"/>
            <w:tcBorders>
              <w:top w:val="single" w:sz="2" w:space="0" w:color="000000"/>
              <w:left w:val="single" w:sz="2" w:space="0" w:color="000000"/>
              <w:bottom w:val="single" w:sz="2" w:space="0" w:color="000000"/>
              <w:right w:val="single" w:sz="2" w:space="0" w:color="000000"/>
            </w:tcBorders>
          </w:tcPr>
          <w:p>
            <w:pPr/>
          </w:p>
        </w:tc>
        <w:tc>
          <w:tcPr>
            <w:tcW w:w="1478" w:type="dxa"/>
            <w:tcBorders>
              <w:top w:val="single" w:sz="2" w:space="0" w:color="000000"/>
              <w:left w:val="single" w:sz="2" w:space="0" w:color="000000"/>
              <w:bottom w:val="single" w:sz="2" w:space="0" w:color="000000"/>
              <w:right w:val="single" w:sz="2" w:space="0" w:color="000000"/>
            </w:tcBorders>
          </w:tcPr>
          <w:p>
            <w:pPr/>
          </w:p>
        </w:tc>
        <w:tc>
          <w:tcPr>
            <w:tcW w:w="1268" w:type="dxa"/>
            <w:tcBorders>
              <w:top w:val="single" w:sz="2" w:space="0" w:color="000000"/>
              <w:left w:val="single" w:sz="2" w:space="0" w:color="000000"/>
              <w:bottom w:val="single" w:sz="2" w:space="0" w:color="000000"/>
              <w:right w:val="single" w:sz="2" w:space="0" w:color="000000"/>
            </w:tcBorders>
          </w:tcPr>
          <w:p>
            <w:pPr/>
          </w:p>
        </w:tc>
        <w:tc>
          <w:tcPr>
            <w:tcW w:w="1267"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1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本年减少金额</w:t>
            </w:r>
          </w:p>
        </w:tc>
        <w:tc>
          <w:tcPr>
            <w:tcW w:w="14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239,913.00</w:t>
            </w:r>
          </w:p>
        </w:tc>
        <w:tc>
          <w:tcPr>
            <w:tcW w:w="13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46,390.81</w:t>
            </w:r>
          </w:p>
        </w:tc>
        <w:tc>
          <w:tcPr>
            <w:tcW w:w="14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5,799,850.68</w:t>
            </w:r>
          </w:p>
        </w:tc>
        <w:tc>
          <w:tcPr>
            <w:tcW w:w="1268" w:type="dxa"/>
            <w:tcBorders>
              <w:top w:val="single" w:sz="2" w:space="0" w:color="000000"/>
              <w:left w:val="single" w:sz="2" w:space="0" w:color="000000"/>
              <w:bottom w:val="single" w:sz="2" w:space="0" w:color="000000"/>
              <w:right w:val="single" w:sz="2" w:space="0" w:color="000000"/>
            </w:tcBorders>
          </w:tcPr>
          <w:p>
            <w:pPr/>
          </w:p>
        </w:tc>
        <w:tc>
          <w:tcPr>
            <w:tcW w:w="1267" w:type="dxa"/>
            <w:tcBorders>
              <w:top w:val="single" w:sz="2" w:space="0" w:color="000000"/>
              <w:left w:val="single" w:sz="2" w:space="0" w:color="000000"/>
              <w:bottom w:val="single" w:sz="2" w:space="0" w:color="000000"/>
              <w:right w:val="nil" w:sz="6" w:space="0" w:color="auto"/>
            </w:tcBorders>
          </w:tcPr>
          <w:p>
            <w:pPr/>
          </w:p>
        </w:tc>
      </w:tr>
      <w:tr>
        <w:trPr>
          <w:trHeight w:val="487" w:hRule="exact"/>
        </w:trPr>
        <w:tc>
          <w:tcPr>
            <w:tcW w:w="1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2"/>
              <w:ind w:left="124"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）处置或报废</w:t>
            </w:r>
          </w:p>
        </w:tc>
        <w:tc>
          <w:tcPr>
            <w:tcW w:w="14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239,913.00</w:t>
            </w:r>
          </w:p>
        </w:tc>
        <w:tc>
          <w:tcPr>
            <w:tcW w:w="13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46,390.81</w:t>
            </w:r>
          </w:p>
        </w:tc>
        <w:tc>
          <w:tcPr>
            <w:tcW w:w="14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1,023,614.85</w:t>
            </w:r>
          </w:p>
        </w:tc>
        <w:tc>
          <w:tcPr>
            <w:tcW w:w="1268" w:type="dxa"/>
            <w:tcBorders>
              <w:top w:val="single" w:sz="2" w:space="0" w:color="000000"/>
              <w:left w:val="single" w:sz="2" w:space="0" w:color="000000"/>
              <w:bottom w:val="single" w:sz="2" w:space="0" w:color="000000"/>
              <w:right w:val="single" w:sz="2" w:space="0" w:color="000000"/>
            </w:tcBorders>
          </w:tcPr>
          <w:p>
            <w:pPr/>
          </w:p>
        </w:tc>
        <w:tc>
          <w:tcPr>
            <w:tcW w:w="1267"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1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2</w:t>
            </w:r>
            <w:r>
              <w:rPr>
                <w:rFonts w:ascii="宋体" w:hAnsi="宋体" w:cs="宋体" w:eastAsia="宋体" w:hint="default"/>
                <w:sz w:val="18"/>
                <w:szCs w:val="18"/>
              </w:rPr>
              <w:t>）其他</w:t>
            </w:r>
          </w:p>
        </w:tc>
        <w:tc>
          <w:tcPr>
            <w:tcW w:w="1481" w:type="dxa"/>
            <w:tcBorders>
              <w:top w:val="single" w:sz="2" w:space="0" w:color="000000"/>
              <w:left w:val="single" w:sz="2" w:space="0" w:color="000000"/>
              <w:bottom w:val="single" w:sz="2" w:space="0" w:color="000000"/>
              <w:right w:val="single" w:sz="2" w:space="0" w:color="000000"/>
            </w:tcBorders>
          </w:tcPr>
          <w:p>
            <w:pPr/>
          </w:p>
        </w:tc>
        <w:tc>
          <w:tcPr>
            <w:tcW w:w="1368" w:type="dxa"/>
            <w:tcBorders>
              <w:top w:val="single" w:sz="2" w:space="0" w:color="000000"/>
              <w:left w:val="single" w:sz="2" w:space="0" w:color="000000"/>
              <w:bottom w:val="single" w:sz="2" w:space="0" w:color="000000"/>
              <w:right w:val="single" w:sz="2" w:space="0" w:color="000000"/>
            </w:tcBorders>
          </w:tcPr>
          <w:p>
            <w:pPr/>
          </w:p>
        </w:tc>
        <w:tc>
          <w:tcPr>
            <w:tcW w:w="14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4,776,235.83</w:t>
            </w:r>
          </w:p>
        </w:tc>
        <w:tc>
          <w:tcPr>
            <w:tcW w:w="1268" w:type="dxa"/>
            <w:tcBorders>
              <w:top w:val="single" w:sz="2" w:space="0" w:color="000000"/>
              <w:left w:val="single" w:sz="2" w:space="0" w:color="000000"/>
              <w:bottom w:val="single" w:sz="2" w:space="0" w:color="000000"/>
              <w:right w:val="single" w:sz="2" w:space="0" w:color="000000"/>
            </w:tcBorders>
          </w:tcPr>
          <w:p>
            <w:pPr/>
          </w:p>
        </w:tc>
        <w:tc>
          <w:tcPr>
            <w:tcW w:w="1267"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1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年末余额</w:t>
            </w:r>
          </w:p>
        </w:tc>
        <w:tc>
          <w:tcPr>
            <w:tcW w:w="14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75,173,046.57</w:t>
            </w:r>
          </w:p>
        </w:tc>
        <w:tc>
          <w:tcPr>
            <w:tcW w:w="13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8,522,539.20</w:t>
            </w:r>
          </w:p>
        </w:tc>
        <w:tc>
          <w:tcPr>
            <w:tcW w:w="14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10,370,825.80</w:t>
            </w:r>
          </w:p>
        </w:tc>
        <w:tc>
          <w:tcPr>
            <w:tcW w:w="1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69,500.00</w:t>
            </w:r>
          </w:p>
        </w:tc>
        <w:tc>
          <w:tcPr>
            <w:tcW w:w="126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67,435.90</w:t>
            </w:r>
          </w:p>
        </w:tc>
      </w:tr>
      <w:tr>
        <w:trPr>
          <w:trHeight w:val="485" w:hRule="exact"/>
        </w:trPr>
        <w:tc>
          <w:tcPr>
            <w:tcW w:w="1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0"/>
              <w:ind w:left="1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481" w:type="dxa"/>
            <w:tcBorders>
              <w:top w:val="single" w:sz="2" w:space="0" w:color="000000"/>
              <w:left w:val="single" w:sz="2" w:space="0" w:color="000000"/>
              <w:bottom w:val="single" w:sz="2" w:space="0" w:color="000000"/>
              <w:right w:val="single" w:sz="2" w:space="0" w:color="000000"/>
            </w:tcBorders>
          </w:tcPr>
          <w:p>
            <w:pPr/>
          </w:p>
        </w:tc>
        <w:tc>
          <w:tcPr>
            <w:tcW w:w="1368" w:type="dxa"/>
            <w:tcBorders>
              <w:top w:val="single" w:sz="2" w:space="0" w:color="000000"/>
              <w:left w:val="single" w:sz="2" w:space="0" w:color="000000"/>
              <w:bottom w:val="single" w:sz="2" w:space="0" w:color="000000"/>
              <w:right w:val="single" w:sz="2" w:space="0" w:color="000000"/>
            </w:tcBorders>
          </w:tcPr>
          <w:p>
            <w:pPr/>
          </w:p>
        </w:tc>
        <w:tc>
          <w:tcPr>
            <w:tcW w:w="1478" w:type="dxa"/>
            <w:tcBorders>
              <w:top w:val="single" w:sz="2" w:space="0" w:color="000000"/>
              <w:left w:val="single" w:sz="2" w:space="0" w:color="000000"/>
              <w:bottom w:val="single" w:sz="2" w:space="0" w:color="000000"/>
              <w:right w:val="single" w:sz="2" w:space="0" w:color="000000"/>
            </w:tcBorders>
          </w:tcPr>
          <w:p>
            <w:pPr/>
          </w:p>
        </w:tc>
        <w:tc>
          <w:tcPr>
            <w:tcW w:w="1268" w:type="dxa"/>
            <w:tcBorders>
              <w:top w:val="single" w:sz="2" w:space="0" w:color="000000"/>
              <w:left w:val="single" w:sz="2" w:space="0" w:color="000000"/>
              <w:bottom w:val="single" w:sz="2" w:space="0" w:color="000000"/>
              <w:right w:val="single" w:sz="2" w:space="0" w:color="000000"/>
            </w:tcBorders>
          </w:tcPr>
          <w:p>
            <w:pPr/>
          </w:p>
        </w:tc>
        <w:tc>
          <w:tcPr>
            <w:tcW w:w="1267"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1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年初余额</w:t>
            </w:r>
          </w:p>
        </w:tc>
        <w:tc>
          <w:tcPr>
            <w:tcW w:w="14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12</w:t>
            </w:r>
            <w:r>
              <w:rPr>
                <w:rFonts w:ascii="Times New Roman"/>
                <w:spacing w:val="-1"/>
                <w:sz w:val="18"/>
              </w:rPr>
              <w:t>,</w:t>
            </w:r>
            <w:r>
              <w:rPr>
                <w:rFonts w:ascii="Arial"/>
                <w:spacing w:val="-1"/>
                <w:sz w:val="18"/>
              </w:rPr>
              <w:t>094</w:t>
            </w:r>
            <w:r>
              <w:rPr>
                <w:rFonts w:ascii="Times New Roman"/>
                <w:spacing w:val="-1"/>
                <w:sz w:val="18"/>
              </w:rPr>
              <w:t>,</w:t>
            </w:r>
            <w:r>
              <w:rPr>
                <w:rFonts w:ascii="Arial"/>
                <w:spacing w:val="-1"/>
                <w:sz w:val="18"/>
              </w:rPr>
              <w:t>681</w:t>
            </w:r>
            <w:r>
              <w:rPr>
                <w:rFonts w:ascii="Times New Roman"/>
                <w:spacing w:val="-1"/>
                <w:sz w:val="18"/>
              </w:rPr>
              <w:t>.</w:t>
            </w:r>
            <w:r>
              <w:rPr>
                <w:rFonts w:ascii="Arial"/>
                <w:spacing w:val="-1"/>
                <w:sz w:val="18"/>
              </w:rPr>
              <w:t>90</w:t>
            </w:r>
            <w:r>
              <w:rPr>
                <w:rFonts w:ascii="Arial"/>
                <w:sz w:val="18"/>
              </w:rPr>
            </w:r>
          </w:p>
        </w:tc>
        <w:tc>
          <w:tcPr>
            <w:tcW w:w="13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6</w:t>
            </w:r>
            <w:r>
              <w:rPr>
                <w:rFonts w:ascii="Times New Roman"/>
                <w:spacing w:val="-1"/>
                <w:sz w:val="18"/>
              </w:rPr>
              <w:t>,</w:t>
            </w:r>
            <w:r>
              <w:rPr>
                <w:rFonts w:ascii="Arial"/>
                <w:spacing w:val="-1"/>
                <w:sz w:val="18"/>
              </w:rPr>
              <w:t>804</w:t>
            </w:r>
            <w:r>
              <w:rPr>
                <w:rFonts w:ascii="Times New Roman"/>
                <w:spacing w:val="-1"/>
                <w:sz w:val="18"/>
              </w:rPr>
              <w:t>,</w:t>
            </w:r>
            <w:r>
              <w:rPr>
                <w:rFonts w:ascii="Arial"/>
                <w:spacing w:val="-1"/>
                <w:sz w:val="18"/>
              </w:rPr>
              <w:t>220</w:t>
            </w:r>
            <w:r>
              <w:rPr>
                <w:rFonts w:ascii="Times New Roman"/>
                <w:spacing w:val="-1"/>
                <w:sz w:val="18"/>
              </w:rPr>
              <w:t>.</w:t>
            </w:r>
            <w:r>
              <w:rPr>
                <w:rFonts w:ascii="Arial"/>
                <w:spacing w:val="-1"/>
                <w:sz w:val="18"/>
              </w:rPr>
              <w:t>64</w:t>
            </w:r>
          </w:p>
        </w:tc>
        <w:tc>
          <w:tcPr>
            <w:tcW w:w="14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9</w:t>
            </w:r>
            <w:r>
              <w:rPr>
                <w:rFonts w:ascii="Times New Roman"/>
                <w:spacing w:val="-1"/>
                <w:sz w:val="18"/>
              </w:rPr>
              <w:t>,</w:t>
            </w:r>
            <w:r>
              <w:rPr>
                <w:rFonts w:ascii="Arial"/>
                <w:spacing w:val="-1"/>
                <w:sz w:val="18"/>
              </w:rPr>
              <w:t>821</w:t>
            </w:r>
            <w:r>
              <w:rPr>
                <w:rFonts w:ascii="Times New Roman"/>
                <w:spacing w:val="-1"/>
                <w:sz w:val="18"/>
              </w:rPr>
              <w:t>,</w:t>
            </w:r>
            <w:r>
              <w:rPr>
                <w:rFonts w:ascii="Arial"/>
                <w:spacing w:val="-1"/>
                <w:sz w:val="18"/>
              </w:rPr>
              <w:t>877</w:t>
            </w:r>
            <w:r>
              <w:rPr>
                <w:rFonts w:ascii="Times New Roman"/>
                <w:spacing w:val="-1"/>
                <w:sz w:val="18"/>
              </w:rPr>
              <w:t>.</w:t>
            </w:r>
            <w:r>
              <w:rPr>
                <w:rFonts w:ascii="Arial"/>
                <w:spacing w:val="-1"/>
                <w:sz w:val="18"/>
              </w:rPr>
              <w:t>63</w:t>
            </w:r>
          </w:p>
        </w:tc>
        <w:tc>
          <w:tcPr>
            <w:tcW w:w="1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66</w:t>
            </w:r>
            <w:r>
              <w:rPr>
                <w:rFonts w:ascii="Times New Roman"/>
                <w:spacing w:val="-1"/>
                <w:sz w:val="18"/>
              </w:rPr>
              <w:t>,</w:t>
            </w:r>
            <w:r>
              <w:rPr>
                <w:rFonts w:ascii="Arial"/>
                <w:spacing w:val="-1"/>
                <w:sz w:val="18"/>
              </w:rPr>
              <w:t>720</w:t>
            </w:r>
            <w:r>
              <w:rPr>
                <w:rFonts w:ascii="Times New Roman"/>
                <w:spacing w:val="-1"/>
                <w:sz w:val="18"/>
              </w:rPr>
              <w:t>.</w:t>
            </w:r>
            <w:r>
              <w:rPr>
                <w:rFonts w:ascii="Arial"/>
                <w:spacing w:val="-1"/>
                <w:sz w:val="18"/>
              </w:rPr>
              <w:t>00</w:t>
            </w:r>
          </w:p>
        </w:tc>
        <w:tc>
          <w:tcPr>
            <w:tcW w:w="126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64</w:t>
            </w:r>
            <w:r>
              <w:rPr>
                <w:rFonts w:ascii="Times New Roman"/>
                <w:spacing w:val="-1"/>
                <w:sz w:val="18"/>
              </w:rPr>
              <w:t>,</w:t>
            </w:r>
            <w:r>
              <w:rPr>
                <w:rFonts w:ascii="Arial"/>
                <w:spacing w:val="-1"/>
                <w:sz w:val="18"/>
              </w:rPr>
              <w:t>738</w:t>
            </w:r>
            <w:r>
              <w:rPr>
                <w:rFonts w:ascii="Times New Roman"/>
                <w:spacing w:val="-1"/>
                <w:sz w:val="18"/>
              </w:rPr>
              <w:t>.</w:t>
            </w:r>
            <w:r>
              <w:rPr>
                <w:rFonts w:ascii="Arial"/>
                <w:spacing w:val="-1"/>
                <w:sz w:val="18"/>
              </w:rPr>
              <w:t>47</w:t>
            </w:r>
          </w:p>
        </w:tc>
      </w:tr>
      <w:tr>
        <w:trPr>
          <w:trHeight w:val="485" w:hRule="exact"/>
        </w:trPr>
        <w:tc>
          <w:tcPr>
            <w:tcW w:w="1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本年增加金额</w:t>
            </w:r>
          </w:p>
        </w:tc>
        <w:tc>
          <w:tcPr>
            <w:tcW w:w="14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1,785,485.98</w:t>
            </w:r>
          </w:p>
        </w:tc>
        <w:tc>
          <w:tcPr>
            <w:tcW w:w="13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229,409.38</w:t>
            </w:r>
          </w:p>
        </w:tc>
        <w:tc>
          <w:tcPr>
            <w:tcW w:w="14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1,600,318.26</w:t>
            </w:r>
          </w:p>
        </w:tc>
        <w:tc>
          <w:tcPr>
            <w:tcW w:w="1268" w:type="dxa"/>
            <w:tcBorders>
              <w:top w:val="single" w:sz="2" w:space="0" w:color="000000"/>
              <w:left w:val="single" w:sz="2" w:space="0" w:color="000000"/>
              <w:bottom w:val="single" w:sz="2" w:space="0" w:color="000000"/>
              <w:right w:val="single" w:sz="2" w:space="0" w:color="000000"/>
            </w:tcBorders>
          </w:tcPr>
          <w:p>
            <w:pPr/>
          </w:p>
        </w:tc>
        <w:tc>
          <w:tcPr>
            <w:tcW w:w="1267"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1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）计提</w:t>
            </w:r>
          </w:p>
        </w:tc>
        <w:tc>
          <w:tcPr>
            <w:tcW w:w="14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1,785,485.98</w:t>
            </w:r>
          </w:p>
        </w:tc>
        <w:tc>
          <w:tcPr>
            <w:tcW w:w="13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229,409.38</w:t>
            </w:r>
          </w:p>
        </w:tc>
        <w:tc>
          <w:tcPr>
            <w:tcW w:w="14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1,600,318.26</w:t>
            </w:r>
          </w:p>
        </w:tc>
        <w:tc>
          <w:tcPr>
            <w:tcW w:w="1268" w:type="dxa"/>
            <w:tcBorders>
              <w:top w:val="single" w:sz="2" w:space="0" w:color="000000"/>
              <w:left w:val="single" w:sz="2" w:space="0" w:color="000000"/>
              <w:bottom w:val="single" w:sz="2" w:space="0" w:color="000000"/>
              <w:right w:val="single" w:sz="2" w:space="0" w:color="000000"/>
            </w:tcBorders>
          </w:tcPr>
          <w:p>
            <w:pPr/>
          </w:p>
        </w:tc>
        <w:tc>
          <w:tcPr>
            <w:tcW w:w="1267"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1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本年减少金额</w:t>
            </w:r>
          </w:p>
        </w:tc>
        <w:tc>
          <w:tcPr>
            <w:tcW w:w="14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239,913.00</w:t>
            </w:r>
          </w:p>
        </w:tc>
        <w:tc>
          <w:tcPr>
            <w:tcW w:w="13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41,122.68</w:t>
            </w:r>
          </w:p>
        </w:tc>
        <w:tc>
          <w:tcPr>
            <w:tcW w:w="14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4,023,169.02</w:t>
            </w:r>
          </w:p>
        </w:tc>
        <w:tc>
          <w:tcPr>
            <w:tcW w:w="1268" w:type="dxa"/>
            <w:tcBorders>
              <w:top w:val="single" w:sz="2" w:space="0" w:color="000000"/>
              <w:left w:val="single" w:sz="2" w:space="0" w:color="000000"/>
              <w:bottom w:val="single" w:sz="2" w:space="0" w:color="000000"/>
              <w:right w:val="single" w:sz="2" w:space="0" w:color="000000"/>
            </w:tcBorders>
          </w:tcPr>
          <w:p>
            <w:pPr/>
          </w:p>
        </w:tc>
        <w:tc>
          <w:tcPr>
            <w:tcW w:w="1267"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1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）处置或报废</w:t>
            </w:r>
          </w:p>
        </w:tc>
        <w:tc>
          <w:tcPr>
            <w:tcW w:w="14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239,913.00</w:t>
            </w:r>
          </w:p>
        </w:tc>
        <w:tc>
          <w:tcPr>
            <w:tcW w:w="13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41,122.68</w:t>
            </w:r>
          </w:p>
        </w:tc>
        <w:tc>
          <w:tcPr>
            <w:tcW w:w="14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982,670.44</w:t>
            </w:r>
          </w:p>
        </w:tc>
        <w:tc>
          <w:tcPr>
            <w:tcW w:w="1268" w:type="dxa"/>
            <w:tcBorders>
              <w:top w:val="single" w:sz="2" w:space="0" w:color="000000"/>
              <w:left w:val="single" w:sz="2" w:space="0" w:color="000000"/>
              <w:bottom w:val="single" w:sz="2" w:space="0" w:color="000000"/>
              <w:right w:val="single" w:sz="2" w:space="0" w:color="000000"/>
            </w:tcBorders>
          </w:tcPr>
          <w:p>
            <w:pPr/>
          </w:p>
        </w:tc>
        <w:tc>
          <w:tcPr>
            <w:tcW w:w="1267"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1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2</w:t>
            </w:r>
            <w:r>
              <w:rPr>
                <w:rFonts w:ascii="宋体" w:hAnsi="宋体" w:cs="宋体" w:eastAsia="宋体" w:hint="default"/>
                <w:sz w:val="18"/>
                <w:szCs w:val="18"/>
              </w:rPr>
              <w:t>）其他</w:t>
            </w:r>
          </w:p>
        </w:tc>
        <w:tc>
          <w:tcPr>
            <w:tcW w:w="1481" w:type="dxa"/>
            <w:tcBorders>
              <w:top w:val="single" w:sz="2" w:space="0" w:color="000000"/>
              <w:left w:val="single" w:sz="2" w:space="0" w:color="000000"/>
              <w:bottom w:val="single" w:sz="2" w:space="0" w:color="000000"/>
              <w:right w:val="single" w:sz="2" w:space="0" w:color="000000"/>
            </w:tcBorders>
          </w:tcPr>
          <w:p>
            <w:pPr/>
          </w:p>
        </w:tc>
        <w:tc>
          <w:tcPr>
            <w:tcW w:w="1368" w:type="dxa"/>
            <w:tcBorders>
              <w:top w:val="single" w:sz="2" w:space="0" w:color="000000"/>
              <w:left w:val="single" w:sz="2" w:space="0" w:color="000000"/>
              <w:bottom w:val="single" w:sz="2" w:space="0" w:color="000000"/>
              <w:right w:val="single" w:sz="2" w:space="0" w:color="000000"/>
            </w:tcBorders>
          </w:tcPr>
          <w:p>
            <w:pPr/>
          </w:p>
        </w:tc>
        <w:tc>
          <w:tcPr>
            <w:tcW w:w="14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3,040,498.58</w:t>
            </w:r>
          </w:p>
        </w:tc>
        <w:tc>
          <w:tcPr>
            <w:tcW w:w="1268" w:type="dxa"/>
            <w:tcBorders>
              <w:top w:val="single" w:sz="2" w:space="0" w:color="000000"/>
              <w:left w:val="single" w:sz="2" w:space="0" w:color="000000"/>
              <w:bottom w:val="single" w:sz="2" w:space="0" w:color="000000"/>
              <w:right w:val="single" w:sz="2" w:space="0" w:color="000000"/>
            </w:tcBorders>
          </w:tcPr>
          <w:p>
            <w:pPr/>
          </w:p>
        </w:tc>
        <w:tc>
          <w:tcPr>
            <w:tcW w:w="1267"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1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年末余额</w:t>
            </w:r>
          </w:p>
        </w:tc>
        <w:tc>
          <w:tcPr>
            <w:tcW w:w="14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13,640,254.88</w:t>
            </w:r>
          </w:p>
        </w:tc>
        <w:tc>
          <w:tcPr>
            <w:tcW w:w="13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6,992,507.34</w:t>
            </w:r>
          </w:p>
        </w:tc>
        <w:tc>
          <w:tcPr>
            <w:tcW w:w="14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7,399,026.87</w:t>
            </w:r>
          </w:p>
        </w:tc>
        <w:tc>
          <w:tcPr>
            <w:tcW w:w="1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66,720.00</w:t>
            </w:r>
          </w:p>
        </w:tc>
        <w:tc>
          <w:tcPr>
            <w:tcW w:w="126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64,738.47</w:t>
            </w:r>
          </w:p>
        </w:tc>
      </w:tr>
      <w:tr>
        <w:trPr>
          <w:trHeight w:val="485" w:hRule="exact"/>
        </w:trPr>
        <w:tc>
          <w:tcPr>
            <w:tcW w:w="1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481" w:type="dxa"/>
            <w:tcBorders>
              <w:top w:val="single" w:sz="2" w:space="0" w:color="000000"/>
              <w:left w:val="single" w:sz="2" w:space="0" w:color="000000"/>
              <w:bottom w:val="single" w:sz="2" w:space="0" w:color="000000"/>
              <w:right w:val="single" w:sz="2" w:space="0" w:color="000000"/>
            </w:tcBorders>
          </w:tcPr>
          <w:p>
            <w:pPr/>
          </w:p>
        </w:tc>
        <w:tc>
          <w:tcPr>
            <w:tcW w:w="1368" w:type="dxa"/>
            <w:tcBorders>
              <w:top w:val="single" w:sz="2" w:space="0" w:color="000000"/>
              <w:left w:val="single" w:sz="2" w:space="0" w:color="000000"/>
              <w:bottom w:val="single" w:sz="2" w:space="0" w:color="000000"/>
              <w:right w:val="single" w:sz="2" w:space="0" w:color="000000"/>
            </w:tcBorders>
          </w:tcPr>
          <w:p>
            <w:pPr/>
          </w:p>
        </w:tc>
        <w:tc>
          <w:tcPr>
            <w:tcW w:w="1478" w:type="dxa"/>
            <w:tcBorders>
              <w:top w:val="single" w:sz="2" w:space="0" w:color="000000"/>
              <w:left w:val="single" w:sz="2" w:space="0" w:color="000000"/>
              <w:bottom w:val="single" w:sz="2" w:space="0" w:color="000000"/>
              <w:right w:val="single" w:sz="2" w:space="0" w:color="000000"/>
            </w:tcBorders>
          </w:tcPr>
          <w:p>
            <w:pPr/>
          </w:p>
        </w:tc>
        <w:tc>
          <w:tcPr>
            <w:tcW w:w="1268" w:type="dxa"/>
            <w:tcBorders>
              <w:top w:val="single" w:sz="2" w:space="0" w:color="000000"/>
              <w:left w:val="single" w:sz="2" w:space="0" w:color="000000"/>
              <w:bottom w:val="single" w:sz="2" w:space="0" w:color="000000"/>
              <w:right w:val="single" w:sz="2" w:space="0" w:color="000000"/>
            </w:tcBorders>
          </w:tcPr>
          <w:p>
            <w:pPr/>
          </w:p>
        </w:tc>
        <w:tc>
          <w:tcPr>
            <w:tcW w:w="1267" w:type="dxa"/>
            <w:tcBorders>
              <w:top w:val="single" w:sz="2" w:space="0" w:color="000000"/>
              <w:left w:val="single" w:sz="2" w:space="0" w:color="000000"/>
              <w:bottom w:val="single" w:sz="2" w:space="0" w:color="000000"/>
              <w:right w:val="nil" w:sz="6" w:space="0" w:color="auto"/>
            </w:tcBorders>
          </w:tcPr>
          <w:p>
            <w:pPr/>
          </w:p>
        </w:tc>
      </w:tr>
      <w:tr>
        <w:trPr>
          <w:trHeight w:val="487" w:hRule="exact"/>
        </w:trPr>
        <w:tc>
          <w:tcPr>
            <w:tcW w:w="1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2"/>
              <w:ind w:left="12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年初余额</w:t>
            </w:r>
          </w:p>
        </w:tc>
        <w:tc>
          <w:tcPr>
            <w:tcW w:w="1481" w:type="dxa"/>
            <w:tcBorders>
              <w:top w:val="single" w:sz="2" w:space="0" w:color="000000"/>
              <w:left w:val="single" w:sz="2" w:space="0" w:color="000000"/>
              <w:bottom w:val="single" w:sz="2" w:space="0" w:color="000000"/>
              <w:right w:val="single" w:sz="2" w:space="0" w:color="000000"/>
            </w:tcBorders>
          </w:tcPr>
          <w:p>
            <w:pPr/>
          </w:p>
        </w:tc>
        <w:tc>
          <w:tcPr>
            <w:tcW w:w="1368" w:type="dxa"/>
            <w:tcBorders>
              <w:top w:val="single" w:sz="2" w:space="0" w:color="000000"/>
              <w:left w:val="single" w:sz="2" w:space="0" w:color="000000"/>
              <w:bottom w:val="single" w:sz="2" w:space="0" w:color="000000"/>
              <w:right w:val="single" w:sz="2" w:space="0" w:color="000000"/>
            </w:tcBorders>
          </w:tcPr>
          <w:p>
            <w:pPr/>
          </w:p>
        </w:tc>
        <w:tc>
          <w:tcPr>
            <w:tcW w:w="1478" w:type="dxa"/>
            <w:tcBorders>
              <w:top w:val="single" w:sz="2" w:space="0" w:color="000000"/>
              <w:left w:val="single" w:sz="2" w:space="0" w:color="000000"/>
              <w:bottom w:val="single" w:sz="2" w:space="0" w:color="000000"/>
              <w:right w:val="single" w:sz="2" w:space="0" w:color="000000"/>
            </w:tcBorders>
          </w:tcPr>
          <w:p>
            <w:pPr/>
          </w:p>
        </w:tc>
        <w:tc>
          <w:tcPr>
            <w:tcW w:w="1268" w:type="dxa"/>
            <w:tcBorders>
              <w:top w:val="single" w:sz="2" w:space="0" w:color="000000"/>
              <w:left w:val="single" w:sz="2" w:space="0" w:color="000000"/>
              <w:bottom w:val="single" w:sz="2" w:space="0" w:color="000000"/>
              <w:right w:val="single" w:sz="2" w:space="0" w:color="000000"/>
            </w:tcBorders>
          </w:tcPr>
          <w:p>
            <w:pPr/>
          </w:p>
        </w:tc>
        <w:tc>
          <w:tcPr>
            <w:tcW w:w="1267"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1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本年增加金额</w:t>
            </w:r>
          </w:p>
        </w:tc>
        <w:tc>
          <w:tcPr>
            <w:tcW w:w="1481" w:type="dxa"/>
            <w:tcBorders>
              <w:top w:val="single" w:sz="2" w:space="0" w:color="000000"/>
              <w:left w:val="single" w:sz="2" w:space="0" w:color="000000"/>
              <w:bottom w:val="single" w:sz="2" w:space="0" w:color="000000"/>
              <w:right w:val="single" w:sz="2" w:space="0" w:color="000000"/>
            </w:tcBorders>
          </w:tcPr>
          <w:p>
            <w:pPr/>
          </w:p>
        </w:tc>
        <w:tc>
          <w:tcPr>
            <w:tcW w:w="1368" w:type="dxa"/>
            <w:tcBorders>
              <w:top w:val="single" w:sz="2" w:space="0" w:color="000000"/>
              <w:left w:val="single" w:sz="2" w:space="0" w:color="000000"/>
              <w:bottom w:val="single" w:sz="2" w:space="0" w:color="000000"/>
              <w:right w:val="single" w:sz="2" w:space="0" w:color="000000"/>
            </w:tcBorders>
          </w:tcPr>
          <w:p>
            <w:pPr/>
          </w:p>
        </w:tc>
        <w:tc>
          <w:tcPr>
            <w:tcW w:w="1478" w:type="dxa"/>
            <w:tcBorders>
              <w:top w:val="single" w:sz="2" w:space="0" w:color="000000"/>
              <w:left w:val="single" w:sz="2" w:space="0" w:color="000000"/>
              <w:bottom w:val="single" w:sz="2" w:space="0" w:color="000000"/>
              <w:right w:val="single" w:sz="2" w:space="0" w:color="000000"/>
            </w:tcBorders>
          </w:tcPr>
          <w:p>
            <w:pPr/>
          </w:p>
        </w:tc>
        <w:tc>
          <w:tcPr>
            <w:tcW w:w="1268" w:type="dxa"/>
            <w:tcBorders>
              <w:top w:val="single" w:sz="2" w:space="0" w:color="000000"/>
              <w:left w:val="single" w:sz="2" w:space="0" w:color="000000"/>
              <w:bottom w:val="single" w:sz="2" w:space="0" w:color="000000"/>
              <w:right w:val="single" w:sz="2" w:space="0" w:color="000000"/>
            </w:tcBorders>
          </w:tcPr>
          <w:p>
            <w:pPr/>
          </w:p>
        </w:tc>
        <w:tc>
          <w:tcPr>
            <w:tcW w:w="1267"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1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本年减少金额</w:t>
            </w:r>
          </w:p>
        </w:tc>
        <w:tc>
          <w:tcPr>
            <w:tcW w:w="1481" w:type="dxa"/>
            <w:tcBorders>
              <w:top w:val="single" w:sz="2" w:space="0" w:color="000000"/>
              <w:left w:val="single" w:sz="2" w:space="0" w:color="000000"/>
              <w:bottom w:val="single" w:sz="2" w:space="0" w:color="000000"/>
              <w:right w:val="single" w:sz="2" w:space="0" w:color="000000"/>
            </w:tcBorders>
          </w:tcPr>
          <w:p>
            <w:pPr/>
          </w:p>
        </w:tc>
        <w:tc>
          <w:tcPr>
            <w:tcW w:w="1368" w:type="dxa"/>
            <w:tcBorders>
              <w:top w:val="single" w:sz="2" w:space="0" w:color="000000"/>
              <w:left w:val="single" w:sz="2" w:space="0" w:color="000000"/>
              <w:bottom w:val="single" w:sz="2" w:space="0" w:color="000000"/>
              <w:right w:val="single" w:sz="2" w:space="0" w:color="000000"/>
            </w:tcBorders>
          </w:tcPr>
          <w:p>
            <w:pPr/>
          </w:p>
        </w:tc>
        <w:tc>
          <w:tcPr>
            <w:tcW w:w="1478" w:type="dxa"/>
            <w:tcBorders>
              <w:top w:val="single" w:sz="2" w:space="0" w:color="000000"/>
              <w:left w:val="single" w:sz="2" w:space="0" w:color="000000"/>
              <w:bottom w:val="single" w:sz="2" w:space="0" w:color="000000"/>
              <w:right w:val="single" w:sz="2" w:space="0" w:color="000000"/>
            </w:tcBorders>
          </w:tcPr>
          <w:p>
            <w:pPr/>
          </w:p>
        </w:tc>
        <w:tc>
          <w:tcPr>
            <w:tcW w:w="1268" w:type="dxa"/>
            <w:tcBorders>
              <w:top w:val="single" w:sz="2" w:space="0" w:color="000000"/>
              <w:left w:val="single" w:sz="2" w:space="0" w:color="000000"/>
              <w:bottom w:val="single" w:sz="2" w:space="0" w:color="000000"/>
              <w:right w:val="single" w:sz="2" w:space="0" w:color="000000"/>
            </w:tcBorders>
          </w:tcPr>
          <w:p>
            <w:pPr/>
          </w:p>
        </w:tc>
        <w:tc>
          <w:tcPr>
            <w:tcW w:w="1267"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1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年末余额</w:t>
            </w:r>
          </w:p>
        </w:tc>
        <w:tc>
          <w:tcPr>
            <w:tcW w:w="1481" w:type="dxa"/>
            <w:tcBorders>
              <w:top w:val="single" w:sz="2" w:space="0" w:color="000000"/>
              <w:left w:val="single" w:sz="2" w:space="0" w:color="000000"/>
              <w:bottom w:val="single" w:sz="2" w:space="0" w:color="000000"/>
              <w:right w:val="single" w:sz="2" w:space="0" w:color="000000"/>
            </w:tcBorders>
          </w:tcPr>
          <w:p>
            <w:pPr/>
          </w:p>
        </w:tc>
        <w:tc>
          <w:tcPr>
            <w:tcW w:w="1368" w:type="dxa"/>
            <w:tcBorders>
              <w:top w:val="single" w:sz="2" w:space="0" w:color="000000"/>
              <w:left w:val="single" w:sz="2" w:space="0" w:color="000000"/>
              <w:bottom w:val="single" w:sz="2" w:space="0" w:color="000000"/>
              <w:right w:val="single" w:sz="2" w:space="0" w:color="000000"/>
            </w:tcBorders>
          </w:tcPr>
          <w:p>
            <w:pPr/>
          </w:p>
        </w:tc>
        <w:tc>
          <w:tcPr>
            <w:tcW w:w="1478" w:type="dxa"/>
            <w:tcBorders>
              <w:top w:val="single" w:sz="2" w:space="0" w:color="000000"/>
              <w:left w:val="single" w:sz="2" w:space="0" w:color="000000"/>
              <w:bottom w:val="single" w:sz="2" w:space="0" w:color="000000"/>
              <w:right w:val="single" w:sz="2" w:space="0" w:color="000000"/>
            </w:tcBorders>
          </w:tcPr>
          <w:p>
            <w:pPr/>
          </w:p>
        </w:tc>
        <w:tc>
          <w:tcPr>
            <w:tcW w:w="1268" w:type="dxa"/>
            <w:tcBorders>
              <w:top w:val="single" w:sz="2" w:space="0" w:color="000000"/>
              <w:left w:val="single" w:sz="2" w:space="0" w:color="000000"/>
              <w:bottom w:val="single" w:sz="2" w:space="0" w:color="000000"/>
              <w:right w:val="single" w:sz="2" w:space="0" w:color="000000"/>
            </w:tcBorders>
          </w:tcPr>
          <w:p>
            <w:pPr/>
          </w:p>
        </w:tc>
        <w:tc>
          <w:tcPr>
            <w:tcW w:w="1267"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18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0"/>
              <w:ind w:left="1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81" w:type="dxa"/>
            <w:tcBorders>
              <w:top w:val="single" w:sz="2" w:space="0" w:color="000000"/>
              <w:left w:val="single" w:sz="2" w:space="0" w:color="000000"/>
              <w:bottom w:val="single" w:sz="2" w:space="0" w:color="000000"/>
              <w:right w:val="single" w:sz="2" w:space="0" w:color="000000"/>
            </w:tcBorders>
          </w:tcPr>
          <w:p>
            <w:pPr/>
          </w:p>
        </w:tc>
        <w:tc>
          <w:tcPr>
            <w:tcW w:w="1368" w:type="dxa"/>
            <w:tcBorders>
              <w:top w:val="single" w:sz="2" w:space="0" w:color="000000"/>
              <w:left w:val="single" w:sz="2" w:space="0" w:color="000000"/>
              <w:bottom w:val="single" w:sz="2" w:space="0" w:color="000000"/>
              <w:right w:val="single" w:sz="2" w:space="0" w:color="000000"/>
            </w:tcBorders>
          </w:tcPr>
          <w:p>
            <w:pPr/>
          </w:p>
        </w:tc>
        <w:tc>
          <w:tcPr>
            <w:tcW w:w="1478" w:type="dxa"/>
            <w:tcBorders>
              <w:top w:val="single" w:sz="2" w:space="0" w:color="000000"/>
              <w:left w:val="single" w:sz="2" w:space="0" w:color="000000"/>
              <w:bottom w:val="single" w:sz="2" w:space="0" w:color="000000"/>
              <w:right w:val="single" w:sz="2" w:space="0" w:color="000000"/>
            </w:tcBorders>
          </w:tcPr>
          <w:p>
            <w:pPr/>
          </w:p>
        </w:tc>
        <w:tc>
          <w:tcPr>
            <w:tcW w:w="1268" w:type="dxa"/>
            <w:tcBorders>
              <w:top w:val="single" w:sz="2" w:space="0" w:color="000000"/>
              <w:left w:val="single" w:sz="2" w:space="0" w:color="000000"/>
              <w:bottom w:val="single" w:sz="2" w:space="0" w:color="000000"/>
              <w:right w:val="single" w:sz="2" w:space="0" w:color="000000"/>
            </w:tcBorders>
          </w:tcPr>
          <w:p>
            <w:pPr/>
          </w:p>
        </w:tc>
        <w:tc>
          <w:tcPr>
            <w:tcW w:w="1267" w:type="dxa"/>
            <w:tcBorders>
              <w:top w:val="single" w:sz="2" w:space="0" w:color="000000"/>
              <w:left w:val="single" w:sz="2" w:space="0" w:color="000000"/>
              <w:bottom w:val="single" w:sz="2" w:space="0" w:color="000000"/>
              <w:right w:val="nil" w:sz="6" w:space="0" w:color="auto"/>
            </w:tcBorders>
          </w:tcPr>
          <w:p>
            <w:pPr/>
          </w:p>
        </w:tc>
      </w:tr>
      <w:tr>
        <w:trPr>
          <w:trHeight w:val="497" w:hRule="exact"/>
        </w:trPr>
        <w:tc>
          <w:tcPr>
            <w:tcW w:w="187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年末账面价值</w:t>
            </w:r>
          </w:p>
        </w:tc>
        <w:tc>
          <w:tcPr>
            <w:tcW w:w="148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61,532,791.69</w:t>
            </w:r>
          </w:p>
        </w:tc>
        <w:tc>
          <w:tcPr>
            <w:tcW w:w="13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1,530,031.86</w:t>
            </w:r>
          </w:p>
        </w:tc>
        <w:tc>
          <w:tcPr>
            <w:tcW w:w="14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2,971,798.93</w:t>
            </w:r>
          </w:p>
        </w:tc>
        <w:tc>
          <w:tcPr>
            <w:tcW w:w="12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2,780.00</w:t>
            </w:r>
          </w:p>
        </w:tc>
        <w:tc>
          <w:tcPr>
            <w:tcW w:w="126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2,697.43</w:t>
            </w:r>
          </w:p>
        </w:tc>
      </w:tr>
    </w:tbl>
    <w:p>
      <w:pPr>
        <w:spacing w:after="0" w:line="240" w:lineRule="auto"/>
        <w:jc w:val="right"/>
        <w:rPr>
          <w:rFonts w:ascii="Arial" w:hAnsi="Arial" w:cs="Arial" w:eastAsia="Arial"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580" w:type="dxa"/>
        <w:tblLayout w:type="fixed"/>
        <w:tblCellMar>
          <w:top w:w="0" w:type="dxa"/>
          <w:left w:w="0" w:type="dxa"/>
          <w:bottom w:w="0" w:type="dxa"/>
          <w:right w:w="0" w:type="dxa"/>
        </w:tblCellMar>
        <w:tblLook w:val="01E0"/>
      </w:tblPr>
      <w:tblGrid>
        <w:gridCol w:w="1877"/>
        <w:gridCol w:w="1481"/>
        <w:gridCol w:w="1368"/>
        <w:gridCol w:w="1478"/>
        <w:gridCol w:w="1268"/>
        <w:gridCol w:w="1267"/>
      </w:tblGrid>
      <w:tr>
        <w:trPr>
          <w:trHeight w:val="723" w:hRule="exact"/>
        </w:trPr>
        <w:tc>
          <w:tcPr>
            <w:tcW w:w="187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6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14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268" w:type="dxa"/>
            <w:tcBorders>
              <w:top w:val="single" w:sz="12" w:space="0" w:color="000000"/>
              <w:left w:val="single" w:sz="2" w:space="0" w:color="000000"/>
              <w:bottom w:val="single" w:sz="2" w:space="0" w:color="000000"/>
              <w:right w:val="single" w:sz="2" w:space="0" w:color="000000"/>
            </w:tcBorders>
          </w:tcPr>
          <w:p>
            <w:pPr>
              <w:pStyle w:val="TableParagraph"/>
              <w:spacing w:line="314" w:lineRule="auto" w:before="51"/>
              <w:ind w:left="540" w:right="182" w:hanging="360"/>
              <w:jc w:val="left"/>
              <w:rPr>
                <w:rFonts w:ascii="宋体" w:hAnsi="宋体" w:cs="宋体" w:eastAsia="宋体" w:hint="default"/>
                <w:sz w:val="18"/>
                <w:szCs w:val="18"/>
              </w:rPr>
            </w:pPr>
            <w:r>
              <w:rPr>
                <w:rFonts w:ascii="宋体" w:hAnsi="宋体" w:cs="宋体" w:eastAsia="宋体" w:hint="default"/>
                <w:sz w:val="18"/>
                <w:szCs w:val="18"/>
              </w:rPr>
              <w:t>装卸机械设 备</w:t>
            </w:r>
          </w:p>
        </w:tc>
        <w:tc>
          <w:tcPr>
            <w:tcW w:w="1267" w:type="dxa"/>
            <w:tcBorders>
              <w:top w:val="single" w:sz="12" w:space="0" w:color="000000"/>
              <w:left w:val="single" w:sz="2" w:space="0" w:color="000000"/>
              <w:bottom w:val="single" w:sz="2" w:space="0" w:color="000000"/>
              <w:right w:val="nil" w:sz="6" w:space="0" w:color="auto"/>
            </w:tcBorders>
          </w:tcPr>
          <w:p>
            <w:pPr>
              <w:pStyle w:val="TableParagraph"/>
              <w:spacing w:line="314" w:lineRule="auto" w:before="51"/>
              <w:ind w:left="273" w:right="180" w:hanging="92"/>
              <w:jc w:val="left"/>
              <w:rPr>
                <w:rFonts w:ascii="宋体" w:hAnsi="宋体" w:cs="宋体" w:eastAsia="宋体" w:hint="default"/>
                <w:sz w:val="18"/>
                <w:szCs w:val="18"/>
              </w:rPr>
            </w:pPr>
            <w:r>
              <w:rPr>
                <w:rFonts w:ascii="宋体" w:hAnsi="宋体" w:cs="宋体" w:eastAsia="宋体" w:hint="default"/>
                <w:sz w:val="18"/>
                <w:szCs w:val="18"/>
              </w:rPr>
              <w:t>通讯及导航 设施设备</w:t>
            </w:r>
          </w:p>
        </w:tc>
      </w:tr>
      <w:tr>
        <w:trPr>
          <w:trHeight w:val="497" w:hRule="exact"/>
        </w:trPr>
        <w:tc>
          <w:tcPr>
            <w:tcW w:w="187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年初账面价值</w:t>
            </w:r>
          </w:p>
        </w:tc>
        <w:tc>
          <w:tcPr>
            <w:tcW w:w="148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35" w:right="0"/>
              <w:jc w:val="left"/>
              <w:rPr>
                <w:rFonts w:ascii="Arial" w:hAnsi="Arial" w:cs="Arial" w:eastAsia="Arial" w:hint="default"/>
                <w:sz w:val="18"/>
                <w:szCs w:val="18"/>
              </w:rPr>
            </w:pPr>
            <w:r>
              <w:rPr>
                <w:rFonts w:ascii="Arial"/>
                <w:sz w:val="18"/>
              </w:rPr>
              <w:t>50</w:t>
            </w:r>
            <w:r>
              <w:rPr>
                <w:rFonts w:ascii="Times New Roman"/>
                <w:sz w:val="18"/>
              </w:rPr>
              <w:t>,</w:t>
            </w:r>
            <w:r>
              <w:rPr>
                <w:rFonts w:ascii="Arial"/>
                <w:sz w:val="18"/>
              </w:rPr>
              <w:t>683</w:t>
            </w:r>
            <w:r>
              <w:rPr>
                <w:rFonts w:ascii="Times New Roman"/>
                <w:sz w:val="18"/>
              </w:rPr>
              <w:t>,</w:t>
            </w:r>
            <w:r>
              <w:rPr>
                <w:rFonts w:ascii="Arial"/>
                <w:sz w:val="18"/>
              </w:rPr>
              <w:t>257</w:t>
            </w:r>
            <w:r>
              <w:rPr>
                <w:rFonts w:ascii="Times New Roman"/>
                <w:sz w:val="18"/>
              </w:rPr>
              <w:t>.</w:t>
            </w:r>
            <w:r>
              <w:rPr>
                <w:rFonts w:ascii="Arial"/>
                <w:sz w:val="18"/>
              </w:rPr>
              <w:t>52</w:t>
            </w:r>
          </w:p>
        </w:tc>
        <w:tc>
          <w:tcPr>
            <w:tcW w:w="13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17" w:right="0"/>
              <w:jc w:val="center"/>
              <w:rPr>
                <w:rFonts w:ascii="Arial" w:hAnsi="Arial" w:cs="Arial" w:eastAsia="Arial" w:hint="default"/>
                <w:sz w:val="18"/>
                <w:szCs w:val="18"/>
              </w:rPr>
            </w:pPr>
            <w:r>
              <w:rPr>
                <w:rFonts w:ascii="Arial"/>
                <w:sz w:val="18"/>
              </w:rPr>
              <w:t>1</w:t>
            </w:r>
            <w:r>
              <w:rPr>
                <w:rFonts w:ascii="Times New Roman"/>
                <w:sz w:val="18"/>
              </w:rPr>
              <w:t>,</w:t>
            </w:r>
            <w:r>
              <w:rPr>
                <w:rFonts w:ascii="Arial"/>
                <w:sz w:val="18"/>
              </w:rPr>
              <w:t>184</w:t>
            </w:r>
            <w:r>
              <w:rPr>
                <w:rFonts w:ascii="Times New Roman"/>
                <w:sz w:val="18"/>
              </w:rPr>
              <w:t>,</w:t>
            </w:r>
            <w:r>
              <w:rPr>
                <w:rFonts w:ascii="Arial"/>
                <w:sz w:val="18"/>
              </w:rPr>
              <w:t>019</w:t>
            </w:r>
            <w:r>
              <w:rPr>
                <w:rFonts w:ascii="Times New Roman"/>
                <w:sz w:val="18"/>
              </w:rPr>
              <w:t>.</w:t>
            </w:r>
            <w:r>
              <w:rPr>
                <w:rFonts w:ascii="Arial"/>
                <w:sz w:val="18"/>
              </w:rPr>
              <w:t>71</w:t>
            </w:r>
          </w:p>
        </w:tc>
        <w:tc>
          <w:tcPr>
            <w:tcW w:w="14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31" w:right="0"/>
              <w:jc w:val="left"/>
              <w:rPr>
                <w:rFonts w:ascii="Arial" w:hAnsi="Arial" w:cs="Arial" w:eastAsia="Arial" w:hint="default"/>
                <w:sz w:val="18"/>
                <w:szCs w:val="18"/>
              </w:rPr>
            </w:pPr>
            <w:r>
              <w:rPr>
                <w:rFonts w:ascii="Arial"/>
                <w:sz w:val="18"/>
              </w:rPr>
              <w:t>5</w:t>
            </w:r>
            <w:r>
              <w:rPr>
                <w:rFonts w:ascii="Times New Roman"/>
                <w:sz w:val="18"/>
              </w:rPr>
              <w:t>,</w:t>
            </w:r>
            <w:r>
              <w:rPr>
                <w:rFonts w:ascii="Arial"/>
                <w:sz w:val="18"/>
              </w:rPr>
              <w:t>809</w:t>
            </w:r>
            <w:r>
              <w:rPr>
                <w:rFonts w:ascii="Times New Roman"/>
                <w:sz w:val="18"/>
              </w:rPr>
              <w:t>,</w:t>
            </w:r>
            <w:r>
              <w:rPr>
                <w:rFonts w:ascii="Arial"/>
                <w:sz w:val="18"/>
              </w:rPr>
              <w:t>090</w:t>
            </w:r>
            <w:r>
              <w:rPr>
                <w:rFonts w:ascii="Times New Roman"/>
                <w:sz w:val="18"/>
              </w:rPr>
              <w:t>.</w:t>
            </w:r>
            <w:r>
              <w:rPr>
                <w:rFonts w:ascii="Arial"/>
                <w:sz w:val="18"/>
              </w:rPr>
              <w:t>38</w:t>
            </w:r>
          </w:p>
        </w:tc>
        <w:tc>
          <w:tcPr>
            <w:tcW w:w="12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65" w:right="0"/>
              <w:jc w:val="left"/>
              <w:rPr>
                <w:rFonts w:ascii="Arial" w:hAnsi="Arial" w:cs="Arial" w:eastAsia="Arial" w:hint="default"/>
                <w:sz w:val="18"/>
                <w:szCs w:val="18"/>
              </w:rPr>
            </w:pPr>
            <w:r>
              <w:rPr>
                <w:rFonts w:ascii="Arial"/>
                <w:sz w:val="18"/>
              </w:rPr>
              <w:t>2</w:t>
            </w:r>
            <w:r>
              <w:rPr>
                <w:rFonts w:ascii="Times New Roman"/>
                <w:sz w:val="18"/>
              </w:rPr>
              <w:t>,</w:t>
            </w:r>
            <w:r>
              <w:rPr>
                <w:rFonts w:ascii="Arial"/>
                <w:sz w:val="18"/>
              </w:rPr>
              <w:t>780</w:t>
            </w:r>
            <w:r>
              <w:rPr>
                <w:rFonts w:ascii="Times New Roman"/>
                <w:sz w:val="18"/>
              </w:rPr>
              <w:t>.</w:t>
            </w:r>
            <w:r>
              <w:rPr>
                <w:rFonts w:ascii="Arial"/>
                <w:sz w:val="18"/>
              </w:rPr>
              <w:t>00</w:t>
            </w:r>
          </w:p>
        </w:tc>
        <w:tc>
          <w:tcPr>
            <w:tcW w:w="126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68" w:right="0"/>
              <w:jc w:val="left"/>
              <w:rPr>
                <w:rFonts w:ascii="Arial" w:hAnsi="Arial" w:cs="Arial" w:eastAsia="Arial" w:hint="default"/>
                <w:sz w:val="18"/>
                <w:szCs w:val="18"/>
              </w:rPr>
            </w:pPr>
            <w:r>
              <w:rPr>
                <w:rFonts w:ascii="Arial"/>
                <w:sz w:val="18"/>
              </w:rPr>
              <w:t>2</w:t>
            </w:r>
            <w:r>
              <w:rPr>
                <w:rFonts w:ascii="Times New Roman"/>
                <w:sz w:val="18"/>
              </w:rPr>
              <w:t>,</w:t>
            </w:r>
            <w:r>
              <w:rPr>
                <w:rFonts w:ascii="Arial"/>
                <w:sz w:val="18"/>
              </w:rPr>
              <w:t>697</w:t>
            </w:r>
            <w:r>
              <w:rPr>
                <w:rFonts w:ascii="Times New Roman"/>
                <w:sz w:val="18"/>
              </w:rPr>
              <w:t>.</w:t>
            </w:r>
            <w:r>
              <w:rPr>
                <w:rFonts w:ascii="Arial"/>
                <w:sz w:val="18"/>
              </w:rPr>
              <w:t>43</w:t>
            </w:r>
          </w:p>
        </w:tc>
      </w:tr>
    </w:tbl>
    <w:p>
      <w:pPr>
        <w:spacing w:line="240" w:lineRule="auto" w:before="5"/>
        <w:rPr>
          <w:rFonts w:ascii="宋体" w:hAnsi="宋体" w:cs="宋体" w:eastAsia="宋体" w:hint="default"/>
          <w:sz w:val="5"/>
          <w:szCs w:val="5"/>
        </w:rPr>
      </w:pPr>
    </w:p>
    <w:p>
      <w:pPr>
        <w:pStyle w:val="BodyText"/>
        <w:spacing w:line="240" w:lineRule="auto" w:before="32"/>
        <w:ind w:left="592" w:right="1133"/>
        <w:jc w:val="left"/>
      </w:pPr>
      <w:r>
        <w:rPr/>
        <w:t>（续）</w:t>
      </w:r>
    </w:p>
    <w:p>
      <w:pPr>
        <w:spacing w:line="240" w:lineRule="auto" w:before="11"/>
        <w:rPr>
          <w:rFonts w:ascii="宋体" w:hAnsi="宋体" w:cs="宋体" w:eastAsia="宋体" w:hint="default"/>
          <w:sz w:val="6"/>
          <w:szCs w:val="6"/>
        </w:rPr>
      </w:pPr>
    </w:p>
    <w:tbl>
      <w:tblPr>
        <w:tblW w:w="0" w:type="auto"/>
        <w:jc w:val="left"/>
        <w:tblInd w:w="580" w:type="dxa"/>
        <w:tblLayout w:type="fixed"/>
        <w:tblCellMar>
          <w:top w:w="0" w:type="dxa"/>
          <w:left w:w="0" w:type="dxa"/>
          <w:bottom w:w="0" w:type="dxa"/>
          <w:right w:w="0" w:type="dxa"/>
        </w:tblCellMar>
        <w:tblLook w:val="01E0"/>
      </w:tblPr>
      <w:tblGrid>
        <w:gridCol w:w="1958"/>
        <w:gridCol w:w="1695"/>
        <w:gridCol w:w="1697"/>
        <w:gridCol w:w="1694"/>
        <w:gridCol w:w="1695"/>
      </w:tblGrid>
      <w:tr>
        <w:trPr>
          <w:trHeight w:val="722" w:hRule="exact"/>
        </w:trPr>
        <w:tc>
          <w:tcPr>
            <w:tcW w:w="195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9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697" w:type="dxa"/>
            <w:tcBorders>
              <w:top w:val="single" w:sz="12" w:space="0" w:color="000000"/>
              <w:left w:val="single" w:sz="2" w:space="0" w:color="000000"/>
              <w:bottom w:val="single" w:sz="2" w:space="0" w:color="000000"/>
              <w:right w:val="single" w:sz="2" w:space="0" w:color="000000"/>
            </w:tcBorders>
          </w:tcPr>
          <w:p>
            <w:pPr>
              <w:pStyle w:val="TableParagraph"/>
              <w:spacing w:line="316" w:lineRule="auto" w:before="51"/>
              <w:ind w:left="484" w:right="125" w:hanging="360"/>
              <w:jc w:val="left"/>
              <w:rPr>
                <w:rFonts w:ascii="宋体" w:hAnsi="宋体" w:cs="宋体" w:eastAsia="宋体" w:hint="default"/>
                <w:sz w:val="18"/>
                <w:szCs w:val="18"/>
              </w:rPr>
            </w:pPr>
            <w:r>
              <w:rPr>
                <w:rFonts w:ascii="宋体" w:hAnsi="宋体" w:cs="宋体" w:eastAsia="宋体" w:hint="default"/>
                <w:sz w:val="18"/>
                <w:szCs w:val="18"/>
              </w:rPr>
              <w:t>供电、供水、供汽 设施设备</w:t>
            </w:r>
          </w:p>
        </w:tc>
        <w:tc>
          <w:tcPr>
            <w:tcW w:w="169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专用设施设备</w:t>
            </w:r>
          </w:p>
        </w:tc>
        <w:tc>
          <w:tcPr>
            <w:tcW w:w="169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85" w:hRule="exact"/>
        </w:trPr>
        <w:tc>
          <w:tcPr>
            <w:tcW w:w="1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95" w:type="dxa"/>
            <w:tcBorders>
              <w:top w:val="single" w:sz="2" w:space="0" w:color="000000"/>
              <w:left w:val="single" w:sz="2" w:space="0" w:color="000000"/>
              <w:bottom w:val="single" w:sz="2" w:space="0" w:color="000000"/>
              <w:right w:val="single" w:sz="2" w:space="0" w:color="000000"/>
            </w:tcBorders>
          </w:tcPr>
          <w:p>
            <w:pPr/>
          </w:p>
        </w:tc>
        <w:tc>
          <w:tcPr>
            <w:tcW w:w="1697" w:type="dxa"/>
            <w:tcBorders>
              <w:top w:val="single" w:sz="2" w:space="0" w:color="000000"/>
              <w:left w:val="single" w:sz="2" w:space="0" w:color="000000"/>
              <w:bottom w:val="single" w:sz="2" w:space="0" w:color="000000"/>
              <w:right w:val="single" w:sz="2" w:space="0" w:color="000000"/>
            </w:tcBorders>
          </w:tcPr>
          <w:p>
            <w:pPr/>
          </w:p>
        </w:tc>
        <w:tc>
          <w:tcPr>
            <w:tcW w:w="1694" w:type="dxa"/>
            <w:tcBorders>
              <w:top w:val="single" w:sz="2" w:space="0" w:color="000000"/>
              <w:left w:val="single" w:sz="2" w:space="0" w:color="000000"/>
              <w:bottom w:val="single" w:sz="2" w:space="0" w:color="000000"/>
              <w:right w:val="single" w:sz="2" w:space="0" w:color="000000"/>
            </w:tcBorders>
          </w:tcPr>
          <w:p>
            <w:pPr/>
          </w:p>
        </w:tc>
        <w:tc>
          <w:tcPr>
            <w:tcW w:w="1695"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1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年初余额</w:t>
            </w:r>
          </w:p>
        </w:tc>
        <w:tc>
          <w:tcPr>
            <w:tcW w:w="16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18"/>
                <w:szCs w:val="18"/>
              </w:rPr>
            </w:pPr>
            <w:r>
              <w:rPr>
                <w:rFonts w:ascii="Arial"/>
                <w:spacing w:val="-1"/>
                <w:sz w:val="18"/>
              </w:rPr>
              <w:t>144</w:t>
            </w:r>
            <w:r>
              <w:rPr>
                <w:rFonts w:ascii="Times New Roman"/>
                <w:spacing w:val="-1"/>
                <w:sz w:val="18"/>
              </w:rPr>
              <w:t>,</w:t>
            </w:r>
            <w:r>
              <w:rPr>
                <w:rFonts w:ascii="Arial"/>
                <w:spacing w:val="-1"/>
                <w:sz w:val="18"/>
              </w:rPr>
              <w:t>636</w:t>
            </w:r>
            <w:r>
              <w:rPr>
                <w:rFonts w:ascii="Times New Roman"/>
                <w:spacing w:val="-1"/>
                <w:sz w:val="18"/>
              </w:rPr>
              <w:t>,</w:t>
            </w:r>
            <w:r>
              <w:rPr>
                <w:rFonts w:ascii="Arial"/>
                <w:spacing w:val="-1"/>
                <w:sz w:val="18"/>
              </w:rPr>
              <w:t>525</w:t>
            </w:r>
            <w:r>
              <w:rPr>
                <w:rFonts w:ascii="Times New Roman"/>
                <w:spacing w:val="-1"/>
                <w:sz w:val="18"/>
              </w:rPr>
              <w:t>.</w:t>
            </w:r>
            <w:r>
              <w:rPr>
                <w:rFonts w:ascii="Arial"/>
                <w:spacing w:val="-1"/>
                <w:sz w:val="18"/>
              </w:rPr>
              <w:t>15</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4</w:t>
            </w:r>
            <w:r>
              <w:rPr>
                <w:rFonts w:ascii="Times New Roman"/>
                <w:spacing w:val="-1"/>
                <w:sz w:val="18"/>
              </w:rPr>
              <w:t>,</w:t>
            </w:r>
            <w:r>
              <w:rPr>
                <w:rFonts w:ascii="Arial"/>
                <w:spacing w:val="-1"/>
                <w:sz w:val="18"/>
              </w:rPr>
              <w:t>509</w:t>
            </w:r>
            <w:r>
              <w:rPr>
                <w:rFonts w:ascii="Times New Roman"/>
                <w:spacing w:val="-1"/>
                <w:sz w:val="18"/>
              </w:rPr>
              <w:t>,</w:t>
            </w:r>
            <w:r>
              <w:rPr>
                <w:rFonts w:ascii="Arial"/>
                <w:spacing w:val="-1"/>
                <w:sz w:val="18"/>
              </w:rPr>
              <w:t>858</w:t>
            </w:r>
            <w:r>
              <w:rPr>
                <w:rFonts w:ascii="Times New Roman"/>
                <w:spacing w:val="-1"/>
                <w:sz w:val="18"/>
              </w:rPr>
              <w:t>.</w:t>
            </w:r>
            <w:r>
              <w:rPr>
                <w:rFonts w:ascii="Arial"/>
                <w:spacing w:val="-1"/>
                <w:sz w:val="18"/>
              </w:rPr>
              <w:t>12</w:t>
            </w:r>
          </w:p>
        </w:tc>
        <w:tc>
          <w:tcPr>
            <w:tcW w:w="1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917</w:t>
            </w:r>
            <w:r>
              <w:rPr>
                <w:rFonts w:ascii="Times New Roman"/>
                <w:spacing w:val="-1"/>
                <w:sz w:val="18"/>
              </w:rPr>
              <w:t>,</w:t>
            </w:r>
            <w:r>
              <w:rPr>
                <w:rFonts w:ascii="Arial"/>
                <w:spacing w:val="-1"/>
                <w:sz w:val="18"/>
              </w:rPr>
              <w:t>000</w:t>
            </w:r>
            <w:r>
              <w:rPr>
                <w:rFonts w:ascii="Times New Roman"/>
                <w:spacing w:val="-1"/>
                <w:sz w:val="18"/>
              </w:rPr>
              <w:t>.</w:t>
            </w:r>
            <w:r>
              <w:rPr>
                <w:rFonts w:ascii="Arial"/>
                <w:spacing w:val="-1"/>
                <w:sz w:val="18"/>
              </w:rPr>
              <w:t>00</w:t>
            </w:r>
            <w:r>
              <w:rPr>
                <w:rFonts w:ascii="Arial"/>
                <w:sz w:val="18"/>
              </w:rPr>
            </w:r>
          </w:p>
        </w:tc>
        <w:tc>
          <w:tcPr>
            <w:tcW w:w="16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236</w:t>
            </w:r>
            <w:r>
              <w:rPr>
                <w:rFonts w:ascii="Times New Roman"/>
                <w:spacing w:val="-1"/>
                <w:sz w:val="18"/>
              </w:rPr>
              <w:t>,</w:t>
            </w:r>
            <w:r>
              <w:rPr>
                <w:rFonts w:ascii="Arial"/>
                <w:spacing w:val="-1"/>
                <w:sz w:val="18"/>
              </w:rPr>
              <w:t>597</w:t>
            </w:r>
            <w:r>
              <w:rPr>
                <w:rFonts w:ascii="Times New Roman"/>
                <w:spacing w:val="-1"/>
                <w:sz w:val="18"/>
              </w:rPr>
              <w:t>,</w:t>
            </w:r>
            <w:r>
              <w:rPr>
                <w:rFonts w:ascii="Arial"/>
                <w:spacing w:val="-1"/>
                <w:sz w:val="18"/>
              </w:rPr>
              <w:t>466</w:t>
            </w:r>
            <w:r>
              <w:rPr>
                <w:rFonts w:ascii="Times New Roman"/>
                <w:spacing w:val="-1"/>
                <w:sz w:val="18"/>
              </w:rPr>
              <w:t>.</w:t>
            </w:r>
            <w:r>
              <w:rPr>
                <w:rFonts w:ascii="Arial"/>
                <w:spacing w:val="-1"/>
                <w:sz w:val="18"/>
              </w:rPr>
              <w:t>95</w:t>
            </w:r>
          </w:p>
        </w:tc>
      </w:tr>
      <w:tr>
        <w:trPr>
          <w:trHeight w:val="485" w:hRule="exact"/>
        </w:trPr>
        <w:tc>
          <w:tcPr>
            <w:tcW w:w="1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本年增加金额</w:t>
            </w:r>
          </w:p>
        </w:tc>
        <w:tc>
          <w:tcPr>
            <w:tcW w:w="16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8,807,094.44</w:t>
            </w:r>
          </w:p>
        </w:tc>
        <w:tc>
          <w:tcPr>
            <w:tcW w:w="1697" w:type="dxa"/>
            <w:tcBorders>
              <w:top w:val="single" w:sz="2" w:space="0" w:color="000000"/>
              <w:left w:val="single" w:sz="2" w:space="0" w:color="000000"/>
              <w:bottom w:val="single" w:sz="2" w:space="0" w:color="000000"/>
              <w:right w:val="single" w:sz="2" w:space="0" w:color="000000"/>
            </w:tcBorders>
          </w:tcPr>
          <w:p>
            <w:pPr/>
          </w:p>
        </w:tc>
        <w:tc>
          <w:tcPr>
            <w:tcW w:w="1694" w:type="dxa"/>
            <w:tcBorders>
              <w:top w:val="single" w:sz="2" w:space="0" w:color="000000"/>
              <w:left w:val="single" w:sz="2" w:space="0" w:color="000000"/>
              <w:bottom w:val="single" w:sz="2" w:space="0" w:color="000000"/>
              <w:right w:val="single" w:sz="2" w:space="0" w:color="000000"/>
            </w:tcBorders>
          </w:tcPr>
          <w:p>
            <w:pPr/>
          </w:p>
        </w:tc>
        <w:tc>
          <w:tcPr>
            <w:tcW w:w="16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22,562,512.72</w:t>
            </w:r>
          </w:p>
        </w:tc>
      </w:tr>
      <w:tr>
        <w:trPr>
          <w:trHeight w:val="487" w:hRule="exact"/>
        </w:trPr>
        <w:tc>
          <w:tcPr>
            <w:tcW w:w="1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2"/>
              <w:ind w:left="124"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）购置</w:t>
            </w:r>
          </w:p>
        </w:tc>
        <w:tc>
          <w:tcPr>
            <w:tcW w:w="16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2,536,536.40</w:t>
            </w:r>
          </w:p>
        </w:tc>
        <w:tc>
          <w:tcPr>
            <w:tcW w:w="1697" w:type="dxa"/>
            <w:tcBorders>
              <w:top w:val="single" w:sz="2" w:space="0" w:color="000000"/>
              <w:left w:val="single" w:sz="2" w:space="0" w:color="000000"/>
              <w:bottom w:val="single" w:sz="2" w:space="0" w:color="000000"/>
              <w:right w:val="single" w:sz="2" w:space="0" w:color="000000"/>
            </w:tcBorders>
          </w:tcPr>
          <w:p>
            <w:pPr/>
          </w:p>
        </w:tc>
        <w:tc>
          <w:tcPr>
            <w:tcW w:w="1694" w:type="dxa"/>
            <w:tcBorders>
              <w:top w:val="single" w:sz="2" w:space="0" w:color="000000"/>
              <w:left w:val="single" w:sz="2" w:space="0" w:color="000000"/>
              <w:bottom w:val="single" w:sz="2" w:space="0" w:color="000000"/>
              <w:right w:val="single" w:sz="2" w:space="0" w:color="000000"/>
            </w:tcBorders>
          </w:tcPr>
          <w:p>
            <w:pPr/>
          </w:p>
        </w:tc>
        <w:tc>
          <w:tcPr>
            <w:tcW w:w="16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3,656,934.53</w:t>
            </w:r>
          </w:p>
        </w:tc>
      </w:tr>
      <w:tr>
        <w:trPr>
          <w:trHeight w:val="485" w:hRule="exact"/>
        </w:trPr>
        <w:tc>
          <w:tcPr>
            <w:tcW w:w="1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2</w:t>
            </w:r>
            <w:r>
              <w:rPr>
                <w:rFonts w:ascii="宋体" w:hAnsi="宋体" w:cs="宋体" w:eastAsia="宋体" w:hint="default"/>
                <w:sz w:val="18"/>
                <w:szCs w:val="18"/>
              </w:rPr>
              <w:t>）在建工程转入</w:t>
            </w:r>
          </w:p>
        </w:tc>
        <w:tc>
          <w:tcPr>
            <w:tcW w:w="16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6,270,558.04</w:t>
            </w:r>
          </w:p>
        </w:tc>
        <w:tc>
          <w:tcPr>
            <w:tcW w:w="1697" w:type="dxa"/>
            <w:tcBorders>
              <w:top w:val="single" w:sz="2" w:space="0" w:color="000000"/>
              <w:left w:val="single" w:sz="2" w:space="0" w:color="000000"/>
              <w:bottom w:val="single" w:sz="2" w:space="0" w:color="000000"/>
              <w:right w:val="single" w:sz="2" w:space="0" w:color="000000"/>
            </w:tcBorders>
          </w:tcPr>
          <w:p>
            <w:pPr/>
          </w:p>
        </w:tc>
        <w:tc>
          <w:tcPr>
            <w:tcW w:w="1694" w:type="dxa"/>
            <w:tcBorders>
              <w:top w:val="single" w:sz="2" w:space="0" w:color="000000"/>
              <w:left w:val="single" w:sz="2" w:space="0" w:color="000000"/>
              <w:bottom w:val="single" w:sz="2" w:space="0" w:color="000000"/>
              <w:right w:val="single" w:sz="2" w:space="0" w:color="000000"/>
            </w:tcBorders>
          </w:tcPr>
          <w:p>
            <w:pPr/>
          </w:p>
        </w:tc>
        <w:tc>
          <w:tcPr>
            <w:tcW w:w="16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18,905,578.19</w:t>
            </w:r>
          </w:p>
        </w:tc>
      </w:tr>
      <w:tr>
        <w:trPr>
          <w:trHeight w:val="485" w:hRule="exact"/>
        </w:trPr>
        <w:tc>
          <w:tcPr>
            <w:tcW w:w="1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本年减少金额</w:t>
            </w:r>
          </w:p>
        </w:tc>
        <w:tc>
          <w:tcPr>
            <w:tcW w:w="16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93,291,501.89</w:t>
            </w:r>
          </w:p>
        </w:tc>
        <w:tc>
          <w:tcPr>
            <w:tcW w:w="1697" w:type="dxa"/>
            <w:tcBorders>
              <w:top w:val="single" w:sz="2" w:space="0" w:color="000000"/>
              <w:left w:val="single" w:sz="2" w:space="0" w:color="000000"/>
              <w:bottom w:val="single" w:sz="2" w:space="0" w:color="000000"/>
              <w:right w:val="single" w:sz="2" w:space="0" w:color="000000"/>
            </w:tcBorders>
          </w:tcPr>
          <w:p>
            <w:pPr/>
          </w:p>
        </w:tc>
        <w:tc>
          <w:tcPr>
            <w:tcW w:w="1694" w:type="dxa"/>
            <w:tcBorders>
              <w:top w:val="single" w:sz="2" w:space="0" w:color="000000"/>
              <w:left w:val="single" w:sz="2" w:space="0" w:color="000000"/>
              <w:bottom w:val="single" w:sz="2" w:space="0" w:color="000000"/>
              <w:right w:val="single" w:sz="2" w:space="0" w:color="000000"/>
            </w:tcBorders>
          </w:tcPr>
          <w:p>
            <w:pPr/>
          </w:p>
        </w:tc>
        <w:tc>
          <w:tcPr>
            <w:tcW w:w="16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99,377,656.38</w:t>
            </w:r>
          </w:p>
        </w:tc>
      </w:tr>
      <w:tr>
        <w:trPr>
          <w:trHeight w:val="485" w:hRule="exact"/>
        </w:trPr>
        <w:tc>
          <w:tcPr>
            <w:tcW w:w="1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）处置或报废</w:t>
            </w:r>
          </w:p>
        </w:tc>
        <w:tc>
          <w:tcPr>
            <w:tcW w:w="16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92,751,952.82</w:t>
            </w:r>
          </w:p>
        </w:tc>
        <w:tc>
          <w:tcPr>
            <w:tcW w:w="1697" w:type="dxa"/>
            <w:tcBorders>
              <w:top w:val="single" w:sz="2" w:space="0" w:color="000000"/>
              <w:left w:val="single" w:sz="2" w:space="0" w:color="000000"/>
              <w:bottom w:val="single" w:sz="2" w:space="0" w:color="000000"/>
              <w:right w:val="single" w:sz="2" w:space="0" w:color="000000"/>
            </w:tcBorders>
          </w:tcPr>
          <w:p>
            <w:pPr/>
          </w:p>
        </w:tc>
        <w:tc>
          <w:tcPr>
            <w:tcW w:w="1694" w:type="dxa"/>
            <w:tcBorders>
              <w:top w:val="single" w:sz="2" w:space="0" w:color="000000"/>
              <w:left w:val="single" w:sz="2" w:space="0" w:color="000000"/>
              <w:bottom w:val="single" w:sz="2" w:space="0" w:color="000000"/>
              <w:right w:val="single" w:sz="2" w:space="0" w:color="000000"/>
            </w:tcBorders>
          </w:tcPr>
          <w:p>
            <w:pPr/>
          </w:p>
        </w:tc>
        <w:tc>
          <w:tcPr>
            <w:tcW w:w="16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94,061,871.48</w:t>
            </w:r>
          </w:p>
        </w:tc>
      </w:tr>
      <w:tr>
        <w:trPr>
          <w:trHeight w:val="485" w:hRule="exact"/>
        </w:trPr>
        <w:tc>
          <w:tcPr>
            <w:tcW w:w="1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2</w:t>
            </w:r>
            <w:r>
              <w:rPr>
                <w:rFonts w:ascii="宋体" w:hAnsi="宋体" w:cs="宋体" w:eastAsia="宋体" w:hint="default"/>
                <w:sz w:val="18"/>
                <w:szCs w:val="18"/>
              </w:rPr>
              <w:t>）其他</w:t>
            </w:r>
          </w:p>
        </w:tc>
        <w:tc>
          <w:tcPr>
            <w:tcW w:w="16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539,549.07</w:t>
            </w:r>
          </w:p>
        </w:tc>
        <w:tc>
          <w:tcPr>
            <w:tcW w:w="1697" w:type="dxa"/>
            <w:tcBorders>
              <w:top w:val="single" w:sz="2" w:space="0" w:color="000000"/>
              <w:left w:val="single" w:sz="2" w:space="0" w:color="000000"/>
              <w:bottom w:val="single" w:sz="2" w:space="0" w:color="000000"/>
              <w:right w:val="single" w:sz="2" w:space="0" w:color="000000"/>
            </w:tcBorders>
          </w:tcPr>
          <w:p>
            <w:pPr/>
          </w:p>
        </w:tc>
        <w:tc>
          <w:tcPr>
            <w:tcW w:w="1694" w:type="dxa"/>
            <w:tcBorders>
              <w:top w:val="single" w:sz="2" w:space="0" w:color="000000"/>
              <w:left w:val="single" w:sz="2" w:space="0" w:color="000000"/>
              <w:bottom w:val="single" w:sz="2" w:space="0" w:color="000000"/>
              <w:right w:val="single" w:sz="2" w:space="0" w:color="000000"/>
            </w:tcBorders>
          </w:tcPr>
          <w:p>
            <w:pPr/>
          </w:p>
        </w:tc>
        <w:tc>
          <w:tcPr>
            <w:tcW w:w="16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5,315,784.90</w:t>
            </w:r>
          </w:p>
        </w:tc>
      </w:tr>
      <w:tr>
        <w:trPr>
          <w:trHeight w:val="485" w:hRule="exact"/>
        </w:trPr>
        <w:tc>
          <w:tcPr>
            <w:tcW w:w="1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0"/>
              <w:ind w:left="124"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年末余额</w:t>
            </w:r>
          </w:p>
        </w:tc>
        <w:tc>
          <w:tcPr>
            <w:tcW w:w="16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2"/>
                <w:sz w:val="18"/>
              </w:rPr>
              <w:t>60,152,117.70</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4,509,858.12</w:t>
            </w:r>
          </w:p>
        </w:tc>
        <w:tc>
          <w:tcPr>
            <w:tcW w:w="1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917,000.00</w:t>
            </w:r>
          </w:p>
        </w:tc>
        <w:tc>
          <w:tcPr>
            <w:tcW w:w="16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159,782,323.29</w:t>
            </w:r>
          </w:p>
        </w:tc>
      </w:tr>
      <w:tr>
        <w:trPr>
          <w:trHeight w:val="485" w:hRule="exact"/>
        </w:trPr>
        <w:tc>
          <w:tcPr>
            <w:tcW w:w="1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95" w:type="dxa"/>
            <w:tcBorders>
              <w:top w:val="single" w:sz="2" w:space="0" w:color="000000"/>
              <w:left w:val="single" w:sz="2" w:space="0" w:color="000000"/>
              <w:bottom w:val="single" w:sz="2" w:space="0" w:color="000000"/>
              <w:right w:val="single" w:sz="2" w:space="0" w:color="000000"/>
            </w:tcBorders>
          </w:tcPr>
          <w:p>
            <w:pPr/>
          </w:p>
        </w:tc>
        <w:tc>
          <w:tcPr>
            <w:tcW w:w="1697" w:type="dxa"/>
            <w:tcBorders>
              <w:top w:val="single" w:sz="2" w:space="0" w:color="000000"/>
              <w:left w:val="single" w:sz="2" w:space="0" w:color="000000"/>
              <w:bottom w:val="single" w:sz="2" w:space="0" w:color="000000"/>
              <w:right w:val="single" w:sz="2" w:space="0" w:color="000000"/>
            </w:tcBorders>
          </w:tcPr>
          <w:p>
            <w:pPr/>
          </w:p>
        </w:tc>
        <w:tc>
          <w:tcPr>
            <w:tcW w:w="1694" w:type="dxa"/>
            <w:tcBorders>
              <w:top w:val="single" w:sz="2" w:space="0" w:color="000000"/>
              <w:left w:val="single" w:sz="2" w:space="0" w:color="000000"/>
              <w:bottom w:val="single" w:sz="2" w:space="0" w:color="000000"/>
              <w:right w:val="single" w:sz="2" w:space="0" w:color="000000"/>
            </w:tcBorders>
          </w:tcPr>
          <w:p>
            <w:pPr/>
          </w:p>
        </w:tc>
        <w:tc>
          <w:tcPr>
            <w:tcW w:w="1695"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1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年初余额</w:t>
            </w:r>
          </w:p>
        </w:tc>
        <w:tc>
          <w:tcPr>
            <w:tcW w:w="16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18"/>
                <w:szCs w:val="18"/>
              </w:rPr>
            </w:pPr>
            <w:r>
              <w:rPr>
                <w:rFonts w:ascii="Arial"/>
                <w:spacing w:val="-1"/>
                <w:sz w:val="18"/>
              </w:rPr>
              <w:t>130</w:t>
            </w:r>
            <w:r>
              <w:rPr>
                <w:rFonts w:ascii="Times New Roman"/>
                <w:spacing w:val="-1"/>
                <w:sz w:val="18"/>
              </w:rPr>
              <w:t>,</w:t>
            </w:r>
            <w:r>
              <w:rPr>
                <w:rFonts w:ascii="Arial"/>
                <w:spacing w:val="-1"/>
                <w:sz w:val="18"/>
              </w:rPr>
              <w:t>504</w:t>
            </w:r>
            <w:r>
              <w:rPr>
                <w:rFonts w:ascii="Times New Roman"/>
                <w:spacing w:val="-1"/>
                <w:sz w:val="18"/>
              </w:rPr>
              <w:t>,</w:t>
            </w:r>
            <w:r>
              <w:rPr>
                <w:rFonts w:ascii="Arial"/>
                <w:spacing w:val="-1"/>
                <w:sz w:val="18"/>
              </w:rPr>
              <w:t>120</w:t>
            </w:r>
            <w:r>
              <w:rPr>
                <w:rFonts w:ascii="Times New Roman"/>
                <w:spacing w:val="-1"/>
                <w:sz w:val="18"/>
              </w:rPr>
              <w:t>.</w:t>
            </w:r>
            <w:r>
              <w:rPr>
                <w:rFonts w:ascii="Arial"/>
                <w:spacing w:val="-1"/>
                <w:sz w:val="18"/>
              </w:rPr>
              <w:t>61</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843</w:t>
            </w:r>
            <w:r>
              <w:rPr>
                <w:rFonts w:ascii="Times New Roman"/>
                <w:spacing w:val="-1"/>
                <w:sz w:val="18"/>
              </w:rPr>
              <w:t>,</w:t>
            </w:r>
            <w:r>
              <w:rPr>
                <w:rFonts w:ascii="Arial"/>
                <w:spacing w:val="-1"/>
                <w:sz w:val="18"/>
              </w:rPr>
              <w:t>805</w:t>
            </w:r>
            <w:r>
              <w:rPr>
                <w:rFonts w:ascii="Times New Roman"/>
                <w:spacing w:val="-1"/>
                <w:sz w:val="18"/>
              </w:rPr>
              <w:t>.</w:t>
            </w:r>
            <w:r>
              <w:rPr>
                <w:rFonts w:ascii="Arial"/>
                <w:spacing w:val="-1"/>
                <w:sz w:val="18"/>
              </w:rPr>
              <w:t>48</w:t>
            </w:r>
            <w:r>
              <w:rPr>
                <w:rFonts w:ascii="Arial"/>
                <w:sz w:val="18"/>
              </w:rPr>
            </w:r>
          </w:p>
        </w:tc>
        <w:tc>
          <w:tcPr>
            <w:tcW w:w="1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102</w:t>
            </w:r>
            <w:r>
              <w:rPr>
                <w:rFonts w:ascii="Times New Roman"/>
                <w:spacing w:val="-1"/>
                <w:sz w:val="18"/>
              </w:rPr>
              <w:t>,</w:t>
            </w:r>
            <w:r>
              <w:rPr>
                <w:rFonts w:ascii="Arial"/>
                <w:spacing w:val="-1"/>
                <w:sz w:val="18"/>
              </w:rPr>
              <w:t>704</w:t>
            </w:r>
            <w:r>
              <w:rPr>
                <w:rFonts w:ascii="Times New Roman"/>
                <w:spacing w:val="-1"/>
                <w:sz w:val="18"/>
              </w:rPr>
              <w:t>.</w:t>
            </w:r>
            <w:r>
              <w:rPr>
                <w:rFonts w:ascii="Arial"/>
                <w:spacing w:val="-1"/>
                <w:sz w:val="18"/>
              </w:rPr>
              <w:t>00</w:t>
            </w:r>
            <w:r>
              <w:rPr>
                <w:rFonts w:ascii="Arial"/>
                <w:sz w:val="18"/>
              </w:rPr>
            </w:r>
          </w:p>
        </w:tc>
        <w:tc>
          <w:tcPr>
            <w:tcW w:w="16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160</w:t>
            </w:r>
            <w:r>
              <w:rPr>
                <w:rFonts w:ascii="Times New Roman"/>
                <w:spacing w:val="-1"/>
                <w:sz w:val="18"/>
              </w:rPr>
              <w:t>,</w:t>
            </w:r>
            <w:r>
              <w:rPr>
                <w:rFonts w:ascii="Arial"/>
                <w:spacing w:val="-1"/>
                <w:sz w:val="18"/>
              </w:rPr>
              <w:t>302</w:t>
            </w:r>
            <w:r>
              <w:rPr>
                <w:rFonts w:ascii="Times New Roman"/>
                <w:spacing w:val="-1"/>
                <w:sz w:val="18"/>
              </w:rPr>
              <w:t>,</w:t>
            </w:r>
            <w:r>
              <w:rPr>
                <w:rFonts w:ascii="Arial"/>
                <w:spacing w:val="-1"/>
                <w:sz w:val="18"/>
              </w:rPr>
              <w:t>868</w:t>
            </w:r>
            <w:r>
              <w:rPr>
                <w:rFonts w:ascii="Times New Roman"/>
                <w:spacing w:val="-1"/>
                <w:sz w:val="18"/>
              </w:rPr>
              <w:t>.</w:t>
            </w:r>
            <w:r>
              <w:rPr>
                <w:rFonts w:ascii="Arial"/>
                <w:spacing w:val="-1"/>
                <w:sz w:val="18"/>
              </w:rPr>
              <w:t>73</w:t>
            </w:r>
          </w:p>
        </w:tc>
      </w:tr>
      <w:tr>
        <w:trPr>
          <w:trHeight w:val="485" w:hRule="exact"/>
        </w:trPr>
        <w:tc>
          <w:tcPr>
            <w:tcW w:w="1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本年增加金额</w:t>
            </w:r>
          </w:p>
        </w:tc>
        <w:tc>
          <w:tcPr>
            <w:tcW w:w="16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5,004,606.36</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198,591.90</w:t>
            </w:r>
          </w:p>
        </w:tc>
        <w:tc>
          <w:tcPr>
            <w:tcW w:w="1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44,016.00</w:t>
            </w:r>
          </w:p>
        </w:tc>
        <w:tc>
          <w:tcPr>
            <w:tcW w:w="16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8,862,427.88</w:t>
            </w:r>
          </w:p>
        </w:tc>
      </w:tr>
      <w:tr>
        <w:trPr>
          <w:trHeight w:val="485" w:hRule="exact"/>
        </w:trPr>
        <w:tc>
          <w:tcPr>
            <w:tcW w:w="1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）计提</w:t>
            </w:r>
          </w:p>
        </w:tc>
        <w:tc>
          <w:tcPr>
            <w:tcW w:w="16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5,004,606.36</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198,591.90</w:t>
            </w:r>
          </w:p>
        </w:tc>
        <w:tc>
          <w:tcPr>
            <w:tcW w:w="1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44,016.00</w:t>
            </w:r>
          </w:p>
        </w:tc>
        <w:tc>
          <w:tcPr>
            <w:tcW w:w="16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8,862,427.88</w:t>
            </w:r>
          </w:p>
        </w:tc>
      </w:tr>
      <w:tr>
        <w:trPr>
          <w:trHeight w:val="485" w:hRule="exact"/>
        </w:trPr>
        <w:tc>
          <w:tcPr>
            <w:tcW w:w="1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本年减少金额</w:t>
            </w:r>
          </w:p>
        </w:tc>
        <w:tc>
          <w:tcPr>
            <w:tcW w:w="16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89,210,482.56</w:t>
            </w:r>
          </w:p>
        </w:tc>
        <w:tc>
          <w:tcPr>
            <w:tcW w:w="1697" w:type="dxa"/>
            <w:tcBorders>
              <w:top w:val="single" w:sz="2" w:space="0" w:color="000000"/>
              <w:left w:val="single" w:sz="2" w:space="0" w:color="000000"/>
              <w:bottom w:val="single" w:sz="2" w:space="0" w:color="000000"/>
              <w:right w:val="single" w:sz="2" w:space="0" w:color="000000"/>
            </w:tcBorders>
          </w:tcPr>
          <w:p>
            <w:pPr/>
          </w:p>
        </w:tc>
        <w:tc>
          <w:tcPr>
            <w:tcW w:w="1694" w:type="dxa"/>
            <w:tcBorders>
              <w:top w:val="single" w:sz="2" w:space="0" w:color="000000"/>
              <w:left w:val="single" w:sz="2" w:space="0" w:color="000000"/>
              <w:bottom w:val="single" w:sz="2" w:space="0" w:color="000000"/>
              <w:right w:val="single" w:sz="2" w:space="0" w:color="000000"/>
            </w:tcBorders>
          </w:tcPr>
          <w:p>
            <w:pPr/>
          </w:p>
        </w:tc>
        <w:tc>
          <w:tcPr>
            <w:tcW w:w="16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93,514,687.26</w:t>
            </w:r>
          </w:p>
        </w:tc>
      </w:tr>
      <w:tr>
        <w:trPr>
          <w:trHeight w:val="485" w:hRule="exact"/>
        </w:trPr>
        <w:tc>
          <w:tcPr>
            <w:tcW w:w="1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）处置或报废</w:t>
            </w:r>
          </w:p>
        </w:tc>
        <w:tc>
          <w:tcPr>
            <w:tcW w:w="16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89,024,279.97</w:t>
            </w:r>
          </w:p>
        </w:tc>
        <w:tc>
          <w:tcPr>
            <w:tcW w:w="1697" w:type="dxa"/>
            <w:tcBorders>
              <w:top w:val="single" w:sz="2" w:space="0" w:color="000000"/>
              <w:left w:val="single" w:sz="2" w:space="0" w:color="000000"/>
              <w:bottom w:val="single" w:sz="2" w:space="0" w:color="000000"/>
              <w:right w:val="single" w:sz="2" w:space="0" w:color="000000"/>
            </w:tcBorders>
          </w:tcPr>
          <w:p>
            <w:pPr/>
          </w:p>
        </w:tc>
        <w:tc>
          <w:tcPr>
            <w:tcW w:w="1694" w:type="dxa"/>
            <w:tcBorders>
              <w:top w:val="single" w:sz="2" w:space="0" w:color="000000"/>
              <w:left w:val="single" w:sz="2" w:space="0" w:color="000000"/>
              <w:bottom w:val="single" w:sz="2" w:space="0" w:color="000000"/>
              <w:right w:val="single" w:sz="2" w:space="0" w:color="000000"/>
            </w:tcBorders>
          </w:tcPr>
          <w:p>
            <w:pPr/>
          </w:p>
        </w:tc>
        <w:tc>
          <w:tcPr>
            <w:tcW w:w="16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90,287,986.09</w:t>
            </w:r>
          </w:p>
        </w:tc>
      </w:tr>
      <w:tr>
        <w:trPr>
          <w:trHeight w:val="488" w:hRule="exact"/>
        </w:trPr>
        <w:tc>
          <w:tcPr>
            <w:tcW w:w="1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2"/>
              <w:ind w:left="124"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2</w:t>
            </w:r>
            <w:r>
              <w:rPr>
                <w:rFonts w:ascii="宋体" w:hAnsi="宋体" w:cs="宋体" w:eastAsia="宋体" w:hint="default"/>
                <w:sz w:val="18"/>
                <w:szCs w:val="18"/>
              </w:rPr>
              <w:t>）其他</w:t>
            </w:r>
          </w:p>
        </w:tc>
        <w:tc>
          <w:tcPr>
            <w:tcW w:w="16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186,202.59</w:t>
            </w:r>
          </w:p>
        </w:tc>
        <w:tc>
          <w:tcPr>
            <w:tcW w:w="1697" w:type="dxa"/>
            <w:tcBorders>
              <w:top w:val="single" w:sz="2" w:space="0" w:color="000000"/>
              <w:left w:val="single" w:sz="2" w:space="0" w:color="000000"/>
              <w:bottom w:val="single" w:sz="2" w:space="0" w:color="000000"/>
              <w:right w:val="single" w:sz="2" w:space="0" w:color="000000"/>
            </w:tcBorders>
          </w:tcPr>
          <w:p>
            <w:pPr/>
          </w:p>
        </w:tc>
        <w:tc>
          <w:tcPr>
            <w:tcW w:w="1694" w:type="dxa"/>
            <w:tcBorders>
              <w:top w:val="single" w:sz="2" w:space="0" w:color="000000"/>
              <w:left w:val="single" w:sz="2" w:space="0" w:color="000000"/>
              <w:bottom w:val="single" w:sz="2" w:space="0" w:color="000000"/>
              <w:right w:val="single" w:sz="2" w:space="0" w:color="000000"/>
            </w:tcBorders>
          </w:tcPr>
          <w:p>
            <w:pPr/>
          </w:p>
        </w:tc>
        <w:tc>
          <w:tcPr>
            <w:tcW w:w="16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3,226,701.17</w:t>
            </w:r>
          </w:p>
        </w:tc>
      </w:tr>
      <w:tr>
        <w:trPr>
          <w:trHeight w:val="485" w:hRule="exact"/>
        </w:trPr>
        <w:tc>
          <w:tcPr>
            <w:tcW w:w="1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年末余额</w:t>
            </w:r>
          </w:p>
        </w:tc>
        <w:tc>
          <w:tcPr>
            <w:tcW w:w="16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46,298,244.41</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1,042,397.38</w:t>
            </w:r>
          </w:p>
        </w:tc>
        <w:tc>
          <w:tcPr>
            <w:tcW w:w="1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146,720.00</w:t>
            </w:r>
          </w:p>
        </w:tc>
        <w:tc>
          <w:tcPr>
            <w:tcW w:w="16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75,650,609.35</w:t>
            </w:r>
          </w:p>
        </w:tc>
      </w:tr>
      <w:tr>
        <w:trPr>
          <w:trHeight w:val="485" w:hRule="exact"/>
        </w:trPr>
        <w:tc>
          <w:tcPr>
            <w:tcW w:w="1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95" w:type="dxa"/>
            <w:tcBorders>
              <w:top w:val="single" w:sz="2" w:space="0" w:color="000000"/>
              <w:left w:val="single" w:sz="2" w:space="0" w:color="000000"/>
              <w:bottom w:val="single" w:sz="2" w:space="0" w:color="000000"/>
              <w:right w:val="single" w:sz="2" w:space="0" w:color="000000"/>
            </w:tcBorders>
          </w:tcPr>
          <w:p>
            <w:pPr/>
          </w:p>
        </w:tc>
        <w:tc>
          <w:tcPr>
            <w:tcW w:w="1697" w:type="dxa"/>
            <w:tcBorders>
              <w:top w:val="single" w:sz="2" w:space="0" w:color="000000"/>
              <w:left w:val="single" w:sz="2" w:space="0" w:color="000000"/>
              <w:bottom w:val="single" w:sz="2" w:space="0" w:color="000000"/>
              <w:right w:val="single" w:sz="2" w:space="0" w:color="000000"/>
            </w:tcBorders>
          </w:tcPr>
          <w:p>
            <w:pPr/>
          </w:p>
        </w:tc>
        <w:tc>
          <w:tcPr>
            <w:tcW w:w="1694" w:type="dxa"/>
            <w:tcBorders>
              <w:top w:val="single" w:sz="2" w:space="0" w:color="000000"/>
              <w:left w:val="single" w:sz="2" w:space="0" w:color="000000"/>
              <w:bottom w:val="single" w:sz="2" w:space="0" w:color="000000"/>
              <w:right w:val="single" w:sz="2" w:space="0" w:color="000000"/>
            </w:tcBorders>
          </w:tcPr>
          <w:p>
            <w:pPr/>
          </w:p>
        </w:tc>
        <w:tc>
          <w:tcPr>
            <w:tcW w:w="1695"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1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年初余额</w:t>
            </w:r>
          </w:p>
        </w:tc>
        <w:tc>
          <w:tcPr>
            <w:tcW w:w="1695" w:type="dxa"/>
            <w:tcBorders>
              <w:top w:val="single" w:sz="2" w:space="0" w:color="000000"/>
              <w:left w:val="single" w:sz="2" w:space="0" w:color="000000"/>
              <w:bottom w:val="single" w:sz="2" w:space="0" w:color="000000"/>
              <w:right w:val="single" w:sz="2" w:space="0" w:color="000000"/>
            </w:tcBorders>
          </w:tcPr>
          <w:p>
            <w:pPr/>
          </w:p>
        </w:tc>
        <w:tc>
          <w:tcPr>
            <w:tcW w:w="1697" w:type="dxa"/>
            <w:tcBorders>
              <w:top w:val="single" w:sz="2" w:space="0" w:color="000000"/>
              <w:left w:val="single" w:sz="2" w:space="0" w:color="000000"/>
              <w:bottom w:val="single" w:sz="2" w:space="0" w:color="000000"/>
              <w:right w:val="single" w:sz="2" w:space="0" w:color="000000"/>
            </w:tcBorders>
          </w:tcPr>
          <w:p>
            <w:pPr/>
          </w:p>
        </w:tc>
        <w:tc>
          <w:tcPr>
            <w:tcW w:w="1694" w:type="dxa"/>
            <w:tcBorders>
              <w:top w:val="single" w:sz="2" w:space="0" w:color="000000"/>
              <w:left w:val="single" w:sz="2" w:space="0" w:color="000000"/>
              <w:bottom w:val="single" w:sz="2" w:space="0" w:color="000000"/>
              <w:right w:val="single" w:sz="2" w:space="0" w:color="000000"/>
            </w:tcBorders>
          </w:tcPr>
          <w:p>
            <w:pPr/>
          </w:p>
        </w:tc>
        <w:tc>
          <w:tcPr>
            <w:tcW w:w="1695"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1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本年增加金额</w:t>
            </w:r>
          </w:p>
        </w:tc>
        <w:tc>
          <w:tcPr>
            <w:tcW w:w="1695" w:type="dxa"/>
            <w:tcBorders>
              <w:top w:val="single" w:sz="2" w:space="0" w:color="000000"/>
              <w:left w:val="single" w:sz="2" w:space="0" w:color="000000"/>
              <w:bottom w:val="single" w:sz="2" w:space="0" w:color="000000"/>
              <w:right w:val="single" w:sz="2" w:space="0" w:color="000000"/>
            </w:tcBorders>
          </w:tcPr>
          <w:p>
            <w:pPr/>
          </w:p>
        </w:tc>
        <w:tc>
          <w:tcPr>
            <w:tcW w:w="1697" w:type="dxa"/>
            <w:tcBorders>
              <w:top w:val="single" w:sz="2" w:space="0" w:color="000000"/>
              <w:left w:val="single" w:sz="2" w:space="0" w:color="000000"/>
              <w:bottom w:val="single" w:sz="2" w:space="0" w:color="000000"/>
              <w:right w:val="single" w:sz="2" w:space="0" w:color="000000"/>
            </w:tcBorders>
          </w:tcPr>
          <w:p>
            <w:pPr/>
          </w:p>
        </w:tc>
        <w:tc>
          <w:tcPr>
            <w:tcW w:w="1694" w:type="dxa"/>
            <w:tcBorders>
              <w:top w:val="single" w:sz="2" w:space="0" w:color="000000"/>
              <w:left w:val="single" w:sz="2" w:space="0" w:color="000000"/>
              <w:bottom w:val="single" w:sz="2" w:space="0" w:color="000000"/>
              <w:right w:val="single" w:sz="2" w:space="0" w:color="000000"/>
            </w:tcBorders>
          </w:tcPr>
          <w:p>
            <w:pPr/>
          </w:p>
        </w:tc>
        <w:tc>
          <w:tcPr>
            <w:tcW w:w="1695"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1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本年减少金额</w:t>
            </w:r>
          </w:p>
        </w:tc>
        <w:tc>
          <w:tcPr>
            <w:tcW w:w="1695" w:type="dxa"/>
            <w:tcBorders>
              <w:top w:val="single" w:sz="2" w:space="0" w:color="000000"/>
              <w:left w:val="single" w:sz="2" w:space="0" w:color="000000"/>
              <w:bottom w:val="single" w:sz="2" w:space="0" w:color="000000"/>
              <w:right w:val="single" w:sz="2" w:space="0" w:color="000000"/>
            </w:tcBorders>
          </w:tcPr>
          <w:p>
            <w:pPr/>
          </w:p>
        </w:tc>
        <w:tc>
          <w:tcPr>
            <w:tcW w:w="1697" w:type="dxa"/>
            <w:tcBorders>
              <w:top w:val="single" w:sz="2" w:space="0" w:color="000000"/>
              <w:left w:val="single" w:sz="2" w:space="0" w:color="000000"/>
              <w:bottom w:val="single" w:sz="2" w:space="0" w:color="000000"/>
              <w:right w:val="single" w:sz="2" w:space="0" w:color="000000"/>
            </w:tcBorders>
          </w:tcPr>
          <w:p>
            <w:pPr/>
          </w:p>
        </w:tc>
        <w:tc>
          <w:tcPr>
            <w:tcW w:w="1694" w:type="dxa"/>
            <w:tcBorders>
              <w:top w:val="single" w:sz="2" w:space="0" w:color="000000"/>
              <w:left w:val="single" w:sz="2" w:space="0" w:color="000000"/>
              <w:bottom w:val="single" w:sz="2" w:space="0" w:color="000000"/>
              <w:right w:val="single" w:sz="2" w:space="0" w:color="000000"/>
            </w:tcBorders>
          </w:tcPr>
          <w:p>
            <w:pPr/>
          </w:p>
        </w:tc>
        <w:tc>
          <w:tcPr>
            <w:tcW w:w="1695"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1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年末余额</w:t>
            </w:r>
          </w:p>
        </w:tc>
        <w:tc>
          <w:tcPr>
            <w:tcW w:w="1695" w:type="dxa"/>
            <w:tcBorders>
              <w:top w:val="single" w:sz="2" w:space="0" w:color="000000"/>
              <w:left w:val="single" w:sz="2" w:space="0" w:color="000000"/>
              <w:bottom w:val="single" w:sz="2" w:space="0" w:color="000000"/>
              <w:right w:val="single" w:sz="2" w:space="0" w:color="000000"/>
            </w:tcBorders>
          </w:tcPr>
          <w:p>
            <w:pPr/>
          </w:p>
        </w:tc>
        <w:tc>
          <w:tcPr>
            <w:tcW w:w="1697" w:type="dxa"/>
            <w:tcBorders>
              <w:top w:val="single" w:sz="2" w:space="0" w:color="000000"/>
              <w:left w:val="single" w:sz="2" w:space="0" w:color="000000"/>
              <w:bottom w:val="single" w:sz="2" w:space="0" w:color="000000"/>
              <w:right w:val="single" w:sz="2" w:space="0" w:color="000000"/>
            </w:tcBorders>
          </w:tcPr>
          <w:p>
            <w:pPr/>
          </w:p>
        </w:tc>
        <w:tc>
          <w:tcPr>
            <w:tcW w:w="1694" w:type="dxa"/>
            <w:tcBorders>
              <w:top w:val="single" w:sz="2" w:space="0" w:color="000000"/>
              <w:left w:val="single" w:sz="2" w:space="0" w:color="000000"/>
              <w:bottom w:val="single" w:sz="2" w:space="0" w:color="000000"/>
              <w:right w:val="single" w:sz="2" w:space="0" w:color="000000"/>
            </w:tcBorders>
          </w:tcPr>
          <w:p>
            <w:pPr/>
          </w:p>
        </w:tc>
        <w:tc>
          <w:tcPr>
            <w:tcW w:w="1695" w:type="dxa"/>
            <w:tcBorders>
              <w:top w:val="single" w:sz="2" w:space="0" w:color="000000"/>
              <w:left w:val="single" w:sz="2" w:space="0" w:color="000000"/>
              <w:bottom w:val="single" w:sz="2" w:space="0" w:color="000000"/>
              <w:right w:val="nil" w:sz="6" w:space="0" w:color="auto"/>
            </w:tcBorders>
          </w:tcPr>
          <w:p>
            <w:pPr/>
          </w:p>
        </w:tc>
      </w:tr>
      <w:tr>
        <w:trPr>
          <w:trHeight w:val="500" w:hRule="exact"/>
        </w:trPr>
        <w:tc>
          <w:tcPr>
            <w:tcW w:w="195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50"/>
              <w:ind w:left="1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95" w:type="dxa"/>
            <w:tcBorders>
              <w:top w:val="single" w:sz="2" w:space="0" w:color="000000"/>
              <w:left w:val="single" w:sz="2" w:space="0" w:color="000000"/>
              <w:bottom w:val="single" w:sz="12" w:space="0" w:color="000000"/>
              <w:right w:val="single" w:sz="2" w:space="0" w:color="000000"/>
            </w:tcBorders>
          </w:tcPr>
          <w:p>
            <w:pPr/>
          </w:p>
        </w:tc>
        <w:tc>
          <w:tcPr>
            <w:tcW w:w="1697" w:type="dxa"/>
            <w:tcBorders>
              <w:top w:val="single" w:sz="2" w:space="0" w:color="000000"/>
              <w:left w:val="single" w:sz="2" w:space="0" w:color="000000"/>
              <w:bottom w:val="single" w:sz="12" w:space="0" w:color="000000"/>
              <w:right w:val="single" w:sz="2" w:space="0" w:color="000000"/>
            </w:tcBorders>
          </w:tcPr>
          <w:p>
            <w:pPr/>
          </w:p>
        </w:tc>
        <w:tc>
          <w:tcPr>
            <w:tcW w:w="1694" w:type="dxa"/>
            <w:tcBorders>
              <w:top w:val="single" w:sz="2" w:space="0" w:color="000000"/>
              <w:left w:val="single" w:sz="2" w:space="0" w:color="000000"/>
              <w:bottom w:val="single" w:sz="12" w:space="0" w:color="000000"/>
              <w:right w:val="single" w:sz="2" w:space="0" w:color="000000"/>
            </w:tcBorders>
          </w:tcPr>
          <w:p>
            <w:pPr/>
          </w:p>
        </w:tc>
        <w:tc>
          <w:tcPr>
            <w:tcW w:w="1695"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580" w:type="dxa"/>
        <w:tblLayout w:type="fixed"/>
        <w:tblCellMar>
          <w:top w:w="0" w:type="dxa"/>
          <w:left w:w="0" w:type="dxa"/>
          <w:bottom w:w="0" w:type="dxa"/>
          <w:right w:w="0" w:type="dxa"/>
        </w:tblCellMar>
        <w:tblLook w:val="01E0"/>
      </w:tblPr>
      <w:tblGrid>
        <w:gridCol w:w="1958"/>
        <w:gridCol w:w="1695"/>
        <w:gridCol w:w="1697"/>
        <w:gridCol w:w="1694"/>
        <w:gridCol w:w="1695"/>
      </w:tblGrid>
      <w:tr>
        <w:trPr>
          <w:trHeight w:val="723" w:hRule="exact"/>
        </w:trPr>
        <w:tc>
          <w:tcPr>
            <w:tcW w:w="195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9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697" w:type="dxa"/>
            <w:tcBorders>
              <w:top w:val="single" w:sz="12" w:space="0" w:color="000000"/>
              <w:left w:val="single" w:sz="2" w:space="0" w:color="000000"/>
              <w:bottom w:val="single" w:sz="2" w:space="0" w:color="000000"/>
              <w:right w:val="single" w:sz="2" w:space="0" w:color="000000"/>
            </w:tcBorders>
          </w:tcPr>
          <w:p>
            <w:pPr>
              <w:pStyle w:val="TableParagraph"/>
              <w:spacing w:line="314" w:lineRule="auto" w:before="51"/>
              <w:ind w:left="484" w:right="125" w:hanging="360"/>
              <w:jc w:val="left"/>
              <w:rPr>
                <w:rFonts w:ascii="宋体" w:hAnsi="宋体" w:cs="宋体" w:eastAsia="宋体" w:hint="default"/>
                <w:sz w:val="18"/>
                <w:szCs w:val="18"/>
              </w:rPr>
            </w:pPr>
            <w:r>
              <w:rPr>
                <w:rFonts w:ascii="宋体" w:hAnsi="宋体" w:cs="宋体" w:eastAsia="宋体" w:hint="default"/>
                <w:sz w:val="18"/>
                <w:szCs w:val="18"/>
              </w:rPr>
              <w:t>供电、供水、供汽 设施设备</w:t>
            </w:r>
          </w:p>
        </w:tc>
        <w:tc>
          <w:tcPr>
            <w:tcW w:w="169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专用设施设备</w:t>
            </w:r>
          </w:p>
        </w:tc>
        <w:tc>
          <w:tcPr>
            <w:tcW w:w="169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85" w:hRule="exact"/>
        </w:trPr>
        <w:tc>
          <w:tcPr>
            <w:tcW w:w="1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年末账面价值</w:t>
            </w:r>
          </w:p>
        </w:tc>
        <w:tc>
          <w:tcPr>
            <w:tcW w:w="16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35" w:right="0"/>
              <w:jc w:val="left"/>
              <w:rPr>
                <w:rFonts w:ascii="Arial" w:hAnsi="Arial" w:cs="Arial" w:eastAsia="Arial" w:hint="default"/>
                <w:sz w:val="18"/>
                <w:szCs w:val="18"/>
              </w:rPr>
            </w:pPr>
            <w:r>
              <w:rPr>
                <w:rFonts w:ascii="Arial"/>
                <w:sz w:val="18"/>
              </w:rPr>
              <w:t>13,853,873.29</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3,467,460.74</w:t>
            </w:r>
          </w:p>
        </w:tc>
        <w:tc>
          <w:tcPr>
            <w:tcW w:w="1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770,280.00</w:t>
            </w:r>
          </w:p>
        </w:tc>
        <w:tc>
          <w:tcPr>
            <w:tcW w:w="16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84,131,713.94</w:t>
            </w:r>
          </w:p>
        </w:tc>
      </w:tr>
      <w:tr>
        <w:trPr>
          <w:trHeight w:val="497" w:hRule="exact"/>
        </w:trPr>
        <w:tc>
          <w:tcPr>
            <w:tcW w:w="195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年初账面价值</w:t>
            </w:r>
          </w:p>
        </w:tc>
        <w:tc>
          <w:tcPr>
            <w:tcW w:w="16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51" w:right="0"/>
              <w:jc w:val="left"/>
              <w:rPr>
                <w:rFonts w:ascii="Arial" w:hAnsi="Arial" w:cs="Arial" w:eastAsia="Arial" w:hint="default"/>
                <w:sz w:val="18"/>
                <w:szCs w:val="18"/>
              </w:rPr>
            </w:pPr>
            <w:r>
              <w:rPr>
                <w:rFonts w:ascii="Arial"/>
                <w:sz w:val="18"/>
              </w:rPr>
              <w:t>14</w:t>
            </w:r>
            <w:r>
              <w:rPr>
                <w:rFonts w:ascii="Times New Roman"/>
                <w:sz w:val="18"/>
              </w:rPr>
              <w:t>,</w:t>
            </w:r>
            <w:r>
              <w:rPr>
                <w:rFonts w:ascii="Arial"/>
                <w:sz w:val="18"/>
              </w:rPr>
              <w:t>132</w:t>
            </w:r>
            <w:r>
              <w:rPr>
                <w:rFonts w:ascii="Times New Roman"/>
                <w:sz w:val="18"/>
              </w:rPr>
              <w:t>,</w:t>
            </w:r>
            <w:r>
              <w:rPr>
                <w:rFonts w:ascii="Arial"/>
                <w:sz w:val="18"/>
              </w:rPr>
              <w:t>404</w:t>
            </w:r>
            <w:r>
              <w:rPr>
                <w:rFonts w:ascii="Times New Roman"/>
                <w:sz w:val="18"/>
              </w:rPr>
              <w:t>.</w:t>
            </w:r>
            <w:r>
              <w:rPr>
                <w:rFonts w:ascii="Arial"/>
                <w:sz w:val="18"/>
              </w:rPr>
              <w:t>54</w:t>
            </w:r>
          </w:p>
        </w:tc>
        <w:tc>
          <w:tcPr>
            <w:tcW w:w="169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3</w:t>
            </w:r>
            <w:r>
              <w:rPr>
                <w:rFonts w:ascii="Times New Roman"/>
                <w:spacing w:val="-1"/>
                <w:sz w:val="18"/>
              </w:rPr>
              <w:t>,</w:t>
            </w:r>
            <w:r>
              <w:rPr>
                <w:rFonts w:ascii="Arial"/>
                <w:spacing w:val="-1"/>
                <w:sz w:val="18"/>
              </w:rPr>
              <w:t>666</w:t>
            </w:r>
            <w:r>
              <w:rPr>
                <w:rFonts w:ascii="Times New Roman"/>
                <w:spacing w:val="-1"/>
                <w:sz w:val="18"/>
              </w:rPr>
              <w:t>,</w:t>
            </w:r>
            <w:r>
              <w:rPr>
                <w:rFonts w:ascii="Arial"/>
                <w:spacing w:val="-1"/>
                <w:sz w:val="18"/>
              </w:rPr>
              <w:t>052</w:t>
            </w:r>
            <w:r>
              <w:rPr>
                <w:rFonts w:ascii="Times New Roman"/>
                <w:spacing w:val="-1"/>
                <w:sz w:val="18"/>
              </w:rPr>
              <w:t>.</w:t>
            </w:r>
            <w:r>
              <w:rPr>
                <w:rFonts w:ascii="Arial"/>
                <w:spacing w:val="-1"/>
                <w:sz w:val="18"/>
              </w:rPr>
              <w:t>64</w:t>
            </w:r>
          </w:p>
        </w:tc>
        <w:tc>
          <w:tcPr>
            <w:tcW w:w="16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814</w:t>
            </w:r>
            <w:r>
              <w:rPr>
                <w:rFonts w:ascii="Times New Roman"/>
                <w:spacing w:val="-1"/>
                <w:sz w:val="18"/>
              </w:rPr>
              <w:t>,</w:t>
            </w:r>
            <w:r>
              <w:rPr>
                <w:rFonts w:ascii="Arial"/>
                <w:spacing w:val="-1"/>
                <w:sz w:val="18"/>
              </w:rPr>
              <w:t>296</w:t>
            </w:r>
            <w:r>
              <w:rPr>
                <w:rFonts w:ascii="Times New Roman"/>
                <w:spacing w:val="-1"/>
                <w:sz w:val="18"/>
              </w:rPr>
              <w:t>.</w:t>
            </w:r>
            <w:r>
              <w:rPr>
                <w:rFonts w:ascii="Arial"/>
                <w:spacing w:val="-1"/>
                <w:sz w:val="18"/>
              </w:rPr>
              <w:t>00</w:t>
            </w:r>
            <w:r>
              <w:rPr>
                <w:rFonts w:ascii="Arial"/>
                <w:sz w:val="18"/>
              </w:rPr>
            </w:r>
          </w:p>
        </w:tc>
        <w:tc>
          <w:tcPr>
            <w:tcW w:w="169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76</w:t>
            </w:r>
            <w:r>
              <w:rPr>
                <w:rFonts w:ascii="Times New Roman"/>
                <w:spacing w:val="-1"/>
                <w:sz w:val="18"/>
              </w:rPr>
              <w:t>,</w:t>
            </w:r>
            <w:r>
              <w:rPr>
                <w:rFonts w:ascii="Arial"/>
                <w:spacing w:val="-1"/>
                <w:sz w:val="18"/>
              </w:rPr>
              <w:t>294</w:t>
            </w:r>
            <w:r>
              <w:rPr>
                <w:rFonts w:ascii="Times New Roman"/>
                <w:spacing w:val="-1"/>
                <w:sz w:val="18"/>
              </w:rPr>
              <w:t>,</w:t>
            </w:r>
            <w:r>
              <w:rPr>
                <w:rFonts w:ascii="Arial"/>
                <w:spacing w:val="-1"/>
                <w:sz w:val="18"/>
              </w:rPr>
              <w:t>598</w:t>
            </w:r>
            <w:r>
              <w:rPr>
                <w:rFonts w:ascii="Times New Roman"/>
                <w:spacing w:val="-1"/>
                <w:sz w:val="18"/>
              </w:rPr>
              <w:t>.</w:t>
            </w:r>
            <w:r>
              <w:rPr>
                <w:rFonts w:ascii="Arial"/>
                <w:spacing w:val="-1"/>
                <w:sz w:val="18"/>
              </w:rPr>
              <w:t>22</w:t>
            </w:r>
            <w:r>
              <w:rPr>
                <w:rFonts w:ascii="Arial"/>
                <w:sz w:val="18"/>
              </w:rPr>
            </w:r>
          </w:p>
        </w:tc>
      </w:tr>
    </w:tbl>
    <w:p>
      <w:pPr>
        <w:pStyle w:val="Heading4"/>
        <w:tabs>
          <w:tab w:pos="1413" w:val="left" w:leader="none"/>
        </w:tabs>
        <w:spacing w:line="240" w:lineRule="auto"/>
        <w:ind w:right="1133"/>
        <w:jc w:val="left"/>
        <w:rPr>
          <w:b w:val="0"/>
          <w:bCs w:val="0"/>
        </w:rPr>
      </w:pPr>
      <w:r>
        <w:rPr>
          <w:rFonts w:ascii="Arial" w:hAnsi="Arial" w:cs="Arial" w:eastAsia="Arial" w:hint="default"/>
          <w:spacing w:val="-1"/>
        </w:rPr>
        <w:t>12</w:t>
      </w:r>
      <w:r>
        <w:rPr>
          <w:spacing w:val="-1"/>
        </w:rPr>
        <w:t>、</w:t>
        <w:tab/>
      </w:r>
      <w:r>
        <w:rPr/>
        <w:t>在建工程</w:t>
      </w:r>
      <w:r>
        <w:rPr>
          <w:b w:val="0"/>
          <w:bCs w:val="0"/>
        </w:rPr>
      </w:r>
    </w:p>
    <w:p>
      <w:pPr>
        <w:spacing w:line="240" w:lineRule="auto" w:before="9"/>
        <w:rPr>
          <w:rFonts w:ascii="宋体" w:hAnsi="宋体" w:cs="宋体" w:eastAsia="宋体" w:hint="default"/>
          <w:b/>
          <w:bCs/>
          <w:sz w:val="2"/>
          <w:szCs w:val="2"/>
        </w:rPr>
      </w:pPr>
    </w:p>
    <w:tbl>
      <w:tblPr>
        <w:tblW w:w="0" w:type="auto"/>
        <w:jc w:val="left"/>
        <w:tblInd w:w="580" w:type="dxa"/>
        <w:tblLayout w:type="fixed"/>
        <w:tblCellMar>
          <w:top w:w="0" w:type="dxa"/>
          <w:left w:w="0" w:type="dxa"/>
          <w:bottom w:w="0" w:type="dxa"/>
          <w:right w:w="0" w:type="dxa"/>
        </w:tblCellMar>
        <w:tblLook w:val="01E0"/>
      </w:tblPr>
      <w:tblGrid>
        <w:gridCol w:w="2818"/>
        <w:gridCol w:w="2960"/>
        <w:gridCol w:w="2962"/>
      </w:tblGrid>
      <w:tr>
        <w:trPr>
          <w:trHeight w:val="502" w:hRule="exact"/>
        </w:trPr>
        <w:tc>
          <w:tcPr>
            <w:tcW w:w="281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2"/>
              <w:ind w:right="1215"/>
              <w:jc w:val="right"/>
              <w:rPr>
                <w:rFonts w:ascii="宋体" w:hAnsi="宋体" w:cs="宋体" w:eastAsia="宋体" w:hint="default"/>
                <w:sz w:val="18"/>
                <w:szCs w:val="18"/>
              </w:rPr>
            </w:pPr>
            <w:r>
              <w:rPr>
                <w:rFonts w:ascii="宋体" w:hAnsi="宋体" w:cs="宋体" w:eastAsia="宋体" w:hint="default"/>
                <w:sz w:val="18"/>
                <w:szCs w:val="18"/>
              </w:rPr>
              <w:t>项目</w:t>
            </w:r>
          </w:p>
        </w:tc>
        <w:tc>
          <w:tcPr>
            <w:tcW w:w="29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2"/>
              <w:ind w:left="2"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96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90"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98"/>
              <w:jc w:val="right"/>
              <w:rPr>
                <w:rFonts w:ascii="Arial" w:hAnsi="Arial" w:cs="Arial" w:eastAsia="Arial" w:hint="default"/>
                <w:sz w:val="18"/>
                <w:szCs w:val="18"/>
              </w:rPr>
            </w:pPr>
            <w:r>
              <w:rPr>
                <w:rFonts w:ascii="Arial"/>
                <w:spacing w:val="-2"/>
                <w:sz w:val="18"/>
              </w:rPr>
              <w:t>11,746,018.74</w:t>
            </w:r>
          </w:p>
        </w:tc>
        <w:tc>
          <w:tcPr>
            <w:tcW w:w="29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355,108.39</w:t>
            </w:r>
          </w:p>
        </w:tc>
      </w:tr>
      <w:tr>
        <w:trPr>
          <w:trHeight w:val="500" w:hRule="exact"/>
        </w:trPr>
        <w:tc>
          <w:tcPr>
            <w:tcW w:w="281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50"/>
              <w:ind w:right="1215"/>
              <w:jc w:val="right"/>
              <w:rPr>
                <w:rFonts w:ascii="宋体" w:hAnsi="宋体" w:cs="宋体" w:eastAsia="宋体" w:hint="default"/>
                <w:sz w:val="18"/>
                <w:szCs w:val="18"/>
              </w:rPr>
            </w:pPr>
            <w:r>
              <w:rPr>
                <w:rFonts w:ascii="宋体" w:hAnsi="宋体" w:cs="宋体" w:eastAsia="宋体" w:hint="default"/>
                <w:sz w:val="18"/>
                <w:szCs w:val="18"/>
              </w:rPr>
              <w:t>合计</w:t>
            </w:r>
          </w:p>
        </w:tc>
        <w:tc>
          <w:tcPr>
            <w:tcW w:w="29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98"/>
              <w:jc w:val="right"/>
              <w:rPr>
                <w:rFonts w:ascii="Arial" w:hAnsi="Arial" w:cs="Arial" w:eastAsia="Arial" w:hint="default"/>
                <w:sz w:val="18"/>
                <w:szCs w:val="18"/>
              </w:rPr>
            </w:pPr>
            <w:r>
              <w:rPr>
                <w:rFonts w:ascii="Arial"/>
                <w:spacing w:val="-2"/>
                <w:sz w:val="18"/>
              </w:rPr>
              <w:t>11,746,018.74</w:t>
            </w:r>
          </w:p>
        </w:tc>
        <w:tc>
          <w:tcPr>
            <w:tcW w:w="296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355,108.39</w:t>
            </w:r>
          </w:p>
        </w:tc>
      </w:tr>
    </w:tbl>
    <w:p>
      <w:pPr>
        <w:spacing w:line="240" w:lineRule="auto" w:before="5"/>
        <w:rPr>
          <w:rFonts w:ascii="宋体" w:hAnsi="宋体" w:cs="宋体" w:eastAsia="宋体" w:hint="default"/>
          <w:b/>
          <w:bCs/>
          <w:sz w:val="5"/>
          <w:szCs w:val="5"/>
        </w:rPr>
      </w:pPr>
    </w:p>
    <w:p>
      <w:pPr>
        <w:pStyle w:val="BodyText"/>
        <w:spacing w:line="240" w:lineRule="auto" w:before="32"/>
        <w:ind w:left="592" w:right="1133"/>
        <w:jc w:val="left"/>
      </w:pPr>
      <w:r>
        <w:rPr/>
        <w:t>（</w:t>
      </w:r>
      <w:r>
        <w:rPr>
          <w:rFonts w:ascii="Arial" w:hAnsi="Arial" w:cs="Arial" w:eastAsia="Arial" w:hint="default"/>
        </w:rPr>
        <w:t>1</w:t>
      </w:r>
      <w:r>
        <w:rPr/>
        <w:t>）在建工程情况</w:t>
      </w:r>
    </w:p>
    <w:p>
      <w:pPr>
        <w:spacing w:line="240" w:lineRule="auto" w:before="8"/>
        <w:rPr>
          <w:rFonts w:ascii="宋体" w:hAnsi="宋体" w:cs="宋体" w:eastAsia="宋体" w:hint="default"/>
          <w:sz w:val="5"/>
          <w:szCs w:val="5"/>
        </w:rPr>
      </w:pPr>
    </w:p>
    <w:tbl>
      <w:tblPr>
        <w:tblW w:w="0" w:type="auto"/>
        <w:jc w:val="left"/>
        <w:tblInd w:w="580" w:type="dxa"/>
        <w:tblLayout w:type="fixed"/>
        <w:tblCellMar>
          <w:top w:w="0" w:type="dxa"/>
          <w:left w:w="0" w:type="dxa"/>
          <w:bottom w:w="0" w:type="dxa"/>
          <w:right w:w="0" w:type="dxa"/>
        </w:tblCellMar>
        <w:tblLook w:val="01E0"/>
      </w:tblPr>
      <w:tblGrid>
        <w:gridCol w:w="1678"/>
        <w:gridCol w:w="1496"/>
        <w:gridCol w:w="778"/>
        <w:gridCol w:w="1640"/>
        <w:gridCol w:w="1217"/>
        <w:gridCol w:w="716"/>
        <w:gridCol w:w="1217"/>
      </w:tblGrid>
      <w:tr>
        <w:trPr>
          <w:trHeight w:val="499" w:hRule="exact"/>
        </w:trPr>
        <w:tc>
          <w:tcPr>
            <w:tcW w:w="1678"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13"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3149"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right="2"/>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886" w:hRule="exact"/>
        </w:trPr>
        <w:tc>
          <w:tcPr>
            <w:tcW w:w="1678" w:type="dxa"/>
            <w:vMerge/>
            <w:tcBorders>
              <w:left w:val="nil" w:sz="6" w:space="0" w:color="auto"/>
              <w:bottom w:val="single" w:sz="2" w:space="0" w:color="000000"/>
              <w:right w:val="single" w:sz="2" w:space="0" w:color="000000"/>
            </w:tcBorders>
          </w:tcPr>
          <w:p>
            <w:pPr/>
          </w:p>
        </w:tc>
        <w:tc>
          <w:tcPr>
            <w:tcW w:w="14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78" w:type="dxa"/>
            <w:tcBorders>
              <w:top w:val="single" w:sz="2" w:space="0" w:color="000000"/>
              <w:left w:val="single" w:sz="2" w:space="0" w:color="000000"/>
              <w:bottom w:val="single" w:sz="2" w:space="0" w:color="000000"/>
              <w:right w:val="single" w:sz="2" w:space="0" w:color="000000"/>
            </w:tcBorders>
          </w:tcPr>
          <w:p>
            <w:pPr>
              <w:pStyle w:val="TableParagraph"/>
              <w:spacing w:line="405" w:lineRule="auto" w:before="149"/>
              <w:ind w:left="297" w:right="113" w:hanging="180"/>
              <w:jc w:val="left"/>
              <w:rPr>
                <w:rFonts w:ascii="宋体" w:hAnsi="宋体" w:cs="宋体" w:eastAsia="宋体" w:hint="default"/>
                <w:sz w:val="18"/>
                <w:szCs w:val="18"/>
              </w:rPr>
            </w:pPr>
            <w:r>
              <w:rPr>
                <w:rFonts w:ascii="宋体" w:hAnsi="宋体" w:cs="宋体" w:eastAsia="宋体" w:hint="default"/>
                <w:sz w:val="18"/>
                <w:szCs w:val="18"/>
              </w:rPr>
              <w:t>减值准 备</w:t>
            </w:r>
          </w:p>
        </w:tc>
        <w:tc>
          <w:tcPr>
            <w:tcW w:w="16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45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716" w:type="dxa"/>
            <w:tcBorders>
              <w:top w:val="single" w:sz="2" w:space="0" w:color="000000"/>
              <w:left w:val="single" w:sz="2" w:space="0" w:color="000000"/>
              <w:bottom w:val="single" w:sz="2" w:space="0" w:color="000000"/>
              <w:right w:val="single" w:sz="2" w:space="0" w:color="000000"/>
            </w:tcBorders>
          </w:tcPr>
          <w:p>
            <w:pPr>
              <w:pStyle w:val="TableParagraph"/>
              <w:spacing w:line="405" w:lineRule="auto" w:before="149"/>
              <w:ind w:left="177" w:right="171"/>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2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08" w:hRule="exact"/>
        </w:trPr>
        <w:tc>
          <w:tcPr>
            <w:tcW w:w="1678" w:type="dxa"/>
            <w:tcBorders>
              <w:top w:val="single" w:sz="2" w:space="0" w:color="000000"/>
              <w:left w:val="nil" w:sz="6" w:space="0" w:color="auto"/>
              <w:bottom w:val="single" w:sz="2" w:space="0" w:color="000000"/>
              <w:right w:val="single" w:sz="2" w:space="0" w:color="000000"/>
            </w:tcBorders>
          </w:tcPr>
          <w:p>
            <w:pPr>
              <w:pStyle w:val="TableParagraph"/>
              <w:spacing w:line="314" w:lineRule="auto" w:before="49"/>
              <w:ind w:left="124" w:right="105"/>
              <w:jc w:val="left"/>
              <w:rPr>
                <w:rFonts w:ascii="宋体" w:hAnsi="宋体" w:cs="宋体" w:eastAsia="宋体" w:hint="default"/>
                <w:sz w:val="18"/>
                <w:szCs w:val="18"/>
              </w:rPr>
            </w:pPr>
            <w:r>
              <w:rPr>
                <w:rFonts w:ascii="宋体" w:hAnsi="宋体" w:cs="宋体" w:eastAsia="宋体" w:hint="default"/>
                <w:sz w:val="18"/>
                <w:szCs w:val="18"/>
              </w:rPr>
              <w:t>搬迁集团全华数据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中心机房</w:t>
            </w:r>
          </w:p>
        </w:tc>
        <w:tc>
          <w:tcPr>
            <w:tcW w:w="1496" w:type="dxa"/>
            <w:tcBorders>
              <w:top w:val="single" w:sz="2" w:space="0" w:color="000000"/>
              <w:left w:val="single" w:sz="2" w:space="0" w:color="000000"/>
              <w:bottom w:val="single" w:sz="2" w:space="0" w:color="000000"/>
              <w:right w:val="single" w:sz="2" w:space="0" w:color="000000"/>
            </w:tcBorders>
          </w:tcPr>
          <w:p>
            <w:pPr/>
          </w:p>
        </w:tc>
        <w:tc>
          <w:tcPr>
            <w:tcW w:w="778" w:type="dxa"/>
            <w:tcBorders>
              <w:top w:val="single" w:sz="2" w:space="0" w:color="000000"/>
              <w:left w:val="single" w:sz="2" w:space="0" w:color="000000"/>
              <w:bottom w:val="single" w:sz="2" w:space="0" w:color="000000"/>
              <w:right w:val="single" w:sz="2" w:space="0" w:color="000000"/>
            </w:tcBorders>
          </w:tcPr>
          <w:p>
            <w:pPr/>
          </w:p>
        </w:tc>
        <w:tc>
          <w:tcPr>
            <w:tcW w:w="1640" w:type="dxa"/>
            <w:tcBorders>
              <w:top w:val="single" w:sz="2" w:space="0" w:color="000000"/>
              <w:left w:val="single" w:sz="2" w:space="0" w:color="000000"/>
              <w:bottom w:val="single" w:sz="2" w:space="0" w:color="000000"/>
              <w:right w:val="single" w:sz="2" w:space="0" w:color="000000"/>
            </w:tcBorders>
          </w:tcPr>
          <w:p>
            <w:pP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06" w:right="0"/>
              <w:jc w:val="center"/>
              <w:rPr>
                <w:rFonts w:ascii="Arial" w:hAnsi="Arial" w:cs="Arial" w:eastAsia="Arial" w:hint="default"/>
                <w:sz w:val="18"/>
                <w:szCs w:val="18"/>
              </w:rPr>
            </w:pPr>
            <w:r>
              <w:rPr>
                <w:rFonts w:ascii="Arial"/>
                <w:sz w:val="18"/>
              </w:rPr>
              <w:t>355,108.39</w:t>
            </w:r>
          </w:p>
        </w:tc>
        <w:tc>
          <w:tcPr>
            <w:tcW w:w="716" w:type="dxa"/>
            <w:tcBorders>
              <w:top w:val="single" w:sz="2" w:space="0" w:color="000000"/>
              <w:left w:val="single" w:sz="2" w:space="0" w:color="000000"/>
              <w:bottom w:val="single" w:sz="2" w:space="0" w:color="000000"/>
              <w:right w:val="single" w:sz="2" w:space="0" w:color="000000"/>
            </w:tcBorders>
          </w:tcPr>
          <w:p>
            <w:pPr/>
          </w:p>
        </w:tc>
        <w:tc>
          <w:tcPr>
            <w:tcW w:w="12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06" w:right="0"/>
              <w:jc w:val="left"/>
              <w:rPr>
                <w:rFonts w:ascii="Arial" w:hAnsi="Arial" w:cs="Arial" w:eastAsia="Arial" w:hint="default"/>
                <w:sz w:val="18"/>
                <w:szCs w:val="18"/>
              </w:rPr>
            </w:pPr>
            <w:r>
              <w:rPr>
                <w:rFonts w:ascii="Arial"/>
                <w:sz w:val="18"/>
              </w:rPr>
              <w:t>355,108.39</w:t>
            </w:r>
          </w:p>
        </w:tc>
      </w:tr>
      <w:tr>
        <w:trPr>
          <w:trHeight w:val="711" w:hRule="exact"/>
        </w:trPr>
        <w:tc>
          <w:tcPr>
            <w:tcW w:w="1678" w:type="dxa"/>
            <w:tcBorders>
              <w:top w:val="single" w:sz="2" w:space="0" w:color="000000"/>
              <w:left w:val="nil" w:sz="6" w:space="0" w:color="auto"/>
              <w:bottom w:val="single" w:sz="2" w:space="0" w:color="000000"/>
              <w:right w:val="single" w:sz="2" w:space="0" w:color="000000"/>
            </w:tcBorders>
          </w:tcPr>
          <w:p>
            <w:pPr>
              <w:pStyle w:val="TableParagraph"/>
              <w:spacing w:line="319" w:lineRule="auto" w:before="49"/>
              <w:ind w:left="124" w:right="105"/>
              <w:jc w:val="left"/>
              <w:rPr>
                <w:rFonts w:ascii="宋体" w:hAnsi="宋体" w:cs="宋体" w:eastAsia="宋体" w:hint="default"/>
                <w:sz w:val="18"/>
                <w:szCs w:val="18"/>
              </w:rPr>
            </w:pPr>
            <w:r>
              <w:rPr>
                <w:rFonts w:ascii="宋体" w:hAnsi="宋体" w:cs="宋体" w:eastAsia="宋体" w:hint="default"/>
                <w:sz w:val="18"/>
                <w:szCs w:val="18"/>
              </w:rPr>
              <w:t>中国远洋海运电商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供应链平台</w:t>
            </w:r>
          </w:p>
        </w:tc>
        <w:tc>
          <w:tcPr>
            <w:tcW w:w="14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3"/>
              <w:jc w:val="right"/>
              <w:rPr>
                <w:rFonts w:ascii="Arial" w:hAnsi="Arial" w:cs="Arial" w:eastAsia="Arial" w:hint="default"/>
                <w:sz w:val="18"/>
                <w:szCs w:val="18"/>
              </w:rPr>
            </w:pPr>
            <w:r>
              <w:rPr>
                <w:rFonts w:ascii="Arial"/>
                <w:spacing w:val="-2"/>
                <w:sz w:val="18"/>
              </w:rPr>
              <w:t>11,746,018.74</w:t>
            </w:r>
          </w:p>
        </w:tc>
        <w:tc>
          <w:tcPr>
            <w:tcW w:w="778" w:type="dxa"/>
            <w:tcBorders>
              <w:top w:val="single" w:sz="2" w:space="0" w:color="000000"/>
              <w:left w:val="single" w:sz="2" w:space="0" w:color="000000"/>
              <w:bottom w:val="single" w:sz="2" w:space="0" w:color="000000"/>
              <w:right w:val="single" w:sz="2" w:space="0" w:color="000000"/>
            </w:tcBorders>
          </w:tcPr>
          <w:p>
            <w:pPr/>
          </w:p>
        </w:tc>
        <w:tc>
          <w:tcPr>
            <w:tcW w:w="16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93" w:right="0"/>
              <w:jc w:val="left"/>
              <w:rPr>
                <w:rFonts w:ascii="Arial" w:hAnsi="Arial" w:cs="Arial" w:eastAsia="Arial" w:hint="default"/>
                <w:sz w:val="18"/>
                <w:szCs w:val="18"/>
              </w:rPr>
            </w:pPr>
            <w:r>
              <w:rPr>
                <w:rFonts w:ascii="Arial"/>
                <w:sz w:val="18"/>
              </w:rPr>
              <w:t>11,746,018.74</w:t>
            </w:r>
          </w:p>
        </w:tc>
        <w:tc>
          <w:tcPr>
            <w:tcW w:w="1217" w:type="dxa"/>
            <w:tcBorders>
              <w:top w:val="single" w:sz="2" w:space="0" w:color="000000"/>
              <w:left w:val="single" w:sz="2" w:space="0" w:color="000000"/>
              <w:bottom w:val="single" w:sz="2" w:space="0" w:color="000000"/>
              <w:right w:val="single" w:sz="2" w:space="0" w:color="000000"/>
            </w:tcBorders>
          </w:tcPr>
          <w:p>
            <w:pPr/>
          </w:p>
        </w:tc>
        <w:tc>
          <w:tcPr>
            <w:tcW w:w="716" w:type="dxa"/>
            <w:tcBorders>
              <w:top w:val="single" w:sz="2" w:space="0" w:color="000000"/>
              <w:left w:val="single" w:sz="2" w:space="0" w:color="000000"/>
              <w:bottom w:val="single" w:sz="2" w:space="0" w:color="000000"/>
              <w:right w:val="single" w:sz="2" w:space="0" w:color="000000"/>
            </w:tcBorders>
          </w:tcPr>
          <w:p>
            <w:pPr/>
          </w:p>
        </w:tc>
        <w:tc>
          <w:tcPr>
            <w:tcW w:w="1217" w:type="dxa"/>
            <w:tcBorders>
              <w:top w:val="single" w:sz="2" w:space="0" w:color="000000"/>
              <w:left w:val="single" w:sz="2" w:space="0" w:color="000000"/>
              <w:bottom w:val="single" w:sz="2" w:space="0" w:color="000000"/>
              <w:right w:val="nil" w:sz="6" w:space="0" w:color="auto"/>
            </w:tcBorders>
          </w:tcPr>
          <w:p>
            <w:pPr/>
          </w:p>
        </w:tc>
      </w:tr>
      <w:tr>
        <w:trPr>
          <w:trHeight w:val="497" w:hRule="exact"/>
        </w:trPr>
        <w:tc>
          <w:tcPr>
            <w:tcW w:w="167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2"/>
                <w:sz w:val="18"/>
              </w:rPr>
              <w:t>11,746,018.74</w:t>
            </w:r>
          </w:p>
        </w:tc>
        <w:tc>
          <w:tcPr>
            <w:tcW w:w="778" w:type="dxa"/>
            <w:tcBorders>
              <w:top w:val="single" w:sz="2" w:space="0" w:color="000000"/>
              <w:left w:val="single" w:sz="2" w:space="0" w:color="000000"/>
              <w:bottom w:val="single" w:sz="12" w:space="0" w:color="000000"/>
              <w:right w:val="single" w:sz="2" w:space="0" w:color="000000"/>
            </w:tcBorders>
          </w:tcPr>
          <w:p>
            <w:pPr/>
          </w:p>
        </w:tc>
        <w:tc>
          <w:tcPr>
            <w:tcW w:w="16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93" w:right="0"/>
              <w:jc w:val="left"/>
              <w:rPr>
                <w:rFonts w:ascii="Arial" w:hAnsi="Arial" w:cs="Arial" w:eastAsia="Arial" w:hint="default"/>
                <w:sz w:val="18"/>
                <w:szCs w:val="18"/>
              </w:rPr>
            </w:pPr>
            <w:r>
              <w:rPr>
                <w:rFonts w:ascii="Arial"/>
                <w:sz w:val="18"/>
              </w:rPr>
              <w:t>11,746,018.74</w:t>
            </w:r>
          </w:p>
        </w:tc>
        <w:tc>
          <w:tcPr>
            <w:tcW w:w="12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6" w:right="0"/>
              <w:jc w:val="center"/>
              <w:rPr>
                <w:rFonts w:ascii="Arial" w:hAnsi="Arial" w:cs="Arial" w:eastAsia="Arial" w:hint="default"/>
                <w:sz w:val="18"/>
                <w:szCs w:val="18"/>
              </w:rPr>
            </w:pPr>
            <w:r>
              <w:rPr>
                <w:rFonts w:ascii="Arial"/>
                <w:sz w:val="18"/>
              </w:rPr>
              <w:t>355,108.39</w:t>
            </w:r>
          </w:p>
        </w:tc>
        <w:tc>
          <w:tcPr>
            <w:tcW w:w="716" w:type="dxa"/>
            <w:tcBorders>
              <w:top w:val="single" w:sz="2" w:space="0" w:color="000000"/>
              <w:left w:val="single" w:sz="2" w:space="0" w:color="000000"/>
              <w:bottom w:val="single" w:sz="12" w:space="0" w:color="000000"/>
              <w:right w:val="single" w:sz="2" w:space="0" w:color="000000"/>
            </w:tcBorders>
          </w:tcPr>
          <w:p>
            <w:pPr/>
          </w:p>
        </w:tc>
        <w:tc>
          <w:tcPr>
            <w:tcW w:w="121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06" w:right="0"/>
              <w:jc w:val="left"/>
              <w:rPr>
                <w:rFonts w:ascii="Arial" w:hAnsi="Arial" w:cs="Arial" w:eastAsia="Arial" w:hint="default"/>
                <w:sz w:val="18"/>
                <w:szCs w:val="18"/>
              </w:rPr>
            </w:pPr>
            <w:r>
              <w:rPr>
                <w:rFonts w:ascii="Arial"/>
                <w:sz w:val="18"/>
              </w:rPr>
              <w:t>355,108.39</w:t>
            </w:r>
          </w:p>
        </w:tc>
      </w:tr>
    </w:tbl>
    <w:p>
      <w:pPr>
        <w:spacing w:line="240" w:lineRule="auto" w:before="5"/>
        <w:rPr>
          <w:rFonts w:ascii="宋体" w:hAnsi="宋体" w:cs="宋体" w:eastAsia="宋体" w:hint="default"/>
          <w:sz w:val="5"/>
          <w:szCs w:val="5"/>
        </w:rPr>
      </w:pPr>
    </w:p>
    <w:p>
      <w:pPr>
        <w:pStyle w:val="BodyText"/>
        <w:spacing w:line="240" w:lineRule="auto" w:before="32"/>
        <w:ind w:left="592" w:right="1133"/>
        <w:jc w:val="left"/>
      </w:pPr>
      <w:r>
        <w:rPr/>
        <w:t>（</w:t>
      </w:r>
      <w:r>
        <w:rPr>
          <w:rFonts w:ascii="Arial" w:hAnsi="Arial" w:cs="Arial" w:eastAsia="Arial" w:hint="default"/>
        </w:rPr>
        <w:t>2</w:t>
      </w:r>
      <w:r>
        <w:rPr/>
        <w:t>）重要在建工程项目本年变动情况</w:t>
      </w:r>
    </w:p>
    <w:p>
      <w:pPr>
        <w:spacing w:line="240" w:lineRule="auto" w:before="8"/>
        <w:rPr>
          <w:rFonts w:ascii="宋体" w:hAnsi="宋体" w:cs="宋体" w:eastAsia="宋体" w:hint="default"/>
          <w:sz w:val="5"/>
          <w:szCs w:val="5"/>
        </w:rPr>
      </w:pPr>
    </w:p>
    <w:tbl>
      <w:tblPr>
        <w:tblW w:w="0" w:type="auto"/>
        <w:jc w:val="left"/>
        <w:tblInd w:w="580" w:type="dxa"/>
        <w:tblLayout w:type="fixed"/>
        <w:tblCellMar>
          <w:top w:w="0" w:type="dxa"/>
          <w:left w:w="0" w:type="dxa"/>
          <w:bottom w:w="0" w:type="dxa"/>
          <w:right w:w="0" w:type="dxa"/>
        </w:tblCellMar>
        <w:tblLook w:val="01E0"/>
      </w:tblPr>
      <w:tblGrid>
        <w:gridCol w:w="2136"/>
        <w:gridCol w:w="1217"/>
        <w:gridCol w:w="1498"/>
        <w:gridCol w:w="1406"/>
        <w:gridCol w:w="987"/>
        <w:gridCol w:w="1495"/>
      </w:tblGrid>
      <w:tr>
        <w:trPr>
          <w:trHeight w:val="499" w:hRule="exact"/>
        </w:trPr>
        <w:tc>
          <w:tcPr>
            <w:tcW w:w="2136"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717"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1217"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247"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498"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386"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2393"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right="2"/>
              <w:jc w:val="center"/>
              <w:rPr>
                <w:rFonts w:ascii="宋体" w:hAnsi="宋体" w:cs="宋体" w:eastAsia="宋体" w:hint="default"/>
                <w:sz w:val="18"/>
                <w:szCs w:val="18"/>
              </w:rPr>
            </w:pPr>
            <w:r>
              <w:rPr>
                <w:rFonts w:ascii="宋体" w:hAnsi="宋体" w:cs="宋体" w:eastAsia="宋体" w:hint="default"/>
                <w:sz w:val="18"/>
                <w:szCs w:val="18"/>
              </w:rPr>
              <w:t>本年减少</w:t>
            </w:r>
          </w:p>
        </w:tc>
        <w:tc>
          <w:tcPr>
            <w:tcW w:w="1495" w:type="dxa"/>
            <w:vMerge w:val="restart"/>
            <w:tcBorders>
              <w:top w:val="single" w:sz="1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384"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485" w:hRule="exact"/>
        </w:trPr>
        <w:tc>
          <w:tcPr>
            <w:tcW w:w="2136" w:type="dxa"/>
            <w:vMerge/>
            <w:tcBorders>
              <w:left w:val="nil" w:sz="6" w:space="0" w:color="auto"/>
              <w:bottom w:val="single" w:sz="2" w:space="0" w:color="000000"/>
              <w:right w:val="single" w:sz="2" w:space="0" w:color="000000"/>
            </w:tcBorders>
          </w:tcPr>
          <w:p>
            <w:pPr/>
          </w:p>
        </w:tc>
        <w:tc>
          <w:tcPr>
            <w:tcW w:w="1217" w:type="dxa"/>
            <w:vMerge/>
            <w:tcBorders>
              <w:left w:val="single" w:sz="2" w:space="0" w:color="000000"/>
              <w:bottom w:val="single" w:sz="2" w:space="0" w:color="000000"/>
              <w:right w:val="single" w:sz="2" w:space="0" w:color="000000"/>
            </w:tcBorders>
          </w:tcPr>
          <w:p>
            <w:pPr/>
          </w:p>
        </w:tc>
        <w:tc>
          <w:tcPr>
            <w:tcW w:w="1498" w:type="dxa"/>
            <w:vMerge/>
            <w:tcBorders>
              <w:left w:val="single" w:sz="2" w:space="0" w:color="000000"/>
              <w:bottom w:val="single" w:sz="2" w:space="0" w:color="000000"/>
              <w:right w:val="single" w:sz="2" w:space="0" w:color="000000"/>
            </w:tcBorders>
          </w:tcPr>
          <w:p>
            <w:pPr/>
          </w:p>
        </w:tc>
        <w:tc>
          <w:tcPr>
            <w:tcW w:w="14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160" w:right="0"/>
              <w:jc w:val="left"/>
              <w:rPr>
                <w:rFonts w:ascii="宋体" w:hAnsi="宋体" w:cs="宋体" w:eastAsia="宋体" w:hint="default"/>
                <w:sz w:val="18"/>
                <w:szCs w:val="18"/>
              </w:rPr>
            </w:pPr>
            <w:r>
              <w:rPr>
                <w:rFonts w:ascii="宋体" w:hAnsi="宋体" w:cs="宋体" w:eastAsia="宋体" w:hint="default"/>
                <w:sz w:val="18"/>
                <w:szCs w:val="18"/>
              </w:rPr>
              <w:t>转入固定资产</w:t>
            </w:r>
          </w:p>
        </w:tc>
        <w:tc>
          <w:tcPr>
            <w:tcW w:w="9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129"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495" w:type="dxa"/>
            <w:vMerge/>
            <w:tcBorders>
              <w:left w:val="single" w:sz="2" w:space="0" w:color="000000"/>
              <w:bottom w:val="single" w:sz="2" w:space="0" w:color="000000"/>
              <w:right w:val="nil" w:sz="6" w:space="0" w:color="auto"/>
            </w:tcBorders>
          </w:tcPr>
          <w:p>
            <w:pPr/>
          </w:p>
        </w:tc>
      </w:tr>
      <w:tr>
        <w:trPr>
          <w:trHeight w:val="883" w:hRule="exact"/>
        </w:trPr>
        <w:tc>
          <w:tcPr>
            <w:tcW w:w="2136" w:type="dxa"/>
            <w:tcBorders>
              <w:top w:val="single" w:sz="2" w:space="0" w:color="000000"/>
              <w:left w:val="nil" w:sz="6" w:space="0" w:color="auto"/>
              <w:bottom w:val="single" w:sz="2" w:space="0" w:color="000000"/>
              <w:right w:val="single" w:sz="2" w:space="0" w:color="000000"/>
            </w:tcBorders>
          </w:tcPr>
          <w:p>
            <w:pPr>
              <w:pStyle w:val="TableParagraph"/>
              <w:spacing w:line="405" w:lineRule="auto" w:before="149"/>
              <w:ind w:left="124" w:right="86"/>
              <w:jc w:val="left"/>
              <w:rPr>
                <w:rFonts w:ascii="宋体" w:hAnsi="宋体" w:cs="宋体" w:eastAsia="宋体" w:hint="default"/>
                <w:sz w:val="18"/>
                <w:szCs w:val="18"/>
              </w:rPr>
            </w:pPr>
            <w:r>
              <w:rPr>
                <w:rFonts w:ascii="宋体" w:hAnsi="宋体" w:cs="宋体" w:eastAsia="宋体" w:hint="default"/>
                <w:spacing w:val="12"/>
                <w:sz w:val="18"/>
                <w:szCs w:val="18"/>
              </w:rPr>
              <w:t>搬迁集团全华数据中心 </w:t>
            </w:r>
            <w:r>
              <w:rPr>
                <w:rFonts w:ascii="宋体" w:hAnsi="宋体" w:cs="宋体" w:eastAsia="宋体" w:hint="default"/>
                <w:sz w:val="18"/>
                <w:szCs w:val="18"/>
              </w:rPr>
              <w:t>机房</w:t>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00"/>
              <w:jc w:val="right"/>
              <w:rPr>
                <w:rFonts w:ascii="Arial" w:hAnsi="Arial" w:cs="Arial" w:eastAsia="Arial" w:hint="default"/>
                <w:sz w:val="18"/>
                <w:szCs w:val="18"/>
              </w:rPr>
            </w:pPr>
            <w:r>
              <w:rPr>
                <w:rFonts w:ascii="Arial"/>
                <w:spacing w:val="-1"/>
                <w:sz w:val="18"/>
              </w:rPr>
              <w:t>355,108.39</w:t>
            </w:r>
          </w:p>
        </w:tc>
        <w:tc>
          <w:tcPr>
            <w:tcW w:w="14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03"/>
              <w:jc w:val="right"/>
              <w:rPr>
                <w:rFonts w:ascii="Arial" w:hAnsi="Arial" w:cs="Arial" w:eastAsia="Arial" w:hint="default"/>
                <w:sz w:val="18"/>
                <w:szCs w:val="18"/>
              </w:rPr>
            </w:pPr>
            <w:r>
              <w:rPr>
                <w:rFonts w:ascii="Arial"/>
                <w:spacing w:val="-1"/>
                <w:sz w:val="18"/>
              </w:rPr>
              <w:t>18,596,939.80</w:t>
            </w:r>
          </w:p>
        </w:tc>
        <w:tc>
          <w:tcPr>
            <w:tcW w:w="14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144" w:right="0"/>
              <w:jc w:val="left"/>
              <w:rPr>
                <w:rFonts w:ascii="Arial" w:hAnsi="Arial" w:cs="Arial" w:eastAsia="Arial" w:hint="default"/>
                <w:sz w:val="18"/>
                <w:szCs w:val="18"/>
              </w:rPr>
            </w:pPr>
            <w:r>
              <w:rPr>
                <w:rFonts w:ascii="Arial"/>
                <w:sz w:val="18"/>
              </w:rPr>
              <w:t>18,952,048.19</w:t>
            </w:r>
          </w:p>
        </w:tc>
        <w:tc>
          <w:tcPr>
            <w:tcW w:w="987" w:type="dxa"/>
            <w:tcBorders>
              <w:top w:val="single" w:sz="2" w:space="0" w:color="000000"/>
              <w:left w:val="single" w:sz="2" w:space="0" w:color="000000"/>
              <w:bottom w:val="single" w:sz="2" w:space="0" w:color="000000"/>
              <w:right w:val="single" w:sz="2" w:space="0" w:color="000000"/>
            </w:tcBorders>
          </w:tcPr>
          <w:p>
            <w:pPr/>
          </w:p>
        </w:tc>
        <w:tc>
          <w:tcPr>
            <w:tcW w:w="1495" w:type="dxa"/>
            <w:tcBorders>
              <w:top w:val="single" w:sz="2" w:space="0" w:color="000000"/>
              <w:left w:val="single" w:sz="2" w:space="0" w:color="000000"/>
              <w:bottom w:val="single" w:sz="2" w:space="0" w:color="000000"/>
              <w:right w:val="nil" w:sz="6" w:space="0" w:color="auto"/>
            </w:tcBorders>
          </w:tcPr>
          <w:p>
            <w:pPr/>
          </w:p>
        </w:tc>
      </w:tr>
      <w:tr>
        <w:trPr>
          <w:trHeight w:val="886" w:hRule="exact"/>
        </w:trPr>
        <w:tc>
          <w:tcPr>
            <w:tcW w:w="2136" w:type="dxa"/>
            <w:tcBorders>
              <w:top w:val="single" w:sz="2" w:space="0" w:color="000000"/>
              <w:left w:val="nil" w:sz="6" w:space="0" w:color="auto"/>
              <w:bottom w:val="single" w:sz="2" w:space="0" w:color="000000"/>
              <w:right w:val="single" w:sz="2" w:space="0" w:color="000000"/>
            </w:tcBorders>
          </w:tcPr>
          <w:p>
            <w:pPr>
              <w:pStyle w:val="TableParagraph"/>
              <w:spacing w:line="405" w:lineRule="auto" w:before="152"/>
              <w:ind w:left="124" w:right="86"/>
              <w:jc w:val="left"/>
              <w:rPr>
                <w:rFonts w:ascii="宋体" w:hAnsi="宋体" w:cs="宋体" w:eastAsia="宋体" w:hint="default"/>
                <w:sz w:val="18"/>
                <w:szCs w:val="18"/>
              </w:rPr>
            </w:pPr>
            <w:r>
              <w:rPr>
                <w:rFonts w:ascii="宋体" w:hAnsi="宋体" w:cs="宋体" w:eastAsia="宋体" w:hint="default"/>
                <w:spacing w:val="12"/>
                <w:sz w:val="18"/>
                <w:szCs w:val="18"/>
              </w:rPr>
              <w:t>中国远洋海运电商供应 </w:t>
            </w:r>
            <w:r>
              <w:rPr>
                <w:rFonts w:ascii="宋体" w:hAnsi="宋体" w:cs="宋体" w:eastAsia="宋体" w:hint="default"/>
                <w:sz w:val="18"/>
                <w:szCs w:val="18"/>
              </w:rPr>
              <w:t>链平台</w:t>
            </w:r>
          </w:p>
        </w:tc>
        <w:tc>
          <w:tcPr>
            <w:tcW w:w="1217" w:type="dxa"/>
            <w:tcBorders>
              <w:top w:val="single" w:sz="2" w:space="0" w:color="000000"/>
              <w:left w:val="single" w:sz="2" w:space="0" w:color="000000"/>
              <w:bottom w:val="single" w:sz="2" w:space="0" w:color="000000"/>
              <w:right w:val="single" w:sz="2" w:space="0" w:color="000000"/>
            </w:tcBorders>
          </w:tcPr>
          <w:p>
            <w:pPr/>
          </w:p>
        </w:tc>
        <w:tc>
          <w:tcPr>
            <w:tcW w:w="14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03"/>
              <w:jc w:val="right"/>
              <w:rPr>
                <w:rFonts w:ascii="Arial" w:hAnsi="Arial" w:cs="Arial" w:eastAsia="Arial" w:hint="default"/>
                <w:sz w:val="18"/>
                <w:szCs w:val="18"/>
              </w:rPr>
            </w:pPr>
            <w:r>
              <w:rPr>
                <w:rFonts w:ascii="Arial"/>
                <w:spacing w:val="-2"/>
                <w:sz w:val="18"/>
              </w:rPr>
              <w:t>11,746,018.74</w:t>
            </w:r>
          </w:p>
        </w:tc>
        <w:tc>
          <w:tcPr>
            <w:tcW w:w="1406" w:type="dxa"/>
            <w:tcBorders>
              <w:top w:val="single" w:sz="2" w:space="0" w:color="000000"/>
              <w:left w:val="single" w:sz="2" w:space="0" w:color="000000"/>
              <w:bottom w:val="single" w:sz="2" w:space="0" w:color="000000"/>
              <w:right w:val="single" w:sz="2" w:space="0" w:color="000000"/>
            </w:tcBorders>
          </w:tcPr>
          <w:p>
            <w:pPr/>
          </w:p>
        </w:tc>
        <w:tc>
          <w:tcPr>
            <w:tcW w:w="987" w:type="dxa"/>
            <w:tcBorders>
              <w:top w:val="single" w:sz="2" w:space="0" w:color="000000"/>
              <w:left w:val="single" w:sz="2" w:space="0" w:color="000000"/>
              <w:bottom w:val="single" w:sz="2" w:space="0" w:color="000000"/>
              <w:right w:val="single" w:sz="2" w:space="0" w:color="000000"/>
            </w:tcBorders>
          </w:tcPr>
          <w:p>
            <w:pPr/>
          </w:p>
        </w:tc>
        <w:tc>
          <w:tcPr>
            <w:tcW w:w="1495"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05"/>
              <w:jc w:val="right"/>
              <w:rPr>
                <w:rFonts w:ascii="Arial" w:hAnsi="Arial" w:cs="Arial" w:eastAsia="Arial" w:hint="default"/>
                <w:sz w:val="18"/>
                <w:szCs w:val="18"/>
              </w:rPr>
            </w:pPr>
            <w:r>
              <w:rPr>
                <w:rFonts w:ascii="Arial"/>
                <w:spacing w:val="-2"/>
                <w:sz w:val="18"/>
              </w:rPr>
              <w:t>11,746,018.74</w:t>
            </w:r>
          </w:p>
        </w:tc>
      </w:tr>
      <w:tr>
        <w:trPr>
          <w:trHeight w:val="499" w:hRule="exact"/>
        </w:trPr>
        <w:tc>
          <w:tcPr>
            <w:tcW w:w="213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355,108.39</w:t>
            </w:r>
          </w:p>
        </w:tc>
        <w:tc>
          <w:tcPr>
            <w:tcW w:w="14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30,342,958.54</w:t>
            </w:r>
          </w:p>
        </w:tc>
        <w:tc>
          <w:tcPr>
            <w:tcW w:w="14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44" w:right="0"/>
              <w:jc w:val="left"/>
              <w:rPr>
                <w:rFonts w:ascii="Arial" w:hAnsi="Arial" w:cs="Arial" w:eastAsia="Arial" w:hint="default"/>
                <w:sz w:val="18"/>
                <w:szCs w:val="18"/>
              </w:rPr>
            </w:pPr>
            <w:r>
              <w:rPr>
                <w:rFonts w:ascii="Arial"/>
                <w:sz w:val="18"/>
              </w:rPr>
              <w:t>18,952,048.19</w:t>
            </w:r>
          </w:p>
        </w:tc>
        <w:tc>
          <w:tcPr>
            <w:tcW w:w="987" w:type="dxa"/>
            <w:tcBorders>
              <w:top w:val="single" w:sz="2" w:space="0" w:color="000000"/>
              <w:left w:val="single" w:sz="2" w:space="0" w:color="000000"/>
              <w:bottom w:val="single" w:sz="12" w:space="0" w:color="000000"/>
              <w:right w:val="single" w:sz="2" w:space="0" w:color="000000"/>
            </w:tcBorders>
          </w:tcPr>
          <w:p>
            <w:pPr/>
          </w:p>
        </w:tc>
        <w:tc>
          <w:tcPr>
            <w:tcW w:w="149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2"/>
                <w:sz w:val="18"/>
              </w:rPr>
              <w:t>11,746,018.74</w:t>
            </w:r>
          </w:p>
        </w:tc>
      </w:tr>
    </w:tbl>
    <w:p>
      <w:pPr>
        <w:spacing w:line="240" w:lineRule="auto" w:before="5"/>
        <w:rPr>
          <w:rFonts w:ascii="宋体" w:hAnsi="宋体" w:cs="宋体" w:eastAsia="宋体" w:hint="default"/>
          <w:sz w:val="5"/>
          <w:szCs w:val="5"/>
        </w:rPr>
      </w:pPr>
    </w:p>
    <w:p>
      <w:pPr>
        <w:pStyle w:val="BodyText"/>
        <w:spacing w:line="240" w:lineRule="auto" w:before="32"/>
        <w:ind w:left="592" w:right="1133"/>
        <w:jc w:val="left"/>
      </w:pPr>
      <w:r>
        <w:rPr/>
        <w:t>（续）</w:t>
      </w:r>
    </w:p>
    <w:p>
      <w:pPr>
        <w:spacing w:line="240" w:lineRule="auto" w:before="11"/>
        <w:rPr>
          <w:rFonts w:ascii="宋体" w:hAnsi="宋体" w:cs="宋体" w:eastAsia="宋体" w:hint="default"/>
          <w:sz w:val="6"/>
          <w:szCs w:val="6"/>
        </w:rPr>
      </w:pPr>
    </w:p>
    <w:tbl>
      <w:tblPr>
        <w:tblW w:w="0" w:type="auto"/>
        <w:jc w:val="left"/>
        <w:tblInd w:w="580" w:type="dxa"/>
        <w:tblLayout w:type="fixed"/>
        <w:tblCellMar>
          <w:top w:w="0" w:type="dxa"/>
          <w:left w:w="0" w:type="dxa"/>
          <w:bottom w:w="0" w:type="dxa"/>
          <w:right w:w="0" w:type="dxa"/>
        </w:tblCellMar>
        <w:tblLook w:val="01E0"/>
      </w:tblPr>
      <w:tblGrid>
        <w:gridCol w:w="1685"/>
        <w:gridCol w:w="1558"/>
        <w:gridCol w:w="1135"/>
        <w:gridCol w:w="816"/>
        <w:gridCol w:w="864"/>
        <w:gridCol w:w="1090"/>
        <w:gridCol w:w="989"/>
        <w:gridCol w:w="602"/>
      </w:tblGrid>
      <w:tr>
        <w:trPr>
          <w:trHeight w:val="1337" w:hRule="exact"/>
        </w:trPr>
        <w:tc>
          <w:tcPr>
            <w:tcW w:w="1685"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工程名称</w:t>
            </w:r>
          </w:p>
        </w:tc>
        <w:tc>
          <w:tcPr>
            <w:tcW w:w="15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506"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113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405" w:lineRule="auto"/>
              <w:ind w:left="115" w:right="113"/>
              <w:jc w:val="center"/>
              <w:rPr>
                <w:rFonts w:ascii="宋体" w:hAnsi="宋体" w:cs="宋体" w:eastAsia="宋体" w:hint="default"/>
                <w:sz w:val="18"/>
                <w:szCs w:val="18"/>
              </w:rPr>
            </w:pPr>
            <w:r>
              <w:rPr>
                <w:rFonts w:ascii="宋体" w:hAnsi="宋体" w:cs="宋体" w:eastAsia="宋体" w:hint="default"/>
                <w:sz w:val="18"/>
                <w:szCs w:val="18"/>
              </w:rPr>
              <w:t>工程累计投 入占预算比</w:t>
            </w:r>
          </w:p>
          <w:p>
            <w:pPr>
              <w:pStyle w:val="TableParagraph"/>
              <w:spacing w:line="240" w:lineRule="auto" w:before="41"/>
              <w:ind w:left="2" w:right="0"/>
              <w:jc w:val="center"/>
              <w:rPr>
                <w:rFonts w:ascii="Arial" w:hAnsi="Arial" w:cs="Arial" w:eastAsia="Arial" w:hint="default"/>
                <w:sz w:val="18"/>
                <w:szCs w:val="18"/>
              </w:rPr>
            </w:pPr>
            <w:r>
              <w:rPr>
                <w:rFonts w:ascii="宋体" w:hAnsi="宋体" w:cs="宋体" w:eastAsia="宋体" w:hint="default"/>
                <w:sz w:val="18"/>
                <w:szCs w:val="18"/>
              </w:rPr>
              <w:t>例</w:t>
            </w:r>
            <w:r>
              <w:rPr>
                <w:rFonts w:ascii="Arial" w:hAnsi="Arial" w:cs="Arial" w:eastAsia="Arial" w:hint="default"/>
                <w:sz w:val="18"/>
                <w:szCs w:val="18"/>
              </w:rPr>
              <w:t>(%)</w:t>
            </w:r>
          </w:p>
        </w:tc>
        <w:tc>
          <w:tcPr>
            <w:tcW w:w="816" w:type="dxa"/>
            <w:tcBorders>
              <w:top w:val="single" w:sz="12" w:space="0" w:color="000000"/>
              <w:left w:val="single" w:sz="2" w:space="0" w:color="000000"/>
              <w:bottom w:val="single" w:sz="2" w:space="0" w:color="000000"/>
              <w:right w:val="single" w:sz="2" w:space="0" w:color="000000"/>
            </w:tcBorders>
          </w:tcPr>
          <w:p>
            <w:pPr>
              <w:pStyle w:val="TableParagraph"/>
              <w:spacing w:line="446" w:lineRule="auto" w:before="149"/>
              <w:ind w:left="225" w:right="225"/>
              <w:jc w:val="left"/>
              <w:rPr>
                <w:rFonts w:ascii="宋体" w:hAnsi="宋体" w:cs="宋体" w:eastAsia="宋体" w:hint="default"/>
                <w:sz w:val="18"/>
                <w:szCs w:val="18"/>
              </w:rPr>
            </w:pPr>
            <w:r>
              <w:rPr>
                <w:rFonts w:ascii="宋体" w:hAnsi="宋体" w:cs="宋体" w:eastAsia="宋体" w:hint="default"/>
                <w:sz w:val="18"/>
                <w:szCs w:val="18"/>
              </w:rPr>
              <w:t>工程 进度</w:t>
            </w:r>
          </w:p>
          <w:p>
            <w:pPr>
              <w:pStyle w:val="TableParagraph"/>
              <w:spacing w:line="240" w:lineRule="auto" w:before="52"/>
              <w:ind w:left="266" w:right="0"/>
              <w:jc w:val="left"/>
              <w:rPr>
                <w:rFonts w:ascii="Arial" w:hAnsi="Arial" w:cs="Arial" w:eastAsia="Arial" w:hint="default"/>
                <w:sz w:val="18"/>
                <w:szCs w:val="18"/>
              </w:rPr>
            </w:pPr>
            <w:r>
              <w:rPr>
                <w:rFonts w:ascii="Arial"/>
                <w:sz w:val="18"/>
              </w:rPr>
              <w:t>(%)</w:t>
            </w:r>
          </w:p>
        </w:tc>
        <w:tc>
          <w:tcPr>
            <w:tcW w:w="86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408" w:lineRule="auto"/>
              <w:ind w:left="160" w:right="156"/>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109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408" w:lineRule="auto"/>
              <w:ind w:left="108" w:right="101"/>
              <w:jc w:val="center"/>
              <w:rPr>
                <w:rFonts w:ascii="宋体" w:hAnsi="宋体" w:cs="宋体" w:eastAsia="宋体" w:hint="default"/>
                <w:sz w:val="18"/>
                <w:szCs w:val="18"/>
              </w:rPr>
            </w:pPr>
            <w:r>
              <w:rPr>
                <w:rFonts w:ascii="宋体" w:hAnsi="宋体" w:cs="宋体" w:eastAsia="宋体" w:hint="default"/>
                <w:spacing w:val="-6"/>
                <w:sz w:val="18"/>
                <w:szCs w:val="18"/>
              </w:rPr>
              <w:t>其中：本年</w:t>
            </w:r>
            <w:r>
              <w:rPr>
                <w:rFonts w:ascii="宋体" w:hAnsi="宋体" w:cs="宋体" w:eastAsia="宋体" w:hint="default"/>
                <w:sz w:val="18"/>
                <w:szCs w:val="18"/>
              </w:rPr>
              <w:t> 利息资本 化金额</w:t>
            </w:r>
          </w:p>
        </w:tc>
        <w:tc>
          <w:tcPr>
            <w:tcW w:w="98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427" w:lineRule="auto"/>
              <w:ind w:left="135" w:right="127"/>
              <w:jc w:val="center"/>
              <w:rPr>
                <w:rFonts w:ascii="Arial" w:hAnsi="Arial" w:cs="Arial" w:eastAsia="Arial" w:hint="default"/>
                <w:sz w:val="18"/>
                <w:szCs w:val="18"/>
              </w:rPr>
            </w:pPr>
            <w:r>
              <w:rPr>
                <w:rFonts w:ascii="宋体" w:hAnsi="宋体" w:cs="宋体" w:eastAsia="宋体" w:hint="default"/>
                <w:sz w:val="18"/>
                <w:szCs w:val="18"/>
              </w:rPr>
              <w:t>本年利息 资本化率 </w:t>
            </w:r>
            <w:r>
              <w:rPr>
                <w:rFonts w:ascii="Arial" w:hAnsi="Arial" w:cs="Arial" w:eastAsia="Arial" w:hint="default"/>
                <w:sz w:val="18"/>
                <w:szCs w:val="18"/>
              </w:rPr>
              <w:t>(%)</w:t>
            </w:r>
          </w:p>
        </w:tc>
        <w:tc>
          <w:tcPr>
            <w:tcW w:w="602"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405" w:lineRule="auto" w:before="135"/>
              <w:ind w:left="120" w:right="119"/>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500" w:hRule="exact"/>
        </w:trPr>
        <w:tc>
          <w:tcPr>
            <w:tcW w:w="168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50"/>
              <w:ind w:left="21" w:right="0"/>
              <w:jc w:val="center"/>
              <w:rPr>
                <w:rFonts w:ascii="宋体" w:hAnsi="宋体" w:cs="宋体" w:eastAsia="宋体" w:hint="default"/>
                <w:sz w:val="18"/>
                <w:szCs w:val="18"/>
              </w:rPr>
            </w:pPr>
            <w:r>
              <w:rPr>
                <w:rFonts w:ascii="宋体" w:hAnsi="宋体" w:cs="宋体" w:eastAsia="宋体" w:hint="default"/>
                <w:sz w:val="18"/>
                <w:szCs w:val="18"/>
              </w:rPr>
              <w:t>搬迁集团全华数据</w:t>
            </w:r>
          </w:p>
        </w:tc>
        <w:tc>
          <w:tcPr>
            <w:tcW w:w="15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95" w:right="0"/>
              <w:jc w:val="left"/>
              <w:rPr>
                <w:rFonts w:ascii="Arial" w:hAnsi="Arial" w:cs="Arial" w:eastAsia="Arial" w:hint="default"/>
                <w:sz w:val="18"/>
                <w:szCs w:val="18"/>
              </w:rPr>
            </w:pPr>
            <w:r>
              <w:rPr>
                <w:rFonts w:ascii="Arial"/>
                <w:sz w:val="18"/>
              </w:rPr>
              <w:t>22,440,000.00</w:t>
            </w:r>
          </w:p>
        </w:tc>
        <w:tc>
          <w:tcPr>
            <w:tcW w:w="11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75" w:right="0"/>
              <w:jc w:val="left"/>
              <w:rPr>
                <w:rFonts w:ascii="Arial" w:hAnsi="Arial" w:cs="Arial" w:eastAsia="Arial" w:hint="default"/>
                <w:sz w:val="18"/>
                <w:szCs w:val="18"/>
              </w:rPr>
            </w:pPr>
            <w:r>
              <w:rPr>
                <w:rFonts w:ascii="Arial"/>
                <w:sz w:val="18"/>
              </w:rPr>
              <w:t>100.00</w:t>
            </w:r>
          </w:p>
        </w:tc>
        <w:tc>
          <w:tcPr>
            <w:tcW w:w="8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58" w:right="0"/>
              <w:jc w:val="left"/>
              <w:rPr>
                <w:rFonts w:ascii="Arial" w:hAnsi="Arial" w:cs="Arial" w:eastAsia="Arial" w:hint="default"/>
                <w:sz w:val="18"/>
                <w:szCs w:val="18"/>
              </w:rPr>
            </w:pPr>
            <w:r>
              <w:rPr>
                <w:rFonts w:ascii="Arial"/>
                <w:sz w:val="18"/>
              </w:rPr>
              <w:t>100.00</w:t>
            </w:r>
          </w:p>
        </w:tc>
        <w:tc>
          <w:tcPr>
            <w:tcW w:w="864" w:type="dxa"/>
            <w:tcBorders>
              <w:top w:val="single" w:sz="2" w:space="0" w:color="000000"/>
              <w:left w:val="single" w:sz="2" w:space="0" w:color="000000"/>
              <w:bottom w:val="single" w:sz="12" w:space="0" w:color="000000"/>
              <w:right w:val="single" w:sz="2" w:space="0" w:color="000000"/>
            </w:tcBorders>
          </w:tcPr>
          <w:p>
            <w:pPr/>
          </w:p>
        </w:tc>
        <w:tc>
          <w:tcPr>
            <w:tcW w:w="1090" w:type="dxa"/>
            <w:tcBorders>
              <w:top w:val="single" w:sz="2" w:space="0" w:color="000000"/>
              <w:left w:val="single" w:sz="2" w:space="0" w:color="000000"/>
              <w:bottom w:val="single" w:sz="12" w:space="0" w:color="000000"/>
              <w:right w:val="single" w:sz="2" w:space="0" w:color="000000"/>
            </w:tcBorders>
          </w:tcPr>
          <w:p>
            <w:pPr/>
          </w:p>
        </w:tc>
        <w:tc>
          <w:tcPr>
            <w:tcW w:w="989" w:type="dxa"/>
            <w:tcBorders>
              <w:top w:val="single" w:sz="2" w:space="0" w:color="000000"/>
              <w:left w:val="single" w:sz="2" w:space="0" w:color="000000"/>
              <w:bottom w:val="single" w:sz="12" w:space="0" w:color="000000"/>
              <w:right w:val="single" w:sz="2" w:space="0" w:color="000000"/>
            </w:tcBorders>
          </w:tcPr>
          <w:p>
            <w:pPr/>
          </w:p>
        </w:tc>
        <w:tc>
          <w:tcPr>
            <w:tcW w:w="60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0"/>
              <w:ind w:left="120" w:right="0"/>
              <w:jc w:val="left"/>
              <w:rPr>
                <w:rFonts w:ascii="宋体" w:hAnsi="宋体" w:cs="宋体" w:eastAsia="宋体" w:hint="default"/>
                <w:sz w:val="18"/>
                <w:szCs w:val="18"/>
              </w:rPr>
            </w:pPr>
            <w:r>
              <w:rPr>
                <w:rFonts w:ascii="宋体" w:hAnsi="宋体" w:cs="宋体" w:eastAsia="宋体" w:hint="default"/>
                <w:sz w:val="18"/>
                <w:szCs w:val="18"/>
              </w:rPr>
              <w:t>自筹</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580" w:type="dxa"/>
        <w:tblLayout w:type="fixed"/>
        <w:tblCellMar>
          <w:top w:w="0" w:type="dxa"/>
          <w:left w:w="0" w:type="dxa"/>
          <w:bottom w:w="0" w:type="dxa"/>
          <w:right w:w="0" w:type="dxa"/>
        </w:tblCellMar>
        <w:tblLook w:val="01E0"/>
      </w:tblPr>
      <w:tblGrid>
        <w:gridCol w:w="1685"/>
        <w:gridCol w:w="1558"/>
        <w:gridCol w:w="1135"/>
        <w:gridCol w:w="816"/>
        <w:gridCol w:w="864"/>
        <w:gridCol w:w="1090"/>
        <w:gridCol w:w="989"/>
        <w:gridCol w:w="602"/>
      </w:tblGrid>
      <w:tr>
        <w:trPr>
          <w:trHeight w:val="1340" w:hRule="exact"/>
        </w:trPr>
        <w:tc>
          <w:tcPr>
            <w:tcW w:w="1685"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489"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15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506"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113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408" w:lineRule="auto"/>
              <w:ind w:left="115" w:right="113"/>
              <w:jc w:val="center"/>
              <w:rPr>
                <w:rFonts w:ascii="Arial" w:hAnsi="Arial" w:cs="Arial" w:eastAsia="Arial" w:hint="default"/>
                <w:sz w:val="18"/>
                <w:szCs w:val="18"/>
              </w:rPr>
            </w:pPr>
            <w:r>
              <w:rPr>
                <w:rFonts w:ascii="宋体" w:hAnsi="宋体" w:cs="宋体" w:eastAsia="宋体" w:hint="default"/>
                <w:sz w:val="18"/>
                <w:szCs w:val="18"/>
              </w:rPr>
              <w:t>工程累计投 入占预算比 例</w:t>
            </w:r>
            <w:r>
              <w:rPr>
                <w:rFonts w:ascii="Arial" w:hAnsi="Arial" w:cs="Arial" w:eastAsia="Arial" w:hint="default"/>
                <w:sz w:val="18"/>
                <w:szCs w:val="18"/>
              </w:rPr>
              <w:t>(%)</w:t>
            </w:r>
          </w:p>
        </w:tc>
        <w:tc>
          <w:tcPr>
            <w:tcW w:w="816" w:type="dxa"/>
            <w:tcBorders>
              <w:top w:val="single" w:sz="12" w:space="0" w:color="000000"/>
              <w:left w:val="single" w:sz="2" w:space="0" w:color="000000"/>
              <w:bottom w:val="single" w:sz="2" w:space="0" w:color="000000"/>
              <w:right w:val="single" w:sz="2" w:space="0" w:color="000000"/>
            </w:tcBorders>
          </w:tcPr>
          <w:p>
            <w:pPr>
              <w:pStyle w:val="TableParagraph"/>
              <w:spacing w:line="446" w:lineRule="auto" w:before="152"/>
              <w:ind w:left="225" w:right="225"/>
              <w:jc w:val="left"/>
              <w:rPr>
                <w:rFonts w:ascii="宋体" w:hAnsi="宋体" w:cs="宋体" w:eastAsia="宋体" w:hint="default"/>
                <w:sz w:val="18"/>
                <w:szCs w:val="18"/>
              </w:rPr>
            </w:pPr>
            <w:r>
              <w:rPr>
                <w:rFonts w:ascii="宋体" w:hAnsi="宋体" w:cs="宋体" w:eastAsia="宋体" w:hint="default"/>
                <w:sz w:val="18"/>
                <w:szCs w:val="18"/>
              </w:rPr>
              <w:t>工程 进度</w:t>
            </w:r>
          </w:p>
          <w:p>
            <w:pPr>
              <w:pStyle w:val="TableParagraph"/>
              <w:spacing w:line="240" w:lineRule="auto" w:before="49"/>
              <w:ind w:left="266" w:right="0"/>
              <w:jc w:val="left"/>
              <w:rPr>
                <w:rFonts w:ascii="Arial" w:hAnsi="Arial" w:cs="Arial" w:eastAsia="Arial" w:hint="default"/>
                <w:sz w:val="18"/>
                <w:szCs w:val="18"/>
              </w:rPr>
            </w:pPr>
            <w:r>
              <w:rPr>
                <w:rFonts w:ascii="Arial"/>
                <w:sz w:val="18"/>
              </w:rPr>
              <w:t>(%)</w:t>
            </w:r>
          </w:p>
        </w:tc>
        <w:tc>
          <w:tcPr>
            <w:tcW w:w="86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408" w:lineRule="auto"/>
              <w:ind w:left="160" w:right="156"/>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109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408" w:lineRule="auto"/>
              <w:ind w:left="108" w:right="101"/>
              <w:jc w:val="center"/>
              <w:rPr>
                <w:rFonts w:ascii="宋体" w:hAnsi="宋体" w:cs="宋体" w:eastAsia="宋体" w:hint="default"/>
                <w:sz w:val="18"/>
                <w:szCs w:val="18"/>
              </w:rPr>
            </w:pPr>
            <w:r>
              <w:rPr>
                <w:rFonts w:ascii="宋体" w:hAnsi="宋体" w:cs="宋体" w:eastAsia="宋体" w:hint="default"/>
                <w:spacing w:val="-6"/>
                <w:sz w:val="18"/>
                <w:szCs w:val="18"/>
              </w:rPr>
              <w:t>其中：本年</w:t>
            </w:r>
            <w:r>
              <w:rPr>
                <w:rFonts w:ascii="宋体" w:hAnsi="宋体" w:cs="宋体" w:eastAsia="宋体" w:hint="default"/>
                <w:sz w:val="18"/>
                <w:szCs w:val="18"/>
              </w:rPr>
              <w:t> 利息资本 化金额</w:t>
            </w:r>
          </w:p>
        </w:tc>
        <w:tc>
          <w:tcPr>
            <w:tcW w:w="98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427" w:lineRule="auto"/>
              <w:ind w:left="135" w:right="127"/>
              <w:jc w:val="center"/>
              <w:rPr>
                <w:rFonts w:ascii="Arial" w:hAnsi="Arial" w:cs="Arial" w:eastAsia="Arial" w:hint="default"/>
                <w:sz w:val="18"/>
                <w:szCs w:val="18"/>
              </w:rPr>
            </w:pPr>
            <w:r>
              <w:rPr>
                <w:rFonts w:ascii="宋体" w:hAnsi="宋体" w:cs="宋体" w:eastAsia="宋体" w:hint="default"/>
                <w:sz w:val="18"/>
                <w:szCs w:val="18"/>
              </w:rPr>
              <w:t>本年利息 资本化率 </w:t>
            </w:r>
            <w:r>
              <w:rPr>
                <w:rFonts w:ascii="Arial" w:hAnsi="Arial" w:cs="Arial" w:eastAsia="Arial" w:hint="default"/>
                <w:sz w:val="18"/>
                <w:szCs w:val="18"/>
              </w:rPr>
              <w:t>(%)</w:t>
            </w:r>
          </w:p>
        </w:tc>
        <w:tc>
          <w:tcPr>
            <w:tcW w:w="602"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408" w:lineRule="auto" w:before="135"/>
              <w:ind w:left="120" w:right="119"/>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444" w:hRule="exact"/>
        </w:trPr>
        <w:tc>
          <w:tcPr>
            <w:tcW w:w="16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9"/>
              <w:ind w:left="124" w:right="0"/>
              <w:jc w:val="left"/>
              <w:rPr>
                <w:rFonts w:ascii="宋体" w:hAnsi="宋体" w:cs="宋体" w:eastAsia="宋体" w:hint="default"/>
                <w:sz w:val="18"/>
                <w:szCs w:val="18"/>
              </w:rPr>
            </w:pPr>
            <w:r>
              <w:rPr>
                <w:rFonts w:ascii="宋体" w:hAnsi="宋体" w:cs="宋体" w:eastAsia="宋体" w:hint="default"/>
                <w:sz w:val="18"/>
                <w:szCs w:val="18"/>
              </w:rPr>
              <w:t>中心机房</w:t>
            </w:r>
          </w:p>
        </w:tc>
        <w:tc>
          <w:tcPr>
            <w:tcW w:w="1558" w:type="dxa"/>
            <w:tcBorders>
              <w:top w:val="single" w:sz="2" w:space="0" w:color="000000"/>
              <w:left w:val="single" w:sz="2" w:space="0" w:color="000000"/>
              <w:bottom w:val="single" w:sz="2" w:space="0" w:color="000000"/>
              <w:right w:val="single" w:sz="2" w:space="0" w:color="000000"/>
            </w:tcBorders>
          </w:tcPr>
          <w:p>
            <w:pPr/>
          </w:p>
        </w:tc>
        <w:tc>
          <w:tcPr>
            <w:tcW w:w="1135" w:type="dxa"/>
            <w:tcBorders>
              <w:top w:val="single" w:sz="2" w:space="0" w:color="000000"/>
              <w:left w:val="single" w:sz="2" w:space="0" w:color="000000"/>
              <w:bottom w:val="single" w:sz="2" w:space="0" w:color="000000"/>
              <w:right w:val="single" w:sz="2" w:space="0" w:color="000000"/>
            </w:tcBorders>
          </w:tcPr>
          <w:p>
            <w:pPr/>
          </w:p>
        </w:tc>
        <w:tc>
          <w:tcPr>
            <w:tcW w:w="816" w:type="dxa"/>
            <w:tcBorders>
              <w:top w:val="single" w:sz="2" w:space="0" w:color="000000"/>
              <w:left w:val="single" w:sz="2" w:space="0" w:color="000000"/>
              <w:bottom w:val="single" w:sz="2" w:space="0" w:color="000000"/>
              <w:right w:val="single" w:sz="2" w:space="0" w:color="000000"/>
            </w:tcBorders>
          </w:tcPr>
          <w:p>
            <w:pPr/>
          </w:p>
        </w:tc>
        <w:tc>
          <w:tcPr>
            <w:tcW w:w="864" w:type="dxa"/>
            <w:tcBorders>
              <w:top w:val="single" w:sz="2" w:space="0" w:color="000000"/>
              <w:left w:val="single" w:sz="2" w:space="0" w:color="000000"/>
              <w:bottom w:val="single" w:sz="2" w:space="0" w:color="000000"/>
              <w:right w:val="single" w:sz="2" w:space="0" w:color="000000"/>
            </w:tcBorders>
          </w:tcPr>
          <w:p>
            <w:pPr/>
          </w:p>
        </w:tc>
        <w:tc>
          <w:tcPr>
            <w:tcW w:w="1090" w:type="dxa"/>
            <w:tcBorders>
              <w:top w:val="single" w:sz="2" w:space="0" w:color="000000"/>
              <w:left w:val="single" w:sz="2" w:space="0" w:color="000000"/>
              <w:bottom w:val="single" w:sz="2" w:space="0" w:color="000000"/>
              <w:right w:val="single" w:sz="2" w:space="0" w:color="000000"/>
            </w:tcBorders>
          </w:tcPr>
          <w:p>
            <w:pPr/>
          </w:p>
        </w:tc>
        <w:tc>
          <w:tcPr>
            <w:tcW w:w="989" w:type="dxa"/>
            <w:tcBorders>
              <w:top w:val="single" w:sz="2" w:space="0" w:color="000000"/>
              <w:left w:val="single" w:sz="2" w:space="0" w:color="000000"/>
              <w:bottom w:val="single" w:sz="2" w:space="0" w:color="000000"/>
              <w:right w:val="single" w:sz="2" w:space="0" w:color="000000"/>
            </w:tcBorders>
          </w:tcPr>
          <w:p>
            <w:pPr/>
          </w:p>
        </w:tc>
        <w:tc>
          <w:tcPr>
            <w:tcW w:w="602" w:type="dxa"/>
            <w:tcBorders>
              <w:top w:val="single" w:sz="2" w:space="0" w:color="000000"/>
              <w:left w:val="single" w:sz="2" w:space="0" w:color="000000"/>
              <w:bottom w:val="single" w:sz="2" w:space="0" w:color="000000"/>
              <w:right w:val="nil" w:sz="6" w:space="0" w:color="auto"/>
            </w:tcBorders>
          </w:tcPr>
          <w:p>
            <w:pPr/>
          </w:p>
        </w:tc>
      </w:tr>
      <w:tr>
        <w:trPr>
          <w:trHeight w:val="886" w:hRule="exact"/>
        </w:trPr>
        <w:tc>
          <w:tcPr>
            <w:tcW w:w="1685" w:type="dxa"/>
            <w:tcBorders>
              <w:top w:val="single" w:sz="2" w:space="0" w:color="000000"/>
              <w:left w:val="nil" w:sz="6" w:space="0" w:color="auto"/>
              <w:bottom w:val="single" w:sz="2" w:space="0" w:color="000000"/>
              <w:right w:val="single" w:sz="2" w:space="0" w:color="000000"/>
            </w:tcBorders>
          </w:tcPr>
          <w:p>
            <w:pPr>
              <w:pStyle w:val="TableParagraph"/>
              <w:spacing w:line="405" w:lineRule="auto" w:before="149"/>
              <w:ind w:left="124" w:right="102"/>
              <w:jc w:val="left"/>
              <w:rPr>
                <w:rFonts w:ascii="宋体" w:hAnsi="宋体" w:cs="宋体" w:eastAsia="宋体" w:hint="default"/>
                <w:sz w:val="18"/>
                <w:szCs w:val="18"/>
              </w:rPr>
            </w:pPr>
            <w:r>
              <w:rPr>
                <w:rFonts w:ascii="宋体" w:hAnsi="宋体" w:cs="宋体" w:eastAsia="宋体" w:hint="default"/>
                <w:sz w:val="18"/>
                <w:szCs w:val="18"/>
              </w:rPr>
              <w:t>中国远洋海运电商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供应链平台</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03"/>
              <w:jc w:val="right"/>
              <w:rPr>
                <w:rFonts w:ascii="Arial" w:hAnsi="Arial" w:cs="Arial" w:eastAsia="Arial" w:hint="default"/>
                <w:sz w:val="18"/>
                <w:szCs w:val="18"/>
              </w:rPr>
            </w:pPr>
            <w:r>
              <w:rPr>
                <w:rFonts w:ascii="Arial"/>
                <w:spacing w:val="-1"/>
                <w:sz w:val="18"/>
              </w:rPr>
              <w:t>18,560,519.00</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573" w:right="0"/>
              <w:jc w:val="left"/>
              <w:rPr>
                <w:rFonts w:ascii="Arial" w:hAnsi="Arial" w:cs="Arial" w:eastAsia="Arial" w:hint="default"/>
                <w:sz w:val="18"/>
                <w:szCs w:val="18"/>
              </w:rPr>
            </w:pPr>
            <w:r>
              <w:rPr>
                <w:rFonts w:ascii="Arial"/>
                <w:sz w:val="18"/>
              </w:rPr>
              <w:t>63.28</w:t>
            </w:r>
          </w:p>
        </w:tc>
        <w:tc>
          <w:tcPr>
            <w:tcW w:w="8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256" w:right="0"/>
              <w:jc w:val="left"/>
              <w:rPr>
                <w:rFonts w:ascii="Arial" w:hAnsi="Arial" w:cs="Arial" w:eastAsia="Arial" w:hint="default"/>
                <w:sz w:val="18"/>
                <w:szCs w:val="18"/>
              </w:rPr>
            </w:pPr>
            <w:r>
              <w:rPr>
                <w:rFonts w:ascii="Arial"/>
                <w:sz w:val="18"/>
              </w:rPr>
              <w:t>63.28</w:t>
            </w:r>
          </w:p>
        </w:tc>
        <w:tc>
          <w:tcPr>
            <w:tcW w:w="864" w:type="dxa"/>
            <w:tcBorders>
              <w:top w:val="single" w:sz="2" w:space="0" w:color="000000"/>
              <w:left w:val="single" w:sz="2" w:space="0" w:color="000000"/>
              <w:bottom w:val="single" w:sz="2" w:space="0" w:color="000000"/>
              <w:right w:val="single" w:sz="2" w:space="0" w:color="000000"/>
            </w:tcBorders>
          </w:tcPr>
          <w:p>
            <w:pPr/>
          </w:p>
        </w:tc>
        <w:tc>
          <w:tcPr>
            <w:tcW w:w="1090" w:type="dxa"/>
            <w:tcBorders>
              <w:top w:val="single" w:sz="2" w:space="0" w:color="000000"/>
              <w:left w:val="single" w:sz="2" w:space="0" w:color="000000"/>
              <w:bottom w:val="single" w:sz="2" w:space="0" w:color="000000"/>
              <w:right w:val="single" w:sz="2" w:space="0" w:color="000000"/>
            </w:tcBorders>
          </w:tcPr>
          <w:p>
            <w:pPr/>
          </w:p>
        </w:tc>
        <w:tc>
          <w:tcPr>
            <w:tcW w:w="989" w:type="dxa"/>
            <w:tcBorders>
              <w:top w:val="single" w:sz="2" w:space="0" w:color="000000"/>
              <w:left w:val="single" w:sz="2" w:space="0" w:color="000000"/>
              <w:bottom w:val="single" w:sz="2" w:space="0" w:color="000000"/>
              <w:right w:val="single" w:sz="2" w:space="0" w:color="000000"/>
            </w:tcBorders>
          </w:tcPr>
          <w:p>
            <w:pPr/>
          </w:p>
        </w:tc>
        <w:tc>
          <w:tcPr>
            <w:tcW w:w="6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自筹</w:t>
            </w:r>
          </w:p>
        </w:tc>
      </w:tr>
      <w:tr>
        <w:trPr>
          <w:trHeight w:val="497" w:hRule="exact"/>
        </w:trPr>
        <w:tc>
          <w:tcPr>
            <w:tcW w:w="168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41,000,519.00</w:t>
            </w:r>
          </w:p>
        </w:tc>
        <w:tc>
          <w:tcPr>
            <w:tcW w:w="11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18"/>
                <w:szCs w:val="18"/>
              </w:rPr>
            </w:pPr>
            <w:r>
              <w:rPr>
                <w:rFonts w:ascii="Arial" w:hAnsi="Arial" w:cs="Arial" w:eastAsia="Arial" w:hint="default"/>
                <w:sz w:val="18"/>
                <w:szCs w:val="18"/>
              </w:rPr>
              <w:t>—</w:t>
            </w:r>
          </w:p>
        </w:tc>
        <w:tc>
          <w:tcPr>
            <w:tcW w:w="8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17" w:right="0"/>
              <w:jc w:val="left"/>
              <w:rPr>
                <w:rFonts w:ascii="Arial" w:hAnsi="Arial" w:cs="Arial" w:eastAsia="Arial" w:hint="default"/>
                <w:sz w:val="18"/>
                <w:szCs w:val="18"/>
              </w:rPr>
            </w:pPr>
            <w:r>
              <w:rPr>
                <w:rFonts w:ascii="Arial" w:hAnsi="Arial" w:cs="Arial" w:eastAsia="Arial" w:hint="default"/>
                <w:sz w:val="18"/>
                <w:szCs w:val="18"/>
              </w:rPr>
              <w:t>—</w:t>
            </w:r>
          </w:p>
        </w:tc>
        <w:tc>
          <w:tcPr>
            <w:tcW w:w="86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9"/>
              <w:ind w:right="11"/>
              <w:jc w:val="right"/>
              <w:rPr>
                <w:rFonts w:ascii="宋体" w:hAnsi="宋体" w:cs="宋体" w:eastAsia="宋体" w:hint="default"/>
                <w:sz w:val="18"/>
                <w:szCs w:val="18"/>
              </w:rPr>
            </w:pPr>
            <w:r>
              <w:rPr>
                <w:rFonts w:ascii="宋体"/>
                <w:sz w:val="18"/>
              </w:rPr>
              <w:t> </w:t>
            </w:r>
          </w:p>
        </w:tc>
        <w:tc>
          <w:tcPr>
            <w:tcW w:w="10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9"/>
              <w:ind w:right="11"/>
              <w:jc w:val="right"/>
              <w:rPr>
                <w:rFonts w:ascii="宋体" w:hAnsi="宋体" w:cs="宋体" w:eastAsia="宋体" w:hint="default"/>
                <w:sz w:val="18"/>
                <w:szCs w:val="18"/>
              </w:rPr>
            </w:pPr>
            <w:r>
              <w:rPr>
                <w:rFonts w:ascii="宋体"/>
                <w:sz w:val="18"/>
              </w:rPr>
              <w:t> </w:t>
            </w:r>
          </w:p>
        </w:tc>
        <w:tc>
          <w:tcPr>
            <w:tcW w:w="98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9"/>
              <w:ind w:right="11"/>
              <w:jc w:val="right"/>
              <w:rPr>
                <w:rFonts w:ascii="宋体" w:hAnsi="宋体" w:cs="宋体" w:eastAsia="宋体" w:hint="default"/>
                <w:sz w:val="18"/>
                <w:szCs w:val="18"/>
              </w:rPr>
            </w:pPr>
            <w:r>
              <w:rPr>
                <w:rFonts w:ascii="宋体"/>
                <w:sz w:val="18"/>
              </w:rPr>
              <w:t> </w:t>
            </w:r>
          </w:p>
        </w:tc>
        <w:tc>
          <w:tcPr>
            <w:tcW w:w="60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14"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 </w:t>
            </w:r>
          </w:p>
        </w:tc>
      </w:tr>
    </w:tbl>
    <w:p>
      <w:pPr>
        <w:pStyle w:val="Heading4"/>
        <w:tabs>
          <w:tab w:pos="1413" w:val="left" w:leader="none"/>
        </w:tabs>
        <w:spacing w:line="240" w:lineRule="auto" w:before="63"/>
        <w:ind w:right="1133"/>
        <w:jc w:val="left"/>
        <w:rPr>
          <w:b w:val="0"/>
          <w:bCs w:val="0"/>
        </w:rPr>
      </w:pPr>
      <w:r>
        <w:rPr>
          <w:rFonts w:ascii="Arial" w:hAnsi="Arial" w:cs="Arial" w:eastAsia="Arial" w:hint="default"/>
          <w:spacing w:val="-1"/>
        </w:rPr>
        <w:t>13</w:t>
      </w:r>
      <w:r>
        <w:rPr>
          <w:spacing w:val="-1"/>
        </w:rPr>
        <w:t>、</w:t>
        <w:tab/>
      </w:r>
      <w:r>
        <w:rPr/>
        <w:t>无形资产</w:t>
      </w:r>
      <w:r>
        <w:rPr>
          <w:b w:val="0"/>
          <w:bCs w:val="0"/>
        </w:rPr>
      </w:r>
    </w:p>
    <w:p>
      <w:pPr>
        <w:spacing w:line="240" w:lineRule="auto" w:before="9"/>
        <w:rPr>
          <w:rFonts w:ascii="宋体" w:hAnsi="宋体" w:cs="宋体" w:eastAsia="宋体" w:hint="default"/>
          <w:b/>
          <w:bCs/>
          <w:sz w:val="2"/>
          <w:szCs w:val="2"/>
        </w:rPr>
      </w:pPr>
    </w:p>
    <w:tbl>
      <w:tblPr>
        <w:tblW w:w="0" w:type="auto"/>
        <w:jc w:val="left"/>
        <w:tblInd w:w="580" w:type="dxa"/>
        <w:tblLayout w:type="fixed"/>
        <w:tblCellMar>
          <w:top w:w="0" w:type="dxa"/>
          <w:left w:w="0" w:type="dxa"/>
          <w:bottom w:w="0" w:type="dxa"/>
          <w:right w:w="0" w:type="dxa"/>
        </w:tblCellMar>
        <w:tblLook w:val="01E0"/>
      </w:tblPr>
      <w:tblGrid>
        <w:gridCol w:w="2081"/>
        <w:gridCol w:w="2221"/>
        <w:gridCol w:w="2218"/>
        <w:gridCol w:w="2220"/>
      </w:tblGrid>
      <w:tr>
        <w:trPr>
          <w:trHeight w:val="497" w:hRule="exact"/>
        </w:trPr>
        <w:tc>
          <w:tcPr>
            <w:tcW w:w="208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49"/>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2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9"/>
              <w:ind w:left="660"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22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22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87" w:hRule="exact"/>
        </w:trPr>
        <w:tc>
          <w:tcPr>
            <w:tcW w:w="20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2"/>
              <w:ind w:left="1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2221" w:type="dxa"/>
            <w:tcBorders>
              <w:top w:val="single" w:sz="2" w:space="0" w:color="000000"/>
              <w:left w:val="single" w:sz="2" w:space="0" w:color="000000"/>
              <w:bottom w:val="single" w:sz="2" w:space="0" w:color="000000"/>
              <w:right w:val="single" w:sz="2" w:space="0" w:color="000000"/>
            </w:tcBorders>
          </w:tcPr>
          <w:p>
            <w:pPr/>
          </w:p>
        </w:tc>
        <w:tc>
          <w:tcPr>
            <w:tcW w:w="2218" w:type="dxa"/>
            <w:tcBorders>
              <w:top w:val="single" w:sz="2" w:space="0" w:color="000000"/>
              <w:left w:val="single" w:sz="2" w:space="0" w:color="000000"/>
              <w:bottom w:val="single" w:sz="2" w:space="0" w:color="000000"/>
              <w:right w:val="single" w:sz="2" w:space="0" w:color="000000"/>
            </w:tcBorders>
          </w:tcPr>
          <w:p>
            <w:pPr/>
          </w:p>
        </w:tc>
        <w:tc>
          <w:tcPr>
            <w:tcW w:w="2220"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20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年初余额</w:t>
            </w:r>
          </w:p>
        </w:tc>
        <w:tc>
          <w:tcPr>
            <w:tcW w:w="22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98"/>
              <w:jc w:val="right"/>
              <w:rPr>
                <w:rFonts w:ascii="Arial" w:hAnsi="Arial" w:cs="Arial" w:eastAsia="Arial" w:hint="default"/>
                <w:sz w:val="18"/>
                <w:szCs w:val="18"/>
              </w:rPr>
            </w:pPr>
            <w:r>
              <w:rPr>
                <w:rFonts w:ascii="Arial"/>
                <w:spacing w:val="-1"/>
                <w:sz w:val="18"/>
              </w:rPr>
              <w:t>4</w:t>
            </w:r>
            <w:r>
              <w:rPr>
                <w:rFonts w:ascii="Times New Roman"/>
                <w:spacing w:val="-1"/>
                <w:sz w:val="18"/>
              </w:rPr>
              <w:t>,</w:t>
            </w:r>
            <w:r>
              <w:rPr>
                <w:rFonts w:ascii="Arial"/>
                <w:spacing w:val="-1"/>
                <w:sz w:val="18"/>
              </w:rPr>
              <w:t>328</w:t>
            </w:r>
            <w:r>
              <w:rPr>
                <w:rFonts w:ascii="Times New Roman"/>
                <w:spacing w:val="-1"/>
                <w:sz w:val="18"/>
              </w:rPr>
              <w:t>,</w:t>
            </w:r>
            <w:r>
              <w:rPr>
                <w:rFonts w:ascii="Arial"/>
                <w:spacing w:val="-1"/>
                <w:sz w:val="18"/>
              </w:rPr>
              <w:t>805</w:t>
            </w:r>
            <w:r>
              <w:rPr>
                <w:rFonts w:ascii="Times New Roman"/>
                <w:spacing w:val="-1"/>
                <w:sz w:val="18"/>
              </w:rPr>
              <w:t>.</w:t>
            </w:r>
            <w:r>
              <w:rPr>
                <w:rFonts w:ascii="Arial"/>
                <w:spacing w:val="-1"/>
                <w:sz w:val="18"/>
              </w:rPr>
              <w:t>87</w:t>
            </w: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14</w:t>
            </w:r>
            <w:r>
              <w:rPr>
                <w:rFonts w:ascii="Times New Roman"/>
                <w:spacing w:val="-1"/>
                <w:sz w:val="18"/>
              </w:rPr>
              <w:t>,</w:t>
            </w:r>
            <w:r>
              <w:rPr>
                <w:rFonts w:ascii="Arial"/>
                <w:spacing w:val="-1"/>
                <w:sz w:val="18"/>
              </w:rPr>
              <w:t>837</w:t>
            </w:r>
            <w:r>
              <w:rPr>
                <w:rFonts w:ascii="Times New Roman"/>
                <w:spacing w:val="-1"/>
                <w:sz w:val="18"/>
              </w:rPr>
              <w:t>,</w:t>
            </w:r>
            <w:r>
              <w:rPr>
                <w:rFonts w:ascii="Arial"/>
                <w:spacing w:val="-1"/>
                <w:sz w:val="18"/>
              </w:rPr>
              <w:t>079</w:t>
            </w:r>
            <w:r>
              <w:rPr>
                <w:rFonts w:ascii="Times New Roman"/>
                <w:spacing w:val="-1"/>
                <w:sz w:val="18"/>
              </w:rPr>
              <w:t>.</w:t>
            </w:r>
            <w:r>
              <w:rPr>
                <w:rFonts w:ascii="Arial"/>
                <w:spacing w:val="-1"/>
                <w:sz w:val="18"/>
              </w:rPr>
              <w:t>91</w:t>
            </w:r>
            <w:r>
              <w:rPr>
                <w:rFonts w:ascii="Arial"/>
                <w:sz w:val="18"/>
              </w:rPr>
            </w:r>
          </w:p>
        </w:tc>
        <w:tc>
          <w:tcPr>
            <w:tcW w:w="22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19</w:t>
            </w:r>
            <w:r>
              <w:rPr>
                <w:rFonts w:ascii="Times New Roman"/>
                <w:spacing w:val="-1"/>
                <w:sz w:val="18"/>
              </w:rPr>
              <w:t>,</w:t>
            </w:r>
            <w:r>
              <w:rPr>
                <w:rFonts w:ascii="Arial"/>
                <w:spacing w:val="-1"/>
                <w:sz w:val="18"/>
              </w:rPr>
              <w:t>165</w:t>
            </w:r>
            <w:r>
              <w:rPr>
                <w:rFonts w:ascii="Times New Roman"/>
                <w:spacing w:val="-1"/>
                <w:sz w:val="18"/>
              </w:rPr>
              <w:t>,</w:t>
            </w:r>
            <w:r>
              <w:rPr>
                <w:rFonts w:ascii="Arial"/>
                <w:spacing w:val="-1"/>
                <w:sz w:val="18"/>
              </w:rPr>
              <w:t>885</w:t>
            </w:r>
            <w:r>
              <w:rPr>
                <w:rFonts w:ascii="Times New Roman"/>
                <w:spacing w:val="-1"/>
                <w:sz w:val="18"/>
              </w:rPr>
              <w:t>.</w:t>
            </w:r>
            <w:r>
              <w:rPr>
                <w:rFonts w:ascii="Arial"/>
                <w:spacing w:val="-1"/>
                <w:sz w:val="18"/>
              </w:rPr>
              <w:t>78</w:t>
            </w:r>
            <w:r>
              <w:rPr>
                <w:rFonts w:ascii="Arial"/>
                <w:sz w:val="18"/>
              </w:rPr>
            </w:r>
          </w:p>
        </w:tc>
      </w:tr>
      <w:tr>
        <w:trPr>
          <w:trHeight w:val="485" w:hRule="exact"/>
        </w:trPr>
        <w:tc>
          <w:tcPr>
            <w:tcW w:w="20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本年增加金额</w:t>
            </w:r>
          </w:p>
        </w:tc>
        <w:tc>
          <w:tcPr>
            <w:tcW w:w="2221" w:type="dxa"/>
            <w:tcBorders>
              <w:top w:val="single" w:sz="2" w:space="0" w:color="000000"/>
              <w:left w:val="single" w:sz="2" w:space="0" w:color="000000"/>
              <w:bottom w:val="single" w:sz="2" w:space="0" w:color="000000"/>
              <w:right w:val="single" w:sz="2" w:space="0" w:color="000000"/>
            </w:tcBorders>
          </w:tcPr>
          <w:p>
            <w:pP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1,127,570.72</w:t>
            </w:r>
          </w:p>
        </w:tc>
        <w:tc>
          <w:tcPr>
            <w:tcW w:w="22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4"/>
              <w:jc w:val="right"/>
              <w:rPr>
                <w:rFonts w:ascii="Arial" w:hAnsi="Arial" w:cs="Arial" w:eastAsia="Arial" w:hint="default"/>
                <w:sz w:val="18"/>
                <w:szCs w:val="18"/>
              </w:rPr>
            </w:pPr>
            <w:r>
              <w:rPr>
                <w:rFonts w:ascii="Arial"/>
                <w:spacing w:val="-1"/>
                <w:sz w:val="18"/>
              </w:rPr>
              <w:t>1,127,570.72</w:t>
            </w:r>
          </w:p>
        </w:tc>
      </w:tr>
      <w:tr>
        <w:trPr>
          <w:trHeight w:val="485" w:hRule="exact"/>
        </w:trPr>
        <w:tc>
          <w:tcPr>
            <w:tcW w:w="20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）购置</w:t>
            </w:r>
          </w:p>
        </w:tc>
        <w:tc>
          <w:tcPr>
            <w:tcW w:w="2221" w:type="dxa"/>
            <w:tcBorders>
              <w:top w:val="single" w:sz="2" w:space="0" w:color="000000"/>
              <w:left w:val="single" w:sz="2" w:space="0" w:color="000000"/>
              <w:bottom w:val="single" w:sz="2" w:space="0" w:color="000000"/>
              <w:right w:val="single" w:sz="2" w:space="0" w:color="000000"/>
            </w:tcBorders>
          </w:tcPr>
          <w:p>
            <w:pP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1,127,570.72</w:t>
            </w:r>
          </w:p>
        </w:tc>
        <w:tc>
          <w:tcPr>
            <w:tcW w:w="22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4"/>
              <w:jc w:val="right"/>
              <w:rPr>
                <w:rFonts w:ascii="Arial" w:hAnsi="Arial" w:cs="Arial" w:eastAsia="Arial" w:hint="default"/>
                <w:sz w:val="18"/>
                <w:szCs w:val="18"/>
              </w:rPr>
            </w:pPr>
            <w:r>
              <w:rPr>
                <w:rFonts w:ascii="Arial"/>
                <w:spacing w:val="-1"/>
                <w:sz w:val="18"/>
              </w:rPr>
              <w:t>1,127,570.72</w:t>
            </w:r>
          </w:p>
        </w:tc>
      </w:tr>
      <w:tr>
        <w:trPr>
          <w:trHeight w:val="485" w:hRule="exact"/>
        </w:trPr>
        <w:tc>
          <w:tcPr>
            <w:tcW w:w="20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本年减少金额</w:t>
            </w:r>
          </w:p>
        </w:tc>
        <w:tc>
          <w:tcPr>
            <w:tcW w:w="2221" w:type="dxa"/>
            <w:tcBorders>
              <w:top w:val="single" w:sz="2" w:space="0" w:color="000000"/>
              <w:left w:val="single" w:sz="2" w:space="0" w:color="000000"/>
              <w:bottom w:val="single" w:sz="2" w:space="0" w:color="000000"/>
              <w:right w:val="single" w:sz="2" w:space="0" w:color="000000"/>
            </w:tcBorders>
          </w:tcPr>
          <w:p>
            <w:pP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442,550.94</w:t>
            </w:r>
          </w:p>
        </w:tc>
        <w:tc>
          <w:tcPr>
            <w:tcW w:w="22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442,550.94</w:t>
            </w:r>
          </w:p>
        </w:tc>
      </w:tr>
      <w:tr>
        <w:trPr>
          <w:trHeight w:val="485" w:hRule="exact"/>
        </w:trPr>
        <w:tc>
          <w:tcPr>
            <w:tcW w:w="20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0"/>
              <w:ind w:left="124"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）其他</w:t>
            </w:r>
          </w:p>
        </w:tc>
        <w:tc>
          <w:tcPr>
            <w:tcW w:w="2221" w:type="dxa"/>
            <w:tcBorders>
              <w:top w:val="single" w:sz="2" w:space="0" w:color="000000"/>
              <w:left w:val="single" w:sz="2" w:space="0" w:color="000000"/>
              <w:bottom w:val="single" w:sz="2" w:space="0" w:color="000000"/>
              <w:right w:val="single" w:sz="2" w:space="0" w:color="000000"/>
            </w:tcBorders>
          </w:tcPr>
          <w:p>
            <w:pP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442,550.94</w:t>
            </w:r>
          </w:p>
        </w:tc>
        <w:tc>
          <w:tcPr>
            <w:tcW w:w="22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442,550.94</w:t>
            </w:r>
          </w:p>
        </w:tc>
      </w:tr>
      <w:tr>
        <w:trPr>
          <w:trHeight w:val="485" w:hRule="exact"/>
        </w:trPr>
        <w:tc>
          <w:tcPr>
            <w:tcW w:w="20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年末余额</w:t>
            </w:r>
          </w:p>
        </w:tc>
        <w:tc>
          <w:tcPr>
            <w:tcW w:w="22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4,328,805.87</w:t>
            </w: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15,522,099.69</w:t>
            </w:r>
          </w:p>
        </w:tc>
        <w:tc>
          <w:tcPr>
            <w:tcW w:w="22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19,850,905.56</w:t>
            </w:r>
          </w:p>
        </w:tc>
      </w:tr>
      <w:tr>
        <w:trPr>
          <w:trHeight w:val="485" w:hRule="exact"/>
        </w:trPr>
        <w:tc>
          <w:tcPr>
            <w:tcW w:w="20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2221" w:type="dxa"/>
            <w:tcBorders>
              <w:top w:val="single" w:sz="2" w:space="0" w:color="000000"/>
              <w:left w:val="single" w:sz="2" w:space="0" w:color="000000"/>
              <w:bottom w:val="single" w:sz="2" w:space="0" w:color="000000"/>
              <w:right w:val="single" w:sz="2" w:space="0" w:color="000000"/>
            </w:tcBorders>
          </w:tcPr>
          <w:p>
            <w:pPr/>
          </w:p>
        </w:tc>
        <w:tc>
          <w:tcPr>
            <w:tcW w:w="2218" w:type="dxa"/>
            <w:tcBorders>
              <w:top w:val="single" w:sz="2" w:space="0" w:color="000000"/>
              <w:left w:val="single" w:sz="2" w:space="0" w:color="000000"/>
              <w:bottom w:val="single" w:sz="2" w:space="0" w:color="000000"/>
              <w:right w:val="single" w:sz="2" w:space="0" w:color="000000"/>
            </w:tcBorders>
          </w:tcPr>
          <w:p>
            <w:pPr/>
          </w:p>
        </w:tc>
        <w:tc>
          <w:tcPr>
            <w:tcW w:w="2220"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20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年初余额</w:t>
            </w:r>
          </w:p>
        </w:tc>
        <w:tc>
          <w:tcPr>
            <w:tcW w:w="22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98"/>
              <w:jc w:val="right"/>
              <w:rPr>
                <w:rFonts w:ascii="Arial" w:hAnsi="Arial" w:cs="Arial" w:eastAsia="Arial" w:hint="default"/>
                <w:sz w:val="18"/>
                <w:szCs w:val="18"/>
              </w:rPr>
            </w:pPr>
            <w:r>
              <w:rPr>
                <w:rFonts w:ascii="Arial"/>
                <w:spacing w:val="-1"/>
                <w:sz w:val="18"/>
              </w:rPr>
              <w:t>3</w:t>
            </w:r>
            <w:r>
              <w:rPr>
                <w:rFonts w:ascii="Times New Roman"/>
                <w:spacing w:val="-1"/>
                <w:sz w:val="18"/>
              </w:rPr>
              <w:t>,</w:t>
            </w:r>
            <w:r>
              <w:rPr>
                <w:rFonts w:ascii="Arial"/>
                <w:spacing w:val="-1"/>
                <w:sz w:val="18"/>
              </w:rPr>
              <w:t>639</w:t>
            </w:r>
            <w:r>
              <w:rPr>
                <w:rFonts w:ascii="Times New Roman"/>
                <w:spacing w:val="-1"/>
                <w:sz w:val="18"/>
              </w:rPr>
              <w:t>,</w:t>
            </w:r>
            <w:r>
              <w:rPr>
                <w:rFonts w:ascii="Arial"/>
                <w:spacing w:val="-1"/>
                <w:sz w:val="18"/>
              </w:rPr>
              <w:t>466</w:t>
            </w:r>
            <w:r>
              <w:rPr>
                <w:rFonts w:ascii="Times New Roman"/>
                <w:spacing w:val="-1"/>
                <w:sz w:val="18"/>
              </w:rPr>
              <w:t>.</w:t>
            </w:r>
            <w:r>
              <w:rPr>
                <w:rFonts w:ascii="Arial"/>
                <w:spacing w:val="-1"/>
                <w:sz w:val="18"/>
              </w:rPr>
              <w:t>57</w:t>
            </w: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98"/>
              <w:jc w:val="right"/>
              <w:rPr>
                <w:rFonts w:ascii="Arial" w:hAnsi="Arial" w:cs="Arial" w:eastAsia="Arial" w:hint="default"/>
                <w:sz w:val="18"/>
                <w:szCs w:val="18"/>
              </w:rPr>
            </w:pPr>
            <w:r>
              <w:rPr>
                <w:rFonts w:ascii="Arial"/>
                <w:spacing w:val="-1"/>
                <w:sz w:val="18"/>
              </w:rPr>
              <w:t>8</w:t>
            </w:r>
            <w:r>
              <w:rPr>
                <w:rFonts w:ascii="Times New Roman"/>
                <w:spacing w:val="-1"/>
                <w:sz w:val="18"/>
              </w:rPr>
              <w:t>,</w:t>
            </w:r>
            <w:r>
              <w:rPr>
                <w:rFonts w:ascii="Arial"/>
                <w:spacing w:val="-1"/>
                <w:sz w:val="18"/>
              </w:rPr>
              <w:t>689</w:t>
            </w:r>
            <w:r>
              <w:rPr>
                <w:rFonts w:ascii="Times New Roman"/>
                <w:spacing w:val="-1"/>
                <w:sz w:val="18"/>
              </w:rPr>
              <w:t>,</w:t>
            </w:r>
            <w:r>
              <w:rPr>
                <w:rFonts w:ascii="Arial"/>
                <w:spacing w:val="-1"/>
                <w:sz w:val="18"/>
              </w:rPr>
              <w:t>177</w:t>
            </w:r>
            <w:r>
              <w:rPr>
                <w:rFonts w:ascii="Times New Roman"/>
                <w:spacing w:val="-1"/>
                <w:sz w:val="18"/>
              </w:rPr>
              <w:t>.</w:t>
            </w:r>
            <w:r>
              <w:rPr>
                <w:rFonts w:ascii="Arial"/>
                <w:spacing w:val="-1"/>
                <w:sz w:val="18"/>
              </w:rPr>
              <w:t>08</w:t>
            </w:r>
          </w:p>
        </w:tc>
        <w:tc>
          <w:tcPr>
            <w:tcW w:w="22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12</w:t>
            </w:r>
            <w:r>
              <w:rPr>
                <w:rFonts w:ascii="Times New Roman"/>
                <w:spacing w:val="-1"/>
                <w:sz w:val="18"/>
              </w:rPr>
              <w:t>,</w:t>
            </w:r>
            <w:r>
              <w:rPr>
                <w:rFonts w:ascii="Arial"/>
                <w:spacing w:val="-1"/>
                <w:sz w:val="18"/>
              </w:rPr>
              <w:t>328</w:t>
            </w:r>
            <w:r>
              <w:rPr>
                <w:rFonts w:ascii="Times New Roman"/>
                <w:spacing w:val="-1"/>
                <w:sz w:val="18"/>
              </w:rPr>
              <w:t>,</w:t>
            </w:r>
            <w:r>
              <w:rPr>
                <w:rFonts w:ascii="Arial"/>
                <w:spacing w:val="-1"/>
                <w:sz w:val="18"/>
              </w:rPr>
              <w:t>643</w:t>
            </w:r>
            <w:r>
              <w:rPr>
                <w:rFonts w:ascii="Times New Roman"/>
                <w:spacing w:val="-1"/>
                <w:sz w:val="18"/>
              </w:rPr>
              <w:t>.</w:t>
            </w:r>
            <w:r>
              <w:rPr>
                <w:rFonts w:ascii="Arial"/>
                <w:spacing w:val="-1"/>
                <w:sz w:val="18"/>
              </w:rPr>
              <w:t>65</w:t>
            </w:r>
            <w:r>
              <w:rPr>
                <w:rFonts w:ascii="Arial"/>
                <w:sz w:val="18"/>
              </w:rPr>
            </w:r>
          </w:p>
        </w:tc>
      </w:tr>
      <w:tr>
        <w:trPr>
          <w:trHeight w:val="485" w:hRule="exact"/>
        </w:trPr>
        <w:tc>
          <w:tcPr>
            <w:tcW w:w="20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本年增加金额</w:t>
            </w:r>
          </w:p>
        </w:tc>
        <w:tc>
          <w:tcPr>
            <w:tcW w:w="22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235,475.82</w:t>
            </w: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1,273,918.04</w:t>
            </w:r>
          </w:p>
        </w:tc>
        <w:tc>
          <w:tcPr>
            <w:tcW w:w="22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1,509,393.86</w:t>
            </w:r>
          </w:p>
        </w:tc>
      </w:tr>
      <w:tr>
        <w:trPr>
          <w:trHeight w:val="485" w:hRule="exact"/>
        </w:trPr>
        <w:tc>
          <w:tcPr>
            <w:tcW w:w="20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）计提</w:t>
            </w:r>
          </w:p>
        </w:tc>
        <w:tc>
          <w:tcPr>
            <w:tcW w:w="22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235,475.82</w:t>
            </w: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1,273,918.04</w:t>
            </w:r>
          </w:p>
        </w:tc>
        <w:tc>
          <w:tcPr>
            <w:tcW w:w="22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1,509,393.86</w:t>
            </w:r>
          </w:p>
        </w:tc>
      </w:tr>
      <w:tr>
        <w:trPr>
          <w:trHeight w:val="485" w:hRule="exact"/>
        </w:trPr>
        <w:tc>
          <w:tcPr>
            <w:tcW w:w="20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本年减少金额</w:t>
            </w:r>
          </w:p>
        </w:tc>
        <w:tc>
          <w:tcPr>
            <w:tcW w:w="2221" w:type="dxa"/>
            <w:tcBorders>
              <w:top w:val="single" w:sz="2" w:space="0" w:color="000000"/>
              <w:left w:val="single" w:sz="2" w:space="0" w:color="000000"/>
              <w:bottom w:val="single" w:sz="2" w:space="0" w:color="000000"/>
              <w:right w:val="single" w:sz="2" w:space="0" w:color="000000"/>
            </w:tcBorders>
          </w:tcPr>
          <w:p>
            <w:pP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60,245.54</w:t>
            </w:r>
          </w:p>
        </w:tc>
        <w:tc>
          <w:tcPr>
            <w:tcW w:w="22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60,245.54</w:t>
            </w:r>
          </w:p>
        </w:tc>
      </w:tr>
      <w:tr>
        <w:trPr>
          <w:trHeight w:val="487" w:hRule="exact"/>
        </w:trPr>
        <w:tc>
          <w:tcPr>
            <w:tcW w:w="20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2"/>
              <w:ind w:left="124"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）其他</w:t>
            </w:r>
          </w:p>
        </w:tc>
        <w:tc>
          <w:tcPr>
            <w:tcW w:w="2221" w:type="dxa"/>
            <w:tcBorders>
              <w:top w:val="single" w:sz="2" w:space="0" w:color="000000"/>
              <w:left w:val="single" w:sz="2" w:space="0" w:color="000000"/>
              <w:bottom w:val="single" w:sz="2" w:space="0" w:color="000000"/>
              <w:right w:val="single" w:sz="2" w:space="0" w:color="000000"/>
            </w:tcBorders>
          </w:tcPr>
          <w:p>
            <w:pP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60,245.54</w:t>
            </w:r>
          </w:p>
        </w:tc>
        <w:tc>
          <w:tcPr>
            <w:tcW w:w="22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60,245.54</w:t>
            </w:r>
          </w:p>
        </w:tc>
      </w:tr>
      <w:tr>
        <w:trPr>
          <w:trHeight w:val="485" w:hRule="exact"/>
        </w:trPr>
        <w:tc>
          <w:tcPr>
            <w:tcW w:w="20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年末余额</w:t>
            </w:r>
          </w:p>
        </w:tc>
        <w:tc>
          <w:tcPr>
            <w:tcW w:w="22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3,874,942.39</w:t>
            </w: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9,902,849.58</w:t>
            </w:r>
          </w:p>
        </w:tc>
        <w:tc>
          <w:tcPr>
            <w:tcW w:w="22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13,777,791.97</w:t>
            </w:r>
          </w:p>
        </w:tc>
      </w:tr>
      <w:tr>
        <w:trPr>
          <w:trHeight w:val="485" w:hRule="exact"/>
        </w:trPr>
        <w:tc>
          <w:tcPr>
            <w:tcW w:w="20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2221" w:type="dxa"/>
            <w:tcBorders>
              <w:top w:val="single" w:sz="2" w:space="0" w:color="000000"/>
              <w:left w:val="single" w:sz="2" w:space="0" w:color="000000"/>
              <w:bottom w:val="single" w:sz="2" w:space="0" w:color="000000"/>
              <w:right w:val="single" w:sz="2" w:space="0" w:color="000000"/>
            </w:tcBorders>
          </w:tcPr>
          <w:p>
            <w:pPr/>
          </w:p>
        </w:tc>
        <w:tc>
          <w:tcPr>
            <w:tcW w:w="2218" w:type="dxa"/>
            <w:tcBorders>
              <w:top w:val="single" w:sz="2" w:space="0" w:color="000000"/>
              <w:left w:val="single" w:sz="2" w:space="0" w:color="000000"/>
              <w:bottom w:val="single" w:sz="2" w:space="0" w:color="000000"/>
              <w:right w:val="single" w:sz="2" w:space="0" w:color="000000"/>
            </w:tcBorders>
          </w:tcPr>
          <w:p>
            <w:pPr/>
          </w:p>
        </w:tc>
        <w:tc>
          <w:tcPr>
            <w:tcW w:w="2220"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20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年初余额</w:t>
            </w:r>
          </w:p>
        </w:tc>
        <w:tc>
          <w:tcPr>
            <w:tcW w:w="2221" w:type="dxa"/>
            <w:tcBorders>
              <w:top w:val="single" w:sz="2" w:space="0" w:color="000000"/>
              <w:left w:val="single" w:sz="2" w:space="0" w:color="000000"/>
              <w:bottom w:val="single" w:sz="2" w:space="0" w:color="000000"/>
              <w:right w:val="single" w:sz="2" w:space="0" w:color="000000"/>
            </w:tcBorders>
          </w:tcPr>
          <w:p>
            <w:pPr/>
          </w:p>
        </w:tc>
        <w:tc>
          <w:tcPr>
            <w:tcW w:w="2218" w:type="dxa"/>
            <w:tcBorders>
              <w:top w:val="single" w:sz="2" w:space="0" w:color="000000"/>
              <w:left w:val="single" w:sz="2" w:space="0" w:color="000000"/>
              <w:bottom w:val="single" w:sz="2" w:space="0" w:color="000000"/>
              <w:right w:val="single" w:sz="2" w:space="0" w:color="000000"/>
            </w:tcBorders>
          </w:tcPr>
          <w:p>
            <w:pPr/>
          </w:p>
        </w:tc>
        <w:tc>
          <w:tcPr>
            <w:tcW w:w="2220"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20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本年增加金额</w:t>
            </w:r>
          </w:p>
        </w:tc>
        <w:tc>
          <w:tcPr>
            <w:tcW w:w="2221" w:type="dxa"/>
            <w:tcBorders>
              <w:top w:val="single" w:sz="2" w:space="0" w:color="000000"/>
              <w:left w:val="single" w:sz="2" w:space="0" w:color="000000"/>
              <w:bottom w:val="single" w:sz="2" w:space="0" w:color="000000"/>
              <w:right w:val="single" w:sz="2" w:space="0" w:color="000000"/>
            </w:tcBorders>
          </w:tcPr>
          <w:p>
            <w:pPr/>
          </w:p>
        </w:tc>
        <w:tc>
          <w:tcPr>
            <w:tcW w:w="2218" w:type="dxa"/>
            <w:tcBorders>
              <w:top w:val="single" w:sz="2" w:space="0" w:color="000000"/>
              <w:left w:val="single" w:sz="2" w:space="0" w:color="000000"/>
              <w:bottom w:val="single" w:sz="2" w:space="0" w:color="000000"/>
              <w:right w:val="single" w:sz="2" w:space="0" w:color="000000"/>
            </w:tcBorders>
          </w:tcPr>
          <w:p>
            <w:pPr/>
          </w:p>
        </w:tc>
        <w:tc>
          <w:tcPr>
            <w:tcW w:w="2220"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20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本年减少金额</w:t>
            </w:r>
          </w:p>
        </w:tc>
        <w:tc>
          <w:tcPr>
            <w:tcW w:w="2221" w:type="dxa"/>
            <w:tcBorders>
              <w:top w:val="single" w:sz="2" w:space="0" w:color="000000"/>
              <w:left w:val="single" w:sz="2" w:space="0" w:color="000000"/>
              <w:bottom w:val="single" w:sz="2" w:space="0" w:color="000000"/>
              <w:right w:val="single" w:sz="2" w:space="0" w:color="000000"/>
            </w:tcBorders>
          </w:tcPr>
          <w:p>
            <w:pPr/>
          </w:p>
        </w:tc>
        <w:tc>
          <w:tcPr>
            <w:tcW w:w="2218" w:type="dxa"/>
            <w:tcBorders>
              <w:top w:val="single" w:sz="2" w:space="0" w:color="000000"/>
              <w:left w:val="single" w:sz="2" w:space="0" w:color="000000"/>
              <w:bottom w:val="single" w:sz="2" w:space="0" w:color="000000"/>
              <w:right w:val="single" w:sz="2" w:space="0" w:color="000000"/>
            </w:tcBorders>
          </w:tcPr>
          <w:p>
            <w:pPr/>
          </w:p>
        </w:tc>
        <w:tc>
          <w:tcPr>
            <w:tcW w:w="2220"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20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0"/>
              <w:ind w:left="124"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年末余额</w:t>
            </w:r>
          </w:p>
        </w:tc>
        <w:tc>
          <w:tcPr>
            <w:tcW w:w="2221" w:type="dxa"/>
            <w:tcBorders>
              <w:top w:val="single" w:sz="2" w:space="0" w:color="000000"/>
              <w:left w:val="single" w:sz="2" w:space="0" w:color="000000"/>
              <w:bottom w:val="single" w:sz="2" w:space="0" w:color="000000"/>
              <w:right w:val="single" w:sz="2" w:space="0" w:color="000000"/>
            </w:tcBorders>
          </w:tcPr>
          <w:p>
            <w:pPr/>
          </w:p>
        </w:tc>
        <w:tc>
          <w:tcPr>
            <w:tcW w:w="2218" w:type="dxa"/>
            <w:tcBorders>
              <w:top w:val="single" w:sz="2" w:space="0" w:color="000000"/>
              <w:left w:val="single" w:sz="2" w:space="0" w:color="000000"/>
              <w:bottom w:val="single" w:sz="2" w:space="0" w:color="000000"/>
              <w:right w:val="single" w:sz="2" w:space="0" w:color="000000"/>
            </w:tcBorders>
          </w:tcPr>
          <w:p>
            <w:pPr/>
          </w:p>
        </w:tc>
        <w:tc>
          <w:tcPr>
            <w:tcW w:w="2220" w:type="dxa"/>
            <w:tcBorders>
              <w:top w:val="single" w:sz="2" w:space="0" w:color="000000"/>
              <w:left w:val="single" w:sz="2" w:space="0" w:color="000000"/>
              <w:bottom w:val="single" w:sz="2" w:space="0" w:color="000000"/>
              <w:right w:val="nil" w:sz="6" w:space="0" w:color="auto"/>
            </w:tcBorders>
          </w:tcPr>
          <w:p>
            <w:pPr/>
          </w:p>
        </w:tc>
      </w:tr>
      <w:tr>
        <w:trPr>
          <w:trHeight w:val="499" w:hRule="exact"/>
        </w:trPr>
        <w:tc>
          <w:tcPr>
            <w:tcW w:w="208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2221" w:type="dxa"/>
            <w:tcBorders>
              <w:top w:val="single" w:sz="2" w:space="0" w:color="000000"/>
              <w:left w:val="single" w:sz="2" w:space="0" w:color="000000"/>
              <w:bottom w:val="single" w:sz="12" w:space="0" w:color="000000"/>
              <w:right w:val="single" w:sz="2" w:space="0" w:color="000000"/>
            </w:tcBorders>
          </w:tcPr>
          <w:p>
            <w:pPr/>
          </w:p>
        </w:tc>
        <w:tc>
          <w:tcPr>
            <w:tcW w:w="2218" w:type="dxa"/>
            <w:tcBorders>
              <w:top w:val="single" w:sz="2" w:space="0" w:color="000000"/>
              <w:left w:val="single" w:sz="2" w:space="0" w:color="000000"/>
              <w:bottom w:val="single" w:sz="12" w:space="0" w:color="000000"/>
              <w:right w:val="single" w:sz="2" w:space="0" w:color="000000"/>
            </w:tcBorders>
          </w:tcPr>
          <w:p>
            <w:pPr/>
          </w:p>
        </w:tc>
        <w:tc>
          <w:tcPr>
            <w:tcW w:w="2220"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580" w:type="dxa"/>
        <w:tblLayout w:type="fixed"/>
        <w:tblCellMar>
          <w:top w:w="0" w:type="dxa"/>
          <w:left w:w="0" w:type="dxa"/>
          <w:bottom w:w="0" w:type="dxa"/>
          <w:right w:w="0" w:type="dxa"/>
        </w:tblCellMar>
        <w:tblLook w:val="01E0"/>
      </w:tblPr>
      <w:tblGrid>
        <w:gridCol w:w="2081"/>
        <w:gridCol w:w="2221"/>
        <w:gridCol w:w="2218"/>
        <w:gridCol w:w="2220"/>
      </w:tblGrid>
      <w:tr>
        <w:trPr>
          <w:trHeight w:val="500" w:hRule="exact"/>
        </w:trPr>
        <w:tc>
          <w:tcPr>
            <w:tcW w:w="208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2"/>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2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left="660"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22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22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85" w:hRule="exact"/>
        </w:trPr>
        <w:tc>
          <w:tcPr>
            <w:tcW w:w="20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年末账面价值</w:t>
            </w:r>
          </w:p>
        </w:tc>
        <w:tc>
          <w:tcPr>
            <w:tcW w:w="22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453,863.48</w:t>
            </w:r>
          </w:p>
        </w:tc>
        <w:tc>
          <w:tcPr>
            <w:tcW w:w="2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2"/>
                <w:sz w:val="18"/>
              </w:rPr>
              <w:t>5,619,250.11</w:t>
            </w:r>
          </w:p>
        </w:tc>
        <w:tc>
          <w:tcPr>
            <w:tcW w:w="22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2"/>
                <w:sz w:val="18"/>
              </w:rPr>
              <w:t>6,073,113.59</w:t>
            </w:r>
          </w:p>
        </w:tc>
      </w:tr>
      <w:tr>
        <w:trPr>
          <w:trHeight w:val="497" w:hRule="exact"/>
        </w:trPr>
        <w:tc>
          <w:tcPr>
            <w:tcW w:w="208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年初账面价值</w:t>
            </w:r>
          </w:p>
        </w:tc>
        <w:tc>
          <w:tcPr>
            <w:tcW w:w="22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689</w:t>
            </w:r>
            <w:r>
              <w:rPr>
                <w:rFonts w:ascii="Times New Roman"/>
                <w:spacing w:val="-1"/>
                <w:sz w:val="18"/>
              </w:rPr>
              <w:t>,</w:t>
            </w:r>
            <w:r>
              <w:rPr>
                <w:rFonts w:ascii="Arial"/>
                <w:spacing w:val="-1"/>
                <w:sz w:val="18"/>
              </w:rPr>
              <w:t>339</w:t>
            </w:r>
            <w:r>
              <w:rPr>
                <w:rFonts w:ascii="Times New Roman"/>
                <w:spacing w:val="-1"/>
                <w:sz w:val="18"/>
              </w:rPr>
              <w:t>.</w:t>
            </w:r>
            <w:r>
              <w:rPr>
                <w:rFonts w:ascii="Arial"/>
                <w:spacing w:val="-1"/>
                <w:sz w:val="18"/>
              </w:rPr>
              <w:t>30</w:t>
            </w:r>
            <w:r>
              <w:rPr>
                <w:rFonts w:ascii="Arial"/>
                <w:sz w:val="18"/>
              </w:rPr>
            </w:r>
          </w:p>
        </w:tc>
        <w:tc>
          <w:tcPr>
            <w:tcW w:w="22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98"/>
              <w:jc w:val="right"/>
              <w:rPr>
                <w:rFonts w:ascii="Arial" w:hAnsi="Arial" w:cs="Arial" w:eastAsia="Arial" w:hint="default"/>
                <w:sz w:val="18"/>
                <w:szCs w:val="18"/>
              </w:rPr>
            </w:pPr>
            <w:r>
              <w:rPr>
                <w:rFonts w:ascii="Arial"/>
                <w:spacing w:val="-1"/>
                <w:sz w:val="18"/>
              </w:rPr>
              <w:t>6</w:t>
            </w:r>
            <w:r>
              <w:rPr>
                <w:rFonts w:ascii="Times New Roman"/>
                <w:spacing w:val="-1"/>
                <w:sz w:val="18"/>
              </w:rPr>
              <w:t>,</w:t>
            </w:r>
            <w:r>
              <w:rPr>
                <w:rFonts w:ascii="Arial"/>
                <w:spacing w:val="-1"/>
                <w:sz w:val="18"/>
              </w:rPr>
              <w:t>147</w:t>
            </w:r>
            <w:r>
              <w:rPr>
                <w:rFonts w:ascii="Times New Roman"/>
                <w:spacing w:val="-1"/>
                <w:sz w:val="18"/>
              </w:rPr>
              <w:t>,</w:t>
            </w:r>
            <w:r>
              <w:rPr>
                <w:rFonts w:ascii="Arial"/>
                <w:spacing w:val="-1"/>
                <w:sz w:val="18"/>
              </w:rPr>
              <w:t>902</w:t>
            </w:r>
            <w:r>
              <w:rPr>
                <w:rFonts w:ascii="Times New Roman"/>
                <w:spacing w:val="-1"/>
                <w:sz w:val="18"/>
              </w:rPr>
              <w:t>.</w:t>
            </w:r>
            <w:r>
              <w:rPr>
                <w:rFonts w:ascii="Arial"/>
                <w:spacing w:val="-1"/>
                <w:sz w:val="18"/>
              </w:rPr>
              <w:t>83</w:t>
            </w:r>
          </w:p>
        </w:tc>
        <w:tc>
          <w:tcPr>
            <w:tcW w:w="22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6</w:t>
            </w:r>
            <w:r>
              <w:rPr>
                <w:rFonts w:ascii="Times New Roman"/>
                <w:spacing w:val="-1"/>
                <w:sz w:val="18"/>
              </w:rPr>
              <w:t>,</w:t>
            </w:r>
            <w:r>
              <w:rPr>
                <w:rFonts w:ascii="Arial"/>
                <w:spacing w:val="-1"/>
                <w:sz w:val="18"/>
              </w:rPr>
              <w:t>837</w:t>
            </w:r>
            <w:r>
              <w:rPr>
                <w:rFonts w:ascii="Times New Roman"/>
                <w:spacing w:val="-1"/>
                <w:sz w:val="18"/>
              </w:rPr>
              <w:t>,</w:t>
            </w:r>
            <w:r>
              <w:rPr>
                <w:rFonts w:ascii="Arial"/>
                <w:spacing w:val="-1"/>
                <w:sz w:val="18"/>
              </w:rPr>
              <w:t>242</w:t>
            </w:r>
            <w:r>
              <w:rPr>
                <w:rFonts w:ascii="Times New Roman"/>
                <w:spacing w:val="-1"/>
                <w:sz w:val="18"/>
              </w:rPr>
              <w:t>.</w:t>
            </w:r>
            <w:r>
              <w:rPr>
                <w:rFonts w:ascii="Arial"/>
                <w:spacing w:val="-1"/>
                <w:sz w:val="18"/>
              </w:rPr>
              <w:t>13</w:t>
            </w:r>
          </w:p>
        </w:tc>
      </w:tr>
    </w:tbl>
    <w:p>
      <w:pPr>
        <w:spacing w:line="240" w:lineRule="auto" w:before="5"/>
        <w:rPr>
          <w:rFonts w:ascii="宋体" w:hAnsi="宋体" w:cs="宋体" w:eastAsia="宋体" w:hint="default"/>
          <w:b/>
          <w:bCs/>
          <w:sz w:val="5"/>
          <w:szCs w:val="5"/>
        </w:rPr>
      </w:pPr>
    </w:p>
    <w:p>
      <w:pPr>
        <w:pStyle w:val="BodyText"/>
        <w:spacing w:line="316" w:lineRule="auto" w:before="32"/>
        <w:ind w:right="1124" w:firstLine="439"/>
        <w:jc w:val="left"/>
      </w:pPr>
      <w:r>
        <w:rPr/>
        <w:t>注：本年末无形资产中通过内部研发形成的无形资产净值金额为 </w:t>
      </w:r>
      <w:r>
        <w:rPr>
          <w:rFonts w:ascii="Arial" w:hAnsi="Arial" w:cs="Arial" w:eastAsia="Arial" w:hint="default"/>
        </w:rPr>
        <w:t>5,698,240.81</w:t>
      </w:r>
      <w:r>
        <w:rPr>
          <w:rFonts w:ascii="Arial" w:hAnsi="Arial" w:cs="Arial" w:eastAsia="Arial" w:hint="default"/>
          <w:spacing w:val="35"/>
        </w:rPr>
        <w:t> </w:t>
      </w:r>
      <w:r>
        <w:rPr/>
        <w:t>元，占无形资产</w:t>
      </w:r>
      <w:r>
        <w:rPr>
          <w:w w:val="100"/>
        </w:rPr>
        <w:t> </w:t>
      </w:r>
      <w:r>
        <w:rPr/>
        <w:t>余额的</w:t>
      </w:r>
      <w:r>
        <w:rPr>
          <w:spacing w:val="-55"/>
        </w:rPr>
        <w:t> </w:t>
      </w:r>
      <w:r>
        <w:rPr>
          <w:rFonts w:ascii="Arial" w:hAnsi="Arial" w:cs="Arial" w:eastAsia="Arial" w:hint="default"/>
        </w:rPr>
        <w:t>93.83%</w:t>
      </w:r>
      <w:r>
        <w:rPr/>
        <w:t>。</w:t>
      </w:r>
    </w:p>
    <w:p>
      <w:pPr>
        <w:pStyle w:val="Heading4"/>
        <w:tabs>
          <w:tab w:pos="1413" w:val="left" w:leader="none"/>
        </w:tabs>
        <w:spacing w:line="240" w:lineRule="auto" w:before="57"/>
        <w:ind w:right="1133"/>
        <w:jc w:val="left"/>
        <w:rPr>
          <w:b w:val="0"/>
          <w:bCs w:val="0"/>
        </w:rPr>
      </w:pPr>
      <w:r>
        <w:rPr>
          <w:rFonts w:ascii="Arial" w:hAnsi="Arial" w:cs="Arial" w:eastAsia="Arial" w:hint="default"/>
          <w:spacing w:val="-1"/>
        </w:rPr>
        <w:t>14</w:t>
      </w:r>
      <w:r>
        <w:rPr>
          <w:spacing w:val="-1"/>
        </w:rPr>
        <w:t>、</w:t>
        <w:tab/>
      </w:r>
      <w:r>
        <w:rPr/>
        <w:t>开发支出</w:t>
      </w:r>
      <w:r>
        <w:rPr>
          <w:b w:val="0"/>
          <w:bCs w:val="0"/>
        </w:rPr>
      </w:r>
    </w:p>
    <w:p>
      <w:pPr>
        <w:spacing w:line="240" w:lineRule="auto" w:before="9"/>
        <w:rPr>
          <w:rFonts w:ascii="宋体" w:hAnsi="宋体" w:cs="宋体" w:eastAsia="宋体" w:hint="default"/>
          <w:b/>
          <w:bCs/>
          <w:sz w:val="2"/>
          <w:szCs w:val="2"/>
        </w:rPr>
      </w:pPr>
    </w:p>
    <w:tbl>
      <w:tblPr>
        <w:tblW w:w="0" w:type="auto"/>
        <w:jc w:val="left"/>
        <w:tblInd w:w="580" w:type="dxa"/>
        <w:tblLayout w:type="fixed"/>
        <w:tblCellMar>
          <w:top w:w="0" w:type="dxa"/>
          <w:left w:w="0" w:type="dxa"/>
          <w:bottom w:w="0" w:type="dxa"/>
          <w:right w:w="0" w:type="dxa"/>
        </w:tblCellMar>
        <w:tblLook w:val="01E0"/>
      </w:tblPr>
      <w:tblGrid>
        <w:gridCol w:w="4493"/>
        <w:gridCol w:w="1390"/>
        <w:gridCol w:w="1753"/>
        <w:gridCol w:w="1104"/>
      </w:tblGrid>
      <w:tr>
        <w:trPr>
          <w:trHeight w:val="418" w:hRule="exact"/>
        </w:trPr>
        <w:tc>
          <w:tcPr>
            <w:tcW w:w="4493" w:type="dxa"/>
            <w:vMerge w:val="restart"/>
            <w:tcBorders>
              <w:top w:val="single" w:sz="12" w:space="0" w:color="000000"/>
              <w:left w:val="nil" w:sz="6" w:space="0" w:color="auto"/>
              <w:right w:val="single" w:sz="2"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90" w:type="dxa"/>
            <w:vMerge w:val="restart"/>
            <w:tcBorders>
              <w:top w:val="single" w:sz="12" w:space="0" w:color="000000"/>
              <w:left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2857"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09"/>
              <w:ind w:left="1" w:right="0"/>
              <w:jc w:val="center"/>
              <w:rPr>
                <w:rFonts w:ascii="宋体" w:hAnsi="宋体" w:cs="宋体" w:eastAsia="宋体" w:hint="default"/>
                <w:sz w:val="18"/>
                <w:szCs w:val="18"/>
              </w:rPr>
            </w:pPr>
            <w:r>
              <w:rPr>
                <w:rFonts w:ascii="宋体" w:hAnsi="宋体" w:cs="宋体" w:eastAsia="宋体" w:hint="default"/>
                <w:sz w:val="18"/>
                <w:szCs w:val="18"/>
              </w:rPr>
              <w:t>本年增加</w:t>
            </w:r>
          </w:p>
        </w:tc>
      </w:tr>
      <w:tr>
        <w:trPr>
          <w:trHeight w:val="404" w:hRule="exact"/>
        </w:trPr>
        <w:tc>
          <w:tcPr>
            <w:tcW w:w="4493" w:type="dxa"/>
            <w:vMerge/>
            <w:tcBorders>
              <w:left w:val="nil" w:sz="6" w:space="0" w:color="auto"/>
              <w:bottom w:val="single" w:sz="2" w:space="0" w:color="000000"/>
              <w:right w:val="single" w:sz="2" w:space="0" w:color="000000"/>
            </w:tcBorders>
          </w:tcPr>
          <w:p>
            <w:pPr/>
          </w:p>
        </w:tc>
        <w:tc>
          <w:tcPr>
            <w:tcW w:w="1390" w:type="dxa"/>
            <w:vMerge/>
            <w:tcBorders>
              <w:left w:val="single" w:sz="2" w:space="0" w:color="000000"/>
              <w:bottom w:val="single" w:sz="2" w:space="0" w:color="000000"/>
              <w:right w:val="single" w:sz="2" w:space="0" w:color="000000"/>
            </w:tcBorders>
          </w:tcPr>
          <w:p>
            <w:pPr/>
          </w:p>
        </w:tc>
        <w:tc>
          <w:tcPr>
            <w:tcW w:w="17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left="335"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11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406" w:hRule="exact"/>
        </w:trPr>
        <w:tc>
          <w:tcPr>
            <w:tcW w:w="44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1"/>
              <w:ind w:left="124" w:right="0"/>
              <w:jc w:val="left"/>
              <w:rPr>
                <w:rFonts w:ascii="宋体" w:hAnsi="宋体" w:cs="宋体" w:eastAsia="宋体" w:hint="default"/>
                <w:sz w:val="18"/>
                <w:szCs w:val="18"/>
              </w:rPr>
            </w:pPr>
            <w:r>
              <w:rPr>
                <w:rFonts w:ascii="宋体" w:hAnsi="宋体" w:cs="宋体" w:eastAsia="宋体" w:hint="default"/>
                <w:sz w:val="18"/>
                <w:szCs w:val="18"/>
              </w:rPr>
              <w:t>基于航运物流产业的区块链技术研究及应用项目</w:t>
            </w:r>
          </w:p>
        </w:tc>
        <w:tc>
          <w:tcPr>
            <w:tcW w:w="1390" w:type="dxa"/>
            <w:tcBorders>
              <w:top w:val="single" w:sz="2" w:space="0" w:color="000000"/>
              <w:left w:val="single" w:sz="2" w:space="0" w:color="000000"/>
              <w:bottom w:val="single" w:sz="2" w:space="0" w:color="000000"/>
              <w:right w:val="single" w:sz="2" w:space="0" w:color="000000"/>
            </w:tcBorders>
          </w:tcPr>
          <w:p>
            <w:pPr/>
          </w:p>
        </w:tc>
        <w:tc>
          <w:tcPr>
            <w:tcW w:w="17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2"/>
              <w:ind w:right="101"/>
              <w:jc w:val="right"/>
              <w:rPr>
                <w:rFonts w:ascii="Arial" w:hAnsi="Arial" w:cs="Arial" w:eastAsia="Arial" w:hint="default"/>
                <w:sz w:val="18"/>
                <w:szCs w:val="18"/>
              </w:rPr>
            </w:pPr>
            <w:r>
              <w:rPr>
                <w:rFonts w:ascii="Arial"/>
                <w:spacing w:val="-1"/>
                <w:sz w:val="18"/>
              </w:rPr>
              <w:t>13,494,330.49</w:t>
            </w:r>
          </w:p>
        </w:tc>
        <w:tc>
          <w:tcPr>
            <w:tcW w:w="1104"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44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9"/>
              <w:ind w:left="124" w:right="0"/>
              <w:jc w:val="left"/>
              <w:rPr>
                <w:rFonts w:ascii="宋体" w:hAnsi="宋体" w:cs="宋体" w:eastAsia="宋体" w:hint="default"/>
                <w:sz w:val="18"/>
                <w:szCs w:val="18"/>
              </w:rPr>
            </w:pPr>
            <w:r>
              <w:rPr>
                <w:rFonts w:ascii="宋体" w:hAnsi="宋体" w:cs="宋体" w:eastAsia="宋体" w:hint="default"/>
                <w:sz w:val="18"/>
                <w:szCs w:val="18"/>
              </w:rPr>
              <w:t>中国远洋海运电商供应链平台</w:t>
            </w:r>
          </w:p>
        </w:tc>
        <w:tc>
          <w:tcPr>
            <w:tcW w:w="1390" w:type="dxa"/>
            <w:tcBorders>
              <w:top w:val="single" w:sz="2" w:space="0" w:color="000000"/>
              <w:left w:val="single" w:sz="2" w:space="0" w:color="000000"/>
              <w:bottom w:val="single" w:sz="2" w:space="0" w:color="000000"/>
              <w:right w:val="single" w:sz="2" w:space="0" w:color="000000"/>
            </w:tcBorders>
          </w:tcPr>
          <w:p>
            <w:pPr/>
          </w:p>
        </w:tc>
        <w:tc>
          <w:tcPr>
            <w:tcW w:w="17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1"/>
              <w:jc w:val="right"/>
              <w:rPr>
                <w:rFonts w:ascii="Arial" w:hAnsi="Arial" w:cs="Arial" w:eastAsia="Arial" w:hint="default"/>
                <w:sz w:val="18"/>
                <w:szCs w:val="18"/>
              </w:rPr>
            </w:pPr>
            <w:r>
              <w:rPr>
                <w:rFonts w:ascii="Arial"/>
                <w:spacing w:val="-1"/>
                <w:sz w:val="18"/>
              </w:rPr>
              <w:t>11,251,851.67</w:t>
            </w:r>
          </w:p>
        </w:tc>
        <w:tc>
          <w:tcPr>
            <w:tcW w:w="1104"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44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9"/>
              <w:ind w:left="124" w:right="0"/>
              <w:jc w:val="left"/>
              <w:rPr>
                <w:rFonts w:ascii="宋体" w:hAnsi="宋体" w:cs="宋体" w:eastAsia="宋体" w:hint="default"/>
                <w:sz w:val="18"/>
                <w:szCs w:val="18"/>
              </w:rPr>
            </w:pPr>
            <w:r>
              <w:rPr>
                <w:rFonts w:ascii="宋体" w:hAnsi="宋体" w:cs="宋体" w:eastAsia="宋体" w:hint="default"/>
                <w:sz w:val="18"/>
                <w:szCs w:val="18"/>
              </w:rPr>
              <w:t>标准化</w:t>
            </w:r>
            <w:r>
              <w:rPr>
                <w:rFonts w:ascii="宋体" w:hAnsi="宋体" w:cs="宋体" w:eastAsia="宋体" w:hint="default"/>
                <w:spacing w:val="-45"/>
                <w:sz w:val="18"/>
                <w:szCs w:val="18"/>
              </w:rPr>
              <w:t> </w:t>
            </w:r>
            <w:r>
              <w:rPr>
                <w:rFonts w:ascii="Arial" w:hAnsi="Arial" w:cs="Arial" w:eastAsia="Arial" w:hint="default"/>
                <w:sz w:val="18"/>
                <w:szCs w:val="18"/>
              </w:rPr>
              <w:t>ETC</w:t>
            </w:r>
            <w:r>
              <w:rPr>
                <w:rFonts w:ascii="Arial" w:hAnsi="Arial" w:cs="Arial" w:eastAsia="Arial" w:hint="default"/>
                <w:spacing w:val="-5"/>
                <w:sz w:val="18"/>
                <w:szCs w:val="18"/>
              </w:rPr>
              <w:t> </w:t>
            </w:r>
            <w:r>
              <w:rPr>
                <w:rFonts w:ascii="宋体" w:hAnsi="宋体" w:cs="宋体" w:eastAsia="宋体" w:hint="default"/>
                <w:sz w:val="18"/>
                <w:szCs w:val="18"/>
              </w:rPr>
              <w:t>专用车道示范车道研发</w:t>
            </w:r>
          </w:p>
        </w:tc>
        <w:tc>
          <w:tcPr>
            <w:tcW w:w="1390" w:type="dxa"/>
            <w:tcBorders>
              <w:top w:val="single" w:sz="2" w:space="0" w:color="000000"/>
              <w:left w:val="single" w:sz="2" w:space="0" w:color="000000"/>
              <w:bottom w:val="single" w:sz="2" w:space="0" w:color="000000"/>
              <w:right w:val="single" w:sz="2" w:space="0" w:color="000000"/>
            </w:tcBorders>
          </w:tcPr>
          <w:p>
            <w:pPr/>
          </w:p>
        </w:tc>
        <w:tc>
          <w:tcPr>
            <w:tcW w:w="17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1"/>
              <w:jc w:val="right"/>
              <w:rPr>
                <w:rFonts w:ascii="Arial" w:hAnsi="Arial" w:cs="Arial" w:eastAsia="Arial" w:hint="default"/>
                <w:sz w:val="18"/>
                <w:szCs w:val="18"/>
              </w:rPr>
            </w:pPr>
            <w:r>
              <w:rPr>
                <w:rFonts w:ascii="Arial"/>
                <w:spacing w:val="-1"/>
                <w:sz w:val="18"/>
              </w:rPr>
              <w:t>4,709,134.85</w:t>
            </w:r>
          </w:p>
        </w:tc>
        <w:tc>
          <w:tcPr>
            <w:tcW w:w="1104" w:type="dxa"/>
            <w:tcBorders>
              <w:top w:val="single" w:sz="2" w:space="0" w:color="000000"/>
              <w:left w:val="single" w:sz="2" w:space="0" w:color="000000"/>
              <w:bottom w:val="single" w:sz="2" w:space="0" w:color="000000"/>
              <w:right w:val="nil" w:sz="6" w:space="0" w:color="auto"/>
            </w:tcBorders>
          </w:tcPr>
          <w:p>
            <w:pPr/>
          </w:p>
        </w:tc>
      </w:tr>
      <w:tr>
        <w:trPr>
          <w:trHeight w:val="403" w:hRule="exact"/>
        </w:trPr>
        <w:tc>
          <w:tcPr>
            <w:tcW w:w="44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9"/>
              <w:ind w:left="124" w:right="0"/>
              <w:jc w:val="left"/>
              <w:rPr>
                <w:rFonts w:ascii="宋体" w:hAnsi="宋体" w:cs="宋体" w:eastAsia="宋体" w:hint="default"/>
                <w:sz w:val="18"/>
                <w:szCs w:val="18"/>
              </w:rPr>
            </w:pPr>
            <w:r>
              <w:rPr>
                <w:rFonts w:ascii="宋体" w:hAnsi="宋体" w:cs="宋体" w:eastAsia="宋体" w:hint="default"/>
                <w:sz w:val="18"/>
                <w:szCs w:val="18"/>
              </w:rPr>
              <w:t>中海科技</w:t>
            </w:r>
            <w:r>
              <w:rPr>
                <w:rFonts w:ascii="宋体" w:hAnsi="宋体" w:cs="宋体" w:eastAsia="宋体" w:hint="default"/>
                <w:spacing w:val="-45"/>
                <w:sz w:val="18"/>
                <w:szCs w:val="18"/>
              </w:rPr>
              <w:t> </w:t>
            </w:r>
            <w:r>
              <w:rPr>
                <w:rFonts w:ascii="Arial" w:hAnsi="Arial" w:cs="Arial" w:eastAsia="Arial" w:hint="default"/>
                <w:sz w:val="18"/>
                <w:szCs w:val="18"/>
              </w:rPr>
              <w:t>ERP</w:t>
            </w:r>
            <w:r>
              <w:rPr>
                <w:rFonts w:ascii="Arial" w:hAnsi="Arial" w:cs="Arial" w:eastAsia="Arial" w:hint="default"/>
                <w:spacing w:val="-5"/>
                <w:sz w:val="18"/>
                <w:szCs w:val="18"/>
              </w:rPr>
              <w:t> </w:t>
            </w:r>
            <w:r>
              <w:rPr>
                <w:rFonts w:ascii="宋体" w:hAnsi="宋体" w:cs="宋体" w:eastAsia="宋体" w:hint="default"/>
                <w:sz w:val="18"/>
                <w:szCs w:val="18"/>
              </w:rPr>
              <w:t>系统三期</w:t>
            </w:r>
          </w:p>
        </w:tc>
        <w:tc>
          <w:tcPr>
            <w:tcW w:w="1390" w:type="dxa"/>
            <w:tcBorders>
              <w:top w:val="single" w:sz="2" w:space="0" w:color="000000"/>
              <w:left w:val="single" w:sz="2" w:space="0" w:color="000000"/>
              <w:bottom w:val="single" w:sz="2" w:space="0" w:color="000000"/>
              <w:right w:val="single" w:sz="2" w:space="0" w:color="000000"/>
            </w:tcBorders>
          </w:tcPr>
          <w:p>
            <w:pPr/>
          </w:p>
        </w:tc>
        <w:tc>
          <w:tcPr>
            <w:tcW w:w="17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1"/>
              <w:jc w:val="right"/>
              <w:rPr>
                <w:rFonts w:ascii="Arial" w:hAnsi="Arial" w:cs="Arial" w:eastAsia="Arial" w:hint="default"/>
                <w:sz w:val="18"/>
                <w:szCs w:val="18"/>
              </w:rPr>
            </w:pPr>
            <w:r>
              <w:rPr>
                <w:rFonts w:ascii="Arial"/>
                <w:spacing w:val="-1"/>
                <w:sz w:val="18"/>
              </w:rPr>
              <w:t>4,511,486.09</w:t>
            </w:r>
          </w:p>
        </w:tc>
        <w:tc>
          <w:tcPr>
            <w:tcW w:w="1104"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44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1"/>
              <w:ind w:left="124" w:right="0"/>
              <w:jc w:val="left"/>
              <w:rPr>
                <w:rFonts w:ascii="宋体" w:hAnsi="宋体" w:cs="宋体" w:eastAsia="宋体" w:hint="default"/>
                <w:sz w:val="18"/>
                <w:szCs w:val="18"/>
              </w:rPr>
            </w:pPr>
            <w:r>
              <w:rPr>
                <w:rFonts w:ascii="宋体" w:hAnsi="宋体" w:cs="宋体" w:eastAsia="宋体" w:hint="default"/>
                <w:sz w:val="18"/>
                <w:szCs w:val="18"/>
              </w:rPr>
              <w:t>企业级技术开发平台升级改造项目</w:t>
            </w:r>
          </w:p>
        </w:tc>
        <w:tc>
          <w:tcPr>
            <w:tcW w:w="1390" w:type="dxa"/>
            <w:tcBorders>
              <w:top w:val="single" w:sz="2" w:space="0" w:color="000000"/>
              <w:left w:val="single" w:sz="2" w:space="0" w:color="000000"/>
              <w:bottom w:val="single" w:sz="2" w:space="0" w:color="000000"/>
              <w:right w:val="single" w:sz="2" w:space="0" w:color="000000"/>
            </w:tcBorders>
          </w:tcPr>
          <w:p>
            <w:pPr/>
          </w:p>
        </w:tc>
        <w:tc>
          <w:tcPr>
            <w:tcW w:w="17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2"/>
              <w:ind w:right="101"/>
              <w:jc w:val="right"/>
              <w:rPr>
                <w:rFonts w:ascii="Arial" w:hAnsi="Arial" w:cs="Arial" w:eastAsia="Arial" w:hint="default"/>
                <w:sz w:val="18"/>
                <w:szCs w:val="18"/>
              </w:rPr>
            </w:pPr>
            <w:r>
              <w:rPr>
                <w:rFonts w:ascii="Arial"/>
                <w:spacing w:val="-1"/>
                <w:sz w:val="18"/>
              </w:rPr>
              <w:t>3,979,391.73</w:t>
            </w:r>
          </w:p>
        </w:tc>
        <w:tc>
          <w:tcPr>
            <w:tcW w:w="1104"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44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9"/>
              <w:ind w:left="124" w:right="0"/>
              <w:jc w:val="left"/>
              <w:rPr>
                <w:rFonts w:ascii="宋体" w:hAnsi="宋体" w:cs="宋体" w:eastAsia="宋体" w:hint="default"/>
                <w:sz w:val="18"/>
                <w:szCs w:val="18"/>
              </w:rPr>
            </w:pPr>
            <w:r>
              <w:rPr>
                <w:rFonts w:ascii="宋体" w:hAnsi="宋体" w:cs="宋体" w:eastAsia="宋体" w:hint="default"/>
                <w:sz w:val="18"/>
                <w:szCs w:val="18"/>
              </w:rPr>
              <w:t>移动应用开发平台</w:t>
            </w:r>
          </w:p>
        </w:tc>
        <w:tc>
          <w:tcPr>
            <w:tcW w:w="1390" w:type="dxa"/>
            <w:tcBorders>
              <w:top w:val="single" w:sz="2" w:space="0" w:color="000000"/>
              <w:left w:val="single" w:sz="2" w:space="0" w:color="000000"/>
              <w:bottom w:val="single" w:sz="2" w:space="0" w:color="000000"/>
              <w:right w:val="single" w:sz="2" w:space="0" w:color="000000"/>
            </w:tcBorders>
          </w:tcPr>
          <w:p>
            <w:pPr/>
          </w:p>
        </w:tc>
        <w:tc>
          <w:tcPr>
            <w:tcW w:w="17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1"/>
              <w:jc w:val="right"/>
              <w:rPr>
                <w:rFonts w:ascii="Arial" w:hAnsi="Arial" w:cs="Arial" w:eastAsia="Arial" w:hint="default"/>
                <w:sz w:val="18"/>
                <w:szCs w:val="18"/>
              </w:rPr>
            </w:pPr>
            <w:r>
              <w:rPr>
                <w:rFonts w:ascii="Arial"/>
                <w:spacing w:val="-1"/>
                <w:sz w:val="18"/>
              </w:rPr>
              <w:t>2,611,408.82</w:t>
            </w:r>
          </w:p>
        </w:tc>
        <w:tc>
          <w:tcPr>
            <w:tcW w:w="1104"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44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9"/>
              <w:ind w:left="124" w:right="0"/>
              <w:jc w:val="left"/>
              <w:rPr>
                <w:rFonts w:ascii="宋体" w:hAnsi="宋体" w:cs="宋体" w:eastAsia="宋体" w:hint="default"/>
                <w:sz w:val="18"/>
                <w:szCs w:val="18"/>
              </w:rPr>
            </w:pPr>
            <w:r>
              <w:rPr>
                <w:rFonts w:ascii="宋体" w:hAnsi="宋体" w:cs="宋体" w:eastAsia="宋体" w:hint="default"/>
                <w:sz w:val="18"/>
                <w:szCs w:val="18"/>
              </w:rPr>
              <w:t>航运互联网综合服务平台</w:t>
            </w:r>
          </w:p>
        </w:tc>
        <w:tc>
          <w:tcPr>
            <w:tcW w:w="1390" w:type="dxa"/>
            <w:tcBorders>
              <w:top w:val="single" w:sz="2" w:space="0" w:color="000000"/>
              <w:left w:val="single" w:sz="2" w:space="0" w:color="000000"/>
              <w:bottom w:val="single" w:sz="2" w:space="0" w:color="000000"/>
              <w:right w:val="single" w:sz="2" w:space="0" w:color="000000"/>
            </w:tcBorders>
          </w:tcPr>
          <w:p>
            <w:pPr/>
          </w:p>
        </w:tc>
        <w:tc>
          <w:tcPr>
            <w:tcW w:w="17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1"/>
              <w:jc w:val="right"/>
              <w:rPr>
                <w:rFonts w:ascii="Arial" w:hAnsi="Arial" w:cs="Arial" w:eastAsia="Arial" w:hint="default"/>
                <w:sz w:val="18"/>
                <w:szCs w:val="18"/>
              </w:rPr>
            </w:pPr>
            <w:r>
              <w:rPr>
                <w:rFonts w:ascii="Arial"/>
                <w:spacing w:val="-1"/>
                <w:sz w:val="18"/>
              </w:rPr>
              <w:t>2,211,161.26</w:t>
            </w:r>
          </w:p>
        </w:tc>
        <w:tc>
          <w:tcPr>
            <w:tcW w:w="1104"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44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9"/>
              <w:ind w:left="124" w:right="0"/>
              <w:jc w:val="left"/>
              <w:rPr>
                <w:rFonts w:ascii="宋体" w:hAnsi="宋体" w:cs="宋体" w:eastAsia="宋体" w:hint="default"/>
                <w:sz w:val="18"/>
                <w:szCs w:val="18"/>
              </w:rPr>
            </w:pPr>
            <w:r>
              <w:rPr>
                <w:rFonts w:ascii="宋体" w:hAnsi="宋体" w:cs="宋体" w:eastAsia="宋体" w:hint="default"/>
                <w:sz w:val="18"/>
                <w:szCs w:val="18"/>
              </w:rPr>
              <w:t>容器云</w:t>
            </w:r>
          </w:p>
        </w:tc>
        <w:tc>
          <w:tcPr>
            <w:tcW w:w="1390" w:type="dxa"/>
            <w:tcBorders>
              <w:top w:val="single" w:sz="2" w:space="0" w:color="000000"/>
              <w:left w:val="single" w:sz="2" w:space="0" w:color="000000"/>
              <w:bottom w:val="single" w:sz="2" w:space="0" w:color="000000"/>
              <w:right w:val="single" w:sz="2" w:space="0" w:color="000000"/>
            </w:tcBorders>
          </w:tcPr>
          <w:p>
            <w:pPr/>
          </w:p>
        </w:tc>
        <w:tc>
          <w:tcPr>
            <w:tcW w:w="17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1"/>
              <w:jc w:val="right"/>
              <w:rPr>
                <w:rFonts w:ascii="Arial" w:hAnsi="Arial" w:cs="Arial" w:eastAsia="Arial" w:hint="default"/>
                <w:sz w:val="18"/>
                <w:szCs w:val="18"/>
              </w:rPr>
            </w:pPr>
            <w:r>
              <w:rPr>
                <w:rFonts w:ascii="Arial"/>
                <w:spacing w:val="-1"/>
                <w:sz w:val="18"/>
              </w:rPr>
              <w:t>2,094,158.58</w:t>
            </w:r>
          </w:p>
        </w:tc>
        <w:tc>
          <w:tcPr>
            <w:tcW w:w="1104"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44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1"/>
              <w:ind w:left="124" w:right="0"/>
              <w:jc w:val="left"/>
              <w:rPr>
                <w:rFonts w:ascii="宋体" w:hAnsi="宋体" w:cs="宋体" w:eastAsia="宋体" w:hint="default"/>
                <w:sz w:val="18"/>
                <w:szCs w:val="18"/>
              </w:rPr>
            </w:pPr>
            <w:r>
              <w:rPr>
                <w:rFonts w:ascii="宋体" w:hAnsi="宋体" w:cs="宋体" w:eastAsia="宋体" w:hint="default"/>
                <w:sz w:val="18"/>
                <w:szCs w:val="18"/>
              </w:rPr>
              <w:t>技术开发平台升级</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2"/>
              <w:ind w:right="102"/>
              <w:jc w:val="right"/>
              <w:rPr>
                <w:rFonts w:ascii="Arial" w:hAnsi="Arial" w:cs="Arial" w:eastAsia="Arial" w:hint="default"/>
                <w:sz w:val="18"/>
                <w:szCs w:val="18"/>
              </w:rPr>
            </w:pPr>
            <w:r>
              <w:rPr>
                <w:rFonts w:ascii="Arial"/>
                <w:spacing w:val="-1"/>
                <w:sz w:val="18"/>
              </w:rPr>
              <w:t>63,463.37</w:t>
            </w:r>
          </w:p>
        </w:tc>
        <w:tc>
          <w:tcPr>
            <w:tcW w:w="17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2"/>
              <w:ind w:right="100"/>
              <w:jc w:val="right"/>
              <w:rPr>
                <w:rFonts w:ascii="Arial" w:hAnsi="Arial" w:cs="Arial" w:eastAsia="Arial" w:hint="default"/>
                <w:sz w:val="18"/>
                <w:szCs w:val="18"/>
              </w:rPr>
            </w:pPr>
            <w:r>
              <w:rPr>
                <w:rFonts w:ascii="Arial"/>
                <w:spacing w:val="-1"/>
                <w:sz w:val="18"/>
              </w:rPr>
              <w:t>110,778.98</w:t>
            </w:r>
          </w:p>
        </w:tc>
        <w:tc>
          <w:tcPr>
            <w:tcW w:w="1104"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44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9"/>
              <w:ind w:left="124" w:right="0"/>
              <w:jc w:val="left"/>
              <w:rPr>
                <w:rFonts w:ascii="宋体" w:hAnsi="宋体" w:cs="宋体" w:eastAsia="宋体" w:hint="default"/>
                <w:sz w:val="18"/>
                <w:szCs w:val="18"/>
              </w:rPr>
            </w:pPr>
            <w:r>
              <w:rPr>
                <w:rFonts w:ascii="宋体" w:hAnsi="宋体" w:cs="宋体" w:eastAsia="宋体" w:hint="default"/>
                <w:sz w:val="18"/>
                <w:szCs w:val="18"/>
              </w:rPr>
              <w:t>人工智能应用关键技术研究项目</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2"/>
              <w:jc w:val="right"/>
              <w:rPr>
                <w:rFonts w:ascii="Arial" w:hAnsi="Arial" w:cs="Arial" w:eastAsia="Arial" w:hint="default"/>
                <w:sz w:val="18"/>
                <w:szCs w:val="18"/>
              </w:rPr>
            </w:pPr>
            <w:r>
              <w:rPr>
                <w:rFonts w:ascii="Arial"/>
                <w:spacing w:val="-1"/>
                <w:sz w:val="18"/>
              </w:rPr>
              <w:t>739,224.66</w:t>
            </w:r>
          </w:p>
        </w:tc>
        <w:tc>
          <w:tcPr>
            <w:tcW w:w="17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0"/>
              <w:jc w:val="right"/>
              <w:rPr>
                <w:rFonts w:ascii="Arial" w:hAnsi="Arial" w:cs="Arial" w:eastAsia="Arial" w:hint="default"/>
                <w:sz w:val="18"/>
                <w:szCs w:val="18"/>
              </w:rPr>
            </w:pPr>
            <w:r>
              <w:rPr>
                <w:rFonts w:ascii="Arial"/>
                <w:spacing w:val="-1"/>
                <w:sz w:val="18"/>
              </w:rPr>
              <w:t>63,220.39</w:t>
            </w:r>
          </w:p>
        </w:tc>
        <w:tc>
          <w:tcPr>
            <w:tcW w:w="1104"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44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9"/>
              <w:ind w:left="124" w:right="0"/>
              <w:jc w:val="left"/>
              <w:rPr>
                <w:rFonts w:ascii="宋体" w:hAnsi="宋体" w:cs="宋体" w:eastAsia="宋体" w:hint="default"/>
                <w:sz w:val="18"/>
                <w:szCs w:val="18"/>
              </w:rPr>
            </w:pPr>
            <w:r>
              <w:rPr>
                <w:rFonts w:ascii="Arial" w:hAnsi="Arial" w:cs="Arial" w:eastAsia="Arial" w:hint="default"/>
                <w:sz w:val="18"/>
                <w:szCs w:val="18"/>
              </w:rPr>
              <w:t>SETT</w:t>
            </w:r>
            <w:r>
              <w:rPr>
                <w:rFonts w:ascii="Arial" w:hAnsi="Arial" w:cs="Arial" w:eastAsia="Arial" w:hint="default"/>
                <w:spacing w:val="-10"/>
                <w:sz w:val="18"/>
                <w:szCs w:val="18"/>
              </w:rPr>
              <w:t> </w:t>
            </w:r>
            <w:r>
              <w:rPr>
                <w:rFonts w:ascii="宋体" w:hAnsi="宋体" w:cs="宋体" w:eastAsia="宋体" w:hint="default"/>
                <w:sz w:val="18"/>
                <w:szCs w:val="18"/>
              </w:rPr>
              <w:t>产品升级改造项目</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2"/>
              <w:jc w:val="right"/>
              <w:rPr>
                <w:rFonts w:ascii="Arial" w:hAnsi="Arial" w:cs="Arial" w:eastAsia="Arial" w:hint="default"/>
                <w:sz w:val="18"/>
                <w:szCs w:val="18"/>
              </w:rPr>
            </w:pPr>
            <w:r>
              <w:rPr>
                <w:rFonts w:ascii="Arial"/>
                <w:spacing w:val="-1"/>
                <w:sz w:val="18"/>
              </w:rPr>
              <w:t>679,902.54</w:t>
            </w:r>
          </w:p>
        </w:tc>
        <w:tc>
          <w:tcPr>
            <w:tcW w:w="1753" w:type="dxa"/>
            <w:tcBorders>
              <w:top w:val="single" w:sz="2" w:space="0" w:color="000000"/>
              <w:left w:val="single" w:sz="2" w:space="0" w:color="000000"/>
              <w:bottom w:val="single" w:sz="2" w:space="0" w:color="000000"/>
              <w:right w:val="single" w:sz="2" w:space="0" w:color="000000"/>
            </w:tcBorders>
          </w:tcPr>
          <w:p>
            <w:pPr/>
          </w:p>
        </w:tc>
        <w:tc>
          <w:tcPr>
            <w:tcW w:w="1104" w:type="dxa"/>
            <w:tcBorders>
              <w:top w:val="single" w:sz="2" w:space="0" w:color="000000"/>
              <w:left w:val="single" w:sz="2" w:space="0" w:color="000000"/>
              <w:bottom w:val="single" w:sz="2" w:space="0" w:color="000000"/>
              <w:right w:val="nil" w:sz="6" w:space="0" w:color="auto"/>
            </w:tcBorders>
          </w:tcPr>
          <w:p>
            <w:pPr/>
          </w:p>
        </w:tc>
      </w:tr>
      <w:tr>
        <w:trPr>
          <w:trHeight w:val="403" w:hRule="exact"/>
        </w:trPr>
        <w:tc>
          <w:tcPr>
            <w:tcW w:w="44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9"/>
              <w:ind w:left="124" w:right="0"/>
              <w:jc w:val="left"/>
              <w:rPr>
                <w:rFonts w:ascii="宋体" w:hAnsi="宋体" w:cs="宋体" w:eastAsia="宋体" w:hint="default"/>
                <w:sz w:val="18"/>
                <w:szCs w:val="18"/>
              </w:rPr>
            </w:pPr>
            <w:r>
              <w:rPr>
                <w:rFonts w:ascii="宋体" w:hAnsi="宋体" w:cs="宋体" w:eastAsia="宋体" w:hint="default"/>
                <w:sz w:val="18"/>
                <w:szCs w:val="18"/>
              </w:rPr>
              <w:t>其他项目</w:t>
            </w:r>
            <w:r>
              <w:rPr>
                <w:rFonts w:ascii="宋体" w:hAnsi="宋体" w:cs="宋体" w:eastAsia="宋体" w:hint="default"/>
                <w:sz w:val="18"/>
                <w:szCs w:val="18"/>
              </w:rPr>
              <w:t> </w:t>
            </w:r>
          </w:p>
        </w:tc>
        <w:tc>
          <w:tcPr>
            <w:tcW w:w="1390" w:type="dxa"/>
            <w:tcBorders>
              <w:top w:val="single" w:sz="2" w:space="0" w:color="000000"/>
              <w:left w:val="single" w:sz="2" w:space="0" w:color="000000"/>
              <w:bottom w:val="single" w:sz="2" w:space="0" w:color="000000"/>
              <w:right w:val="single" w:sz="2" w:space="0" w:color="000000"/>
            </w:tcBorders>
          </w:tcPr>
          <w:p>
            <w:pPr/>
          </w:p>
        </w:tc>
        <w:tc>
          <w:tcPr>
            <w:tcW w:w="17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1"/>
              <w:jc w:val="right"/>
              <w:rPr>
                <w:rFonts w:ascii="Arial" w:hAnsi="Arial" w:cs="Arial" w:eastAsia="Arial" w:hint="default"/>
                <w:sz w:val="18"/>
                <w:szCs w:val="18"/>
              </w:rPr>
            </w:pPr>
            <w:r>
              <w:rPr>
                <w:rFonts w:ascii="Arial"/>
                <w:spacing w:val="-1"/>
                <w:sz w:val="18"/>
              </w:rPr>
              <w:t>5,549,124.04</w:t>
            </w:r>
          </w:p>
        </w:tc>
        <w:tc>
          <w:tcPr>
            <w:tcW w:w="1104" w:type="dxa"/>
            <w:tcBorders>
              <w:top w:val="single" w:sz="2" w:space="0" w:color="000000"/>
              <w:left w:val="single" w:sz="2" w:space="0" w:color="000000"/>
              <w:bottom w:val="single" w:sz="2" w:space="0" w:color="000000"/>
              <w:right w:val="nil" w:sz="6" w:space="0" w:color="auto"/>
            </w:tcBorders>
          </w:tcPr>
          <w:p>
            <w:pPr/>
          </w:p>
        </w:tc>
      </w:tr>
      <w:tr>
        <w:trPr>
          <w:trHeight w:val="420" w:hRule="exact"/>
        </w:trPr>
        <w:tc>
          <w:tcPr>
            <w:tcW w:w="449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1"/>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2"/>
              <w:ind w:right="103"/>
              <w:jc w:val="right"/>
              <w:rPr>
                <w:rFonts w:ascii="Arial" w:hAnsi="Arial" w:cs="Arial" w:eastAsia="Arial" w:hint="default"/>
                <w:sz w:val="18"/>
                <w:szCs w:val="18"/>
              </w:rPr>
            </w:pPr>
            <w:r>
              <w:rPr>
                <w:rFonts w:ascii="Arial"/>
                <w:spacing w:val="-1"/>
                <w:sz w:val="18"/>
              </w:rPr>
              <w:t>1,482,590.57</w:t>
            </w:r>
          </w:p>
        </w:tc>
        <w:tc>
          <w:tcPr>
            <w:tcW w:w="175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2"/>
              <w:ind w:right="101"/>
              <w:jc w:val="right"/>
              <w:rPr>
                <w:rFonts w:ascii="Arial" w:hAnsi="Arial" w:cs="Arial" w:eastAsia="Arial" w:hint="default"/>
                <w:sz w:val="18"/>
                <w:szCs w:val="18"/>
              </w:rPr>
            </w:pPr>
            <w:r>
              <w:rPr>
                <w:rFonts w:ascii="Arial"/>
                <w:spacing w:val="-1"/>
                <w:sz w:val="18"/>
              </w:rPr>
              <w:t>50,586,046.90</w:t>
            </w:r>
          </w:p>
        </w:tc>
        <w:tc>
          <w:tcPr>
            <w:tcW w:w="1104" w:type="dxa"/>
            <w:tcBorders>
              <w:top w:val="single" w:sz="2" w:space="0" w:color="000000"/>
              <w:left w:val="single" w:sz="2" w:space="0" w:color="000000"/>
              <w:bottom w:val="single" w:sz="12" w:space="0" w:color="000000"/>
              <w:right w:val="nil" w:sz="6" w:space="0" w:color="auto"/>
            </w:tcBorders>
          </w:tcPr>
          <w:p>
            <w:pPr/>
          </w:p>
        </w:tc>
      </w:tr>
    </w:tbl>
    <w:p>
      <w:pPr>
        <w:spacing w:line="240" w:lineRule="auto" w:before="5"/>
        <w:rPr>
          <w:rFonts w:ascii="宋体" w:hAnsi="宋体" w:cs="宋体" w:eastAsia="宋体" w:hint="default"/>
          <w:b/>
          <w:bCs/>
          <w:sz w:val="5"/>
          <w:szCs w:val="5"/>
        </w:rPr>
      </w:pPr>
    </w:p>
    <w:p>
      <w:pPr>
        <w:pStyle w:val="BodyText"/>
        <w:spacing w:line="240" w:lineRule="auto" w:before="32"/>
        <w:ind w:left="592" w:right="1133"/>
        <w:jc w:val="left"/>
      </w:pPr>
      <w:r>
        <w:rPr/>
        <w:t>（续）</w:t>
      </w:r>
    </w:p>
    <w:p>
      <w:pPr>
        <w:spacing w:line="240" w:lineRule="auto" w:before="11"/>
        <w:rPr>
          <w:rFonts w:ascii="宋体" w:hAnsi="宋体" w:cs="宋体" w:eastAsia="宋体" w:hint="default"/>
          <w:sz w:val="6"/>
          <w:szCs w:val="6"/>
        </w:rPr>
      </w:pPr>
    </w:p>
    <w:tbl>
      <w:tblPr>
        <w:tblW w:w="0" w:type="auto"/>
        <w:jc w:val="left"/>
        <w:tblInd w:w="580" w:type="dxa"/>
        <w:tblLayout w:type="fixed"/>
        <w:tblCellMar>
          <w:top w:w="0" w:type="dxa"/>
          <w:left w:w="0" w:type="dxa"/>
          <w:bottom w:w="0" w:type="dxa"/>
          <w:right w:w="0" w:type="dxa"/>
        </w:tblCellMar>
        <w:tblLook w:val="01E0"/>
      </w:tblPr>
      <w:tblGrid>
        <w:gridCol w:w="3169"/>
        <w:gridCol w:w="1490"/>
        <w:gridCol w:w="1443"/>
        <w:gridCol w:w="1253"/>
        <w:gridCol w:w="1385"/>
      </w:tblGrid>
      <w:tr>
        <w:trPr>
          <w:trHeight w:val="418" w:hRule="exact"/>
        </w:trPr>
        <w:tc>
          <w:tcPr>
            <w:tcW w:w="3169" w:type="dxa"/>
            <w:vMerge w:val="restart"/>
            <w:tcBorders>
              <w:top w:val="single" w:sz="12" w:space="0" w:color="000000"/>
              <w:left w:val="nil" w:sz="6" w:space="0" w:color="auto"/>
              <w:right w:val="single" w:sz="2"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87"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9"/>
              <w:ind w:left="4" w:right="0"/>
              <w:jc w:val="center"/>
              <w:rPr>
                <w:rFonts w:ascii="宋体" w:hAnsi="宋体" w:cs="宋体" w:eastAsia="宋体" w:hint="default"/>
                <w:sz w:val="18"/>
                <w:szCs w:val="18"/>
              </w:rPr>
            </w:pPr>
            <w:r>
              <w:rPr>
                <w:rFonts w:ascii="宋体" w:hAnsi="宋体" w:cs="宋体" w:eastAsia="宋体" w:hint="default"/>
                <w:sz w:val="18"/>
                <w:szCs w:val="18"/>
              </w:rPr>
              <w:t>本年减少</w:t>
            </w:r>
          </w:p>
        </w:tc>
        <w:tc>
          <w:tcPr>
            <w:tcW w:w="1385" w:type="dxa"/>
            <w:vMerge w:val="restart"/>
            <w:tcBorders>
              <w:top w:val="single" w:sz="12" w:space="0" w:color="000000"/>
              <w:left w:val="single" w:sz="2" w:space="0" w:color="000000"/>
              <w:right w:val="nil" w:sz="6" w:space="0" w:color="auto"/>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406" w:hRule="exact"/>
        </w:trPr>
        <w:tc>
          <w:tcPr>
            <w:tcW w:w="3169" w:type="dxa"/>
            <w:vMerge/>
            <w:tcBorders>
              <w:left w:val="nil" w:sz="6" w:space="0" w:color="auto"/>
              <w:bottom w:val="single" w:sz="2" w:space="0" w:color="000000"/>
              <w:right w:val="single" w:sz="2" w:space="0" w:color="000000"/>
            </w:tcBorders>
          </w:tcPr>
          <w:p>
            <w:pPr/>
          </w:p>
        </w:tc>
        <w:tc>
          <w:tcPr>
            <w:tcW w:w="14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left="115"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4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left="180"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85" w:type="dxa"/>
            <w:vMerge/>
            <w:tcBorders>
              <w:left w:val="single" w:sz="2" w:space="0" w:color="000000"/>
              <w:bottom w:val="single" w:sz="2" w:space="0" w:color="000000"/>
              <w:right w:val="nil" w:sz="6" w:space="0" w:color="auto"/>
            </w:tcBorders>
          </w:tcPr>
          <w:p>
            <w:pPr/>
          </w:p>
        </w:tc>
      </w:tr>
      <w:tr>
        <w:trPr>
          <w:trHeight w:val="629" w:hRule="exact"/>
        </w:trPr>
        <w:tc>
          <w:tcPr>
            <w:tcW w:w="3169" w:type="dxa"/>
            <w:tcBorders>
              <w:top w:val="single" w:sz="2" w:space="0" w:color="000000"/>
              <w:left w:val="nil" w:sz="6" w:space="0" w:color="auto"/>
              <w:bottom w:val="single" w:sz="2" w:space="0" w:color="000000"/>
              <w:right w:val="single" w:sz="2" w:space="0" w:color="000000"/>
            </w:tcBorders>
          </w:tcPr>
          <w:p>
            <w:pPr>
              <w:pStyle w:val="TableParagraph"/>
              <w:spacing w:line="316" w:lineRule="auto" w:before="8"/>
              <w:ind w:left="124" w:right="159"/>
              <w:jc w:val="left"/>
              <w:rPr>
                <w:rFonts w:ascii="宋体" w:hAnsi="宋体" w:cs="宋体" w:eastAsia="宋体" w:hint="default"/>
                <w:sz w:val="18"/>
                <w:szCs w:val="18"/>
              </w:rPr>
            </w:pPr>
            <w:r>
              <w:rPr>
                <w:rFonts w:ascii="宋体" w:hAnsi="宋体" w:cs="宋体" w:eastAsia="宋体" w:hint="default"/>
                <w:sz w:val="18"/>
                <w:szCs w:val="18"/>
              </w:rPr>
              <w:t>基于航运物流产业的区块链技术研究 及应用项目</w:t>
            </w:r>
          </w:p>
        </w:tc>
        <w:tc>
          <w:tcPr>
            <w:tcW w:w="1490" w:type="dxa"/>
            <w:tcBorders>
              <w:top w:val="single" w:sz="2" w:space="0" w:color="000000"/>
              <w:left w:val="single" w:sz="2" w:space="0" w:color="000000"/>
              <w:bottom w:val="single" w:sz="2" w:space="0" w:color="000000"/>
              <w:right w:val="single" w:sz="2" w:space="0" w:color="000000"/>
            </w:tcBorders>
          </w:tcPr>
          <w:p>
            <w:pPr/>
          </w:p>
        </w:tc>
        <w:tc>
          <w:tcPr>
            <w:tcW w:w="14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13,494,330.49</w:t>
            </w:r>
          </w:p>
        </w:tc>
        <w:tc>
          <w:tcPr>
            <w:tcW w:w="1253" w:type="dxa"/>
            <w:tcBorders>
              <w:top w:val="single" w:sz="2" w:space="0" w:color="000000"/>
              <w:left w:val="single" w:sz="2" w:space="0" w:color="000000"/>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nil" w:sz="6" w:space="0" w:color="auto"/>
            </w:tcBorders>
          </w:tcPr>
          <w:p>
            <w:pPr/>
          </w:p>
        </w:tc>
      </w:tr>
      <w:tr>
        <w:trPr>
          <w:trHeight w:val="403" w:hRule="exact"/>
        </w:trPr>
        <w:tc>
          <w:tcPr>
            <w:tcW w:w="31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中国远洋海运电商供应链平台</w:t>
            </w:r>
          </w:p>
        </w:tc>
        <w:tc>
          <w:tcPr>
            <w:tcW w:w="1490" w:type="dxa"/>
            <w:tcBorders>
              <w:top w:val="single" w:sz="2" w:space="0" w:color="000000"/>
              <w:left w:val="single" w:sz="2" w:space="0" w:color="000000"/>
              <w:bottom w:val="single" w:sz="2" w:space="0" w:color="000000"/>
              <w:right w:val="single" w:sz="2" w:space="0" w:color="000000"/>
            </w:tcBorders>
          </w:tcPr>
          <w:p>
            <w:pPr/>
          </w:p>
        </w:tc>
        <w:tc>
          <w:tcPr>
            <w:tcW w:w="14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0"/>
              <w:jc w:val="right"/>
              <w:rPr>
                <w:rFonts w:ascii="Arial" w:hAnsi="Arial" w:cs="Arial" w:eastAsia="Arial" w:hint="default"/>
                <w:sz w:val="18"/>
                <w:szCs w:val="18"/>
              </w:rPr>
            </w:pPr>
            <w:r>
              <w:rPr>
                <w:rFonts w:ascii="Arial"/>
                <w:spacing w:val="-1"/>
                <w:sz w:val="18"/>
              </w:rPr>
              <w:t>11,251,851.67</w:t>
            </w:r>
          </w:p>
        </w:tc>
        <w:tc>
          <w:tcPr>
            <w:tcW w:w="1253" w:type="dxa"/>
            <w:tcBorders>
              <w:top w:val="single" w:sz="2" w:space="0" w:color="000000"/>
              <w:left w:val="single" w:sz="2" w:space="0" w:color="000000"/>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31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124" w:right="0"/>
              <w:jc w:val="left"/>
              <w:rPr>
                <w:rFonts w:ascii="宋体" w:hAnsi="宋体" w:cs="宋体" w:eastAsia="宋体" w:hint="default"/>
                <w:sz w:val="18"/>
                <w:szCs w:val="18"/>
              </w:rPr>
            </w:pPr>
            <w:r>
              <w:rPr>
                <w:rFonts w:ascii="宋体" w:hAnsi="宋体" w:cs="宋体" w:eastAsia="宋体" w:hint="default"/>
                <w:sz w:val="18"/>
                <w:szCs w:val="18"/>
              </w:rPr>
              <w:t>标准化</w:t>
            </w:r>
            <w:r>
              <w:rPr>
                <w:rFonts w:ascii="宋体" w:hAnsi="宋体" w:cs="宋体" w:eastAsia="宋体" w:hint="default"/>
                <w:spacing w:val="-46"/>
                <w:sz w:val="18"/>
                <w:szCs w:val="18"/>
              </w:rPr>
              <w:t> </w:t>
            </w:r>
            <w:r>
              <w:rPr>
                <w:rFonts w:ascii="Arial" w:hAnsi="Arial" w:cs="Arial" w:eastAsia="Arial" w:hint="default"/>
                <w:sz w:val="18"/>
                <w:szCs w:val="18"/>
              </w:rPr>
              <w:t>ETC</w:t>
            </w:r>
            <w:r>
              <w:rPr>
                <w:rFonts w:ascii="Arial" w:hAnsi="Arial" w:cs="Arial" w:eastAsia="Arial" w:hint="default"/>
                <w:spacing w:val="-6"/>
                <w:sz w:val="18"/>
                <w:szCs w:val="18"/>
              </w:rPr>
              <w:t> </w:t>
            </w:r>
            <w:r>
              <w:rPr>
                <w:rFonts w:ascii="宋体" w:hAnsi="宋体" w:cs="宋体" w:eastAsia="宋体" w:hint="default"/>
                <w:sz w:val="18"/>
                <w:szCs w:val="18"/>
              </w:rPr>
              <w:t>专用车道示范车道研发</w:t>
            </w:r>
          </w:p>
        </w:tc>
        <w:tc>
          <w:tcPr>
            <w:tcW w:w="1490" w:type="dxa"/>
            <w:tcBorders>
              <w:top w:val="single" w:sz="2" w:space="0" w:color="000000"/>
              <w:left w:val="single" w:sz="2" w:space="0" w:color="000000"/>
              <w:bottom w:val="single" w:sz="2" w:space="0" w:color="000000"/>
              <w:right w:val="single" w:sz="2" w:space="0" w:color="000000"/>
            </w:tcBorders>
          </w:tcPr>
          <w:p>
            <w:pPr/>
          </w:p>
        </w:tc>
        <w:tc>
          <w:tcPr>
            <w:tcW w:w="14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0"/>
              <w:jc w:val="right"/>
              <w:rPr>
                <w:rFonts w:ascii="Arial" w:hAnsi="Arial" w:cs="Arial" w:eastAsia="Arial" w:hint="default"/>
                <w:sz w:val="18"/>
                <w:szCs w:val="18"/>
              </w:rPr>
            </w:pPr>
            <w:r>
              <w:rPr>
                <w:rFonts w:ascii="Arial"/>
                <w:spacing w:val="-1"/>
                <w:sz w:val="18"/>
              </w:rPr>
              <w:t>4,709,134.85</w:t>
            </w:r>
          </w:p>
        </w:tc>
        <w:tc>
          <w:tcPr>
            <w:tcW w:w="1253" w:type="dxa"/>
            <w:tcBorders>
              <w:top w:val="single" w:sz="2" w:space="0" w:color="000000"/>
              <w:left w:val="single" w:sz="2" w:space="0" w:color="000000"/>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31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124" w:right="0"/>
              <w:jc w:val="left"/>
              <w:rPr>
                <w:rFonts w:ascii="宋体" w:hAnsi="宋体" w:cs="宋体" w:eastAsia="宋体" w:hint="default"/>
                <w:sz w:val="18"/>
                <w:szCs w:val="18"/>
              </w:rPr>
            </w:pPr>
            <w:r>
              <w:rPr>
                <w:rFonts w:ascii="宋体" w:hAnsi="宋体" w:cs="宋体" w:eastAsia="宋体" w:hint="default"/>
                <w:sz w:val="18"/>
                <w:szCs w:val="18"/>
              </w:rPr>
              <w:t>中海科技</w:t>
            </w:r>
            <w:r>
              <w:rPr>
                <w:rFonts w:ascii="宋体" w:hAnsi="宋体" w:cs="宋体" w:eastAsia="宋体" w:hint="default"/>
                <w:spacing w:val="-45"/>
                <w:sz w:val="18"/>
                <w:szCs w:val="18"/>
              </w:rPr>
              <w:t> </w:t>
            </w:r>
            <w:r>
              <w:rPr>
                <w:rFonts w:ascii="Arial" w:hAnsi="Arial" w:cs="Arial" w:eastAsia="Arial" w:hint="default"/>
                <w:sz w:val="18"/>
                <w:szCs w:val="18"/>
              </w:rPr>
              <w:t>ERP</w:t>
            </w:r>
            <w:r>
              <w:rPr>
                <w:rFonts w:ascii="Arial" w:hAnsi="Arial" w:cs="Arial" w:eastAsia="Arial" w:hint="default"/>
                <w:spacing w:val="-5"/>
                <w:sz w:val="18"/>
                <w:szCs w:val="18"/>
              </w:rPr>
              <w:t> </w:t>
            </w:r>
            <w:r>
              <w:rPr>
                <w:rFonts w:ascii="宋体" w:hAnsi="宋体" w:cs="宋体" w:eastAsia="宋体" w:hint="default"/>
                <w:sz w:val="18"/>
                <w:szCs w:val="18"/>
              </w:rPr>
              <w:t>系统三期</w:t>
            </w:r>
          </w:p>
        </w:tc>
        <w:tc>
          <w:tcPr>
            <w:tcW w:w="1490" w:type="dxa"/>
            <w:tcBorders>
              <w:top w:val="single" w:sz="2" w:space="0" w:color="000000"/>
              <w:left w:val="single" w:sz="2" w:space="0" w:color="000000"/>
              <w:bottom w:val="single" w:sz="2" w:space="0" w:color="000000"/>
              <w:right w:val="single" w:sz="2" w:space="0" w:color="000000"/>
            </w:tcBorders>
          </w:tcPr>
          <w:p>
            <w:pPr/>
          </w:p>
        </w:tc>
        <w:tc>
          <w:tcPr>
            <w:tcW w:w="14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0"/>
              <w:jc w:val="right"/>
              <w:rPr>
                <w:rFonts w:ascii="Arial" w:hAnsi="Arial" w:cs="Arial" w:eastAsia="Arial" w:hint="default"/>
                <w:sz w:val="18"/>
                <w:szCs w:val="18"/>
              </w:rPr>
            </w:pPr>
            <w:r>
              <w:rPr>
                <w:rFonts w:ascii="Arial"/>
                <w:spacing w:val="-1"/>
                <w:sz w:val="18"/>
              </w:rPr>
              <w:t>4,511,486.09</w:t>
            </w:r>
          </w:p>
        </w:tc>
        <w:tc>
          <w:tcPr>
            <w:tcW w:w="1253" w:type="dxa"/>
            <w:tcBorders>
              <w:top w:val="single" w:sz="2" w:space="0" w:color="000000"/>
              <w:left w:val="single" w:sz="2" w:space="0" w:color="000000"/>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31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企业级技术开发平台升级改造项目</w:t>
            </w:r>
          </w:p>
        </w:tc>
        <w:tc>
          <w:tcPr>
            <w:tcW w:w="1490" w:type="dxa"/>
            <w:tcBorders>
              <w:top w:val="single" w:sz="2" w:space="0" w:color="000000"/>
              <w:left w:val="single" w:sz="2" w:space="0" w:color="000000"/>
              <w:bottom w:val="single" w:sz="2" w:space="0" w:color="000000"/>
              <w:right w:val="single" w:sz="2" w:space="0" w:color="000000"/>
            </w:tcBorders>
          </w:tcPr>
          <w:p>
            <w:pPr/>
          </w:p>
        </w:tc>
        <w:tc>
          <w:tcPr>
            <w:tcW w:w="14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0"/>
              <w:jc w:val="right"/>
              <w:rPr>
                <w:rFonts w:ascii="Arial" w:hAnsi="Arial" w:cs="Arial" w:eastAsia="Arial" w:hint="default"/>
                <w:sz w:val="18"/>
                <w:szCs w:val="18"/>
              </w:rPr>
            </w:pPr>
            <w:r>
              <w:rPr>
                <w:rFonts w:ascii="Arial"/>
                <w:spacing w:val="-1"/>
                <w:sz w:val="18"/>
              </w:rPr>
              <w:t>3,979,391.73</w:t>
            </w:r>
          </w:p>
        </w:tc>
        <w:tc>
          <w:tcPr>
            <w:tcW w:w="1253" w:type="dxa"/>
            <w:tcBorders>
              <w:top w:val="single" w:sz="2" w:space="0" w:color="000000"/>
              <w:left w:val="single" w:sz="2" w:space="0" w:color="000000"/>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nil" w:sz="6" w:space="0" w:color="auto"/>
            </w:tcBorders>
          </w:tcPr>
          <w:p>
            <w:pPr/>
          </w:p>
        </w:tc>
      </w:tr>
      <w:tr>
        <w:trPr>
          <w:trHeight w:val="403" w:hRule="exact"/>
        </w:trPr>
        <w:tc>
          <w:tcPr>
            <w:tcW w:w="31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移动应用开发平台</w:t>
            </w:r>
          </w:p>
        </w:tc>
        <w:tc>
          <w:tcPr>
            <w:tcW w:w="1490" w:type="dxa"/>
            <w:tcBorders>
              <w:top w:val="single" w:sz="2" w:space="0" w:color="000000"/>
              <w:left w:val="single" w:sz="2" w:space="0" w:color="000000"/>
              <w:bottom w:val="single" w:sz="2" w:space="0" w:color="000000"/>
              <w:right w:val="single" w:sz="2" w:space="0" w:color="000000"/>
            </w:tcBorders>
          </w:tcPr>
          <w:p>
            <w:pPr/>
          </w:p>
        </w:tc>
        <w:tc>
          <w:tcPr>
            <w:tcW w:w="14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0"/>
              <w:jc w:val="right"/>
              <w:rPr>
                <w:rFonts w:ascii="Arial" w:hAnsi="Arial" w:cs="Arial" w:eastAsia="Arial" w:hint="default"/>
                <w:sz w:val="18"/>
                <w:szCs w:val="18"/>
              </w:rPr>
            </w:pPr>
            <w:r>
              <w:rPr>
                <w:rFonts w:ascii="Arial"/>
                <w:spacing w:val="-1"/>
                <w:sz w:val="18"/>
              </w:rPr>
              <w:t>2,611,408.82</w:t>
            </w:r>
          </w:p>
        </w:tc>
        <w:tc>
          <w:tcPr>
            <w:tcW w:w="1253" w:type="dxa"/>
            <w:tcBorders>
              <w:top w:val="single" w:sz="2" w:space="0" w:color="000000"/>
              <w:left w:val="single" w:sz="2" w:space="0" w:color="000000"/>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31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124" w:right="0"/>
              <w:jc w:val="left"/>
              <w:rPr>
                <w:rFonts w:ascii="宋体" w:hAnsi="宋体" w:cs="宋体" w:eastAsia="宋体" w:hint="default"/>
                <w:sz w:val="18"/>
                <w:szCs w:val="18"/>
              </w:rPr>
            </w:pPr>
            <w:r>
              <w:rPr>
                <w:rFonts w:ascii="宋体" w:hAnsi="宋体" w:cs="宋体" w:eastAsia="宋体" w:hint="default"/>
                <w:sz w:val="18"/>
                <w:szCs w:val="18"/>
              </w:rPr>
              <w:t>航运互联网综合服务平台</w:t>
            </w:r>
          </w:p>
        </w:tc>
        <w:tc>
          <w:tcPr>
            <w:tcW w:w="1490" w:type="dxa"/>
            <w:tcBorders>
              <w:top w:val="single" w:sz="2" w:space="0" w:color="000000"/>
              <w:left w:val="single" w:sz="2" w:space="0" w:color="000000"/>
              <w:bottom w:val="single" w:sz="2" w:space="0" w:color="000000"/>
              <w:right w:val="single" w:sz="2" w:space="0" w:color="000000"/>
            </w:tcBorders>
          </w:tcPr>
          <w:p>
            <w:pPr/>
          </w:p>
        </w:tc>
        <w:tc>
          <w:tcPr>
            <w:tcW w:w="14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0"/>
              <w:jc w:val="right"/>
              <w:rPr>
                <w:rFonts w:ascii="Arial" w:hAnsi="Arial" w:cs="Arial" w:eastAsia="Arial" w:hint="default"/>
                <w:sz w:val="18"/>
                <w:szCs w:val="18"/>
              </w:rPr>
            </w:pPr>
            <w:r>
              <w:rPr>
                <w:rFonts w:ascii="Arial"/>
                <w:spacing w:val="-1"/>
                <w:sz w:val="18"/>
              </w:rPr>
              <w:t>2,211,161.26</w:t>
            </w:r>
          </w:p>
        </w:tc>
        <w:tc>
          <w:tcPr>
            <w:tcW w:w="1253" w:type="dxa"/>
            <w:tcBorders>
              <w:top w:val="single" w:sz="2" w:space="0" w:color="000000"/>
              <w:left w:val="single" w:sz="2" w:space="0" w:color="000000"/>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nil" w:sz="6" w:space="0" w:color="auto"/>
            </w:tcBorders>
          </w:tcPr>
          <w:p>
            <w:pPr/>
          </w:p>
        </w:tc>
      </w:tr>
      <w:tr>
        <w:trPr>
          <w:trHeight w:val="418" w:hRule="exact"/>
        </w:trPr>
        <w:tc>
          <w:tcPr>
            <w:tcW w:w="316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3"/>
              <w:ind w:left="124" w:right="0"/>
              <w:jc w:val="left"/>
              <w:rPr>
                <w:rFonts w:ascii="宋体" w:hAnsi="宋体" w:cs="宋体" w:eastAsia="宋体" w:hint="default"/>
                <w:sz w:val="18"/>
                <w:szCs w:val="18"/>
              </w:rPr>
            </w:pPr>
            <w:r>
              <w:rPr>
                <w:rFonts w:ascii="宋体" w:hAnsi="宋体" w:cs="宋体" w:eastAsia="宋体" w:hint="default"/>
                <w:sz w:val="18"/>
                <w:szCs w:val="18"/>
              </w:rPr>
              <w:t>容器云</w:t>
            </w:r>
          </w:p>
        </w:tc>
        <w:tc>
          <w:tcPr>
            <w:tcW w:w="1490" w:type="dxa"/>
            <w:tcBorders>
              <w:top w:val="single" w:sz="2" w:space="0" w:color="000000"/>
              <w:left w:val="single" w:sz="2" w:space="0" w:color="000000"/>
              <w:bottom w:val="single" w:sz="12" w:space="0" w:color="000000"/>
              <w:right w:val="single" w:sz="2" w:space="0" w:color="000000"/>
            </w:tcBorders>
          </w:tcPr>
          <w:p>
            <w:pPr/>
          </w:p>
        </w:tc>
        <w:tc>
          <w:tcPr>
            <w:tcW w:w="14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0"/>
              <w:ind w:right="100"/>
              <w:jc w:val="right"/>
              <w:rPr>
                <w:rFonts w:ascii="Arial" w:hAnsi="Arial" w:cs="Arial" w:eastAsia="Arial" w:hint="default"/>
                <w:sz w:val="18"/>
                <w:szCs w:val="18"/>
              </w:rPr>
            </w:pPr>
            <w:r>
              <w:rPr>
                <w:rFonts w:ascii="Arial"/>
                <w:spacing w:val="-1"/>
                <w:sz w:val="18"/>
              </w:rPr>
              <w:t>2,094,158.58</w:t>
            </w:r>
          </w:p>
        </w:tc>
        <w:tc>
          <w:tcPr>
            <w:tcW w:w="1253" w:type="dxa"/>
            <w:tcBorders>
              <w:top w:val="single" w:sz="2" w:space="0" w:color="000000"/>
              <w:left w:val="single" w:sz="2" w:space="0" w:color="000000"/>
              <w:bottom w:val="single" w:sz="12" w:space="0" w:color="000000"/>
              <w:right w:val="single" w:sz="2" w:space="0" w:color="000000"/>
            </w:tcBorders>
          </w:tcPr>
          <w:p>
            <w:pPr/>
          </w:p>
        </w:tc>
        <w:tc>
          <w:tcPr>
            <w:tcW w:w="1385"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680" w:type="dxa"/>
        <w:tblLayout w:type="fixed"/>
        <w:tblCellMar>
          <w:top w:w="0" w:type="dxa"/>
          <w:left w:w="0" w:type="dxa"/>
          <w:bottom w:w="0" w:type="dxa"/>
          <w:right w:w="0" w:type="dxa"/>
        </w:tblCellMar>
        <w:tblLook w:val="01E0"/>
      </w:tblPr>
      <w:tblGrid>
        <w:gridCol w:w="3169"/>
        <w:gridCol w:w="1490"/>
        <w:gridCol w:w="1443"/>
        <w:gridCol w:w="1253"/>
        <w:gridCol w:w="1385"/>
      </w:tblGrid>
      <w:tr>
        <w:trPr>
          <w:trHeight w:val="418" w:hRule="exact"/>
        </w:trPr>
        <w:tc>
          <w:tcPr>
            <w:tcW w:w="3169" w:type="dxa"/>
            <w:vMerge w:val="restart"/>
            <w:tcBorders>
              <w:top w:val="single" w:sz="12" w:space="0" w:color="000000"/>
              <w:left w:val="nil" w:sz="6" w:space="0" w:color="auto"/>
              <w:right w:val="single" w:sz="2"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87"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1"/>
              <w:ind w:left="4" w:right="0"/>
              <w:jc w:val="center"/>
              <w:rPr>
                <w:rFonts w:ascii="宋体" w:hAnsi="宋体" w:cs="宋体" w:eastAsia="宋体" w:hint="default"/>
                <w:sz w:val="18"/>
                <w:szCs w:val="18"/>
              </w:rPr>
            </w:pPr>
            <w:r>
              <w:rPr>
                <w:rFonts w:ascii="宋体" w:hAnsi="宋体" w:cs="宋体" w:eastAsia="宋体" w:hint="default"/>
                <w:sz w:val="18"/>
                <w:szCs w:val="18"/>
              </w:rPr>
              <w:t>本年减少</w:t>
            </w:r>
          </w:p>
        </w:tc>
        <w:tc>
          <w:tcPr>
            <w:tcW w:w="1385" w:type="dxa"/>
            <w:vMerge w:val="restart"/>
            <w:tcBorders>
              <w:top w:val="single" w:sz="12" w:space="0" w:color="000000"/>
              <w:left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406" w:hRule="exact"/>
        </w:trPr>
        <w:tc>
          <w:tcPr>
            <w:tcW w:w="3169" w:type="dxa"/>
            <w:vMerge/>
            <w:tcBorders>
              <w:left w:val="nil" w:sz="6" w:space="0" w:color="auto"/>
              <w:bottom w:val="single" w:sz="2" w:space="0" w:color="000000"/>
              <w:right w:val="single" w:sz="2" w:space="0" w:color="000000"/>
            </w:tcBorders>
          </w:tcPr>
          <w:p>
            <w:pPr/>
          </w:p>
        </w:tc>
        <w:tc>
          <w:tcPr>
            <w:tcW w:w="14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8"/>
              <w:jc w:val="right"/>
              <w:rPr>
                <w:rFonts w:ascii="宋体" w:hAnsi="宋体" w:cs="宋体" w:eastAsia="宋体" w:hint="default"/>
                <w:sz w:val="18"/>
                <w:szCs w:val="18"/>
              </w:rPr>
            </w:pPr>
            <w:r>
              <w:rPr>
                <w:rFonts w:ascii="宋体" w:hAnsi="宋体" w:cs="宋体" w:eastAsia="宋体" w:hint="default"/>
                <w:sz w:val="18"/>
                <w:szCs w:val="18"/>
              </w:rPr>
              <w:t>确认为无形资产</w:t>
            </w:r>
          </w:p>
        </w:tc>
        <w:tc>
          <w:tcPr>
            <w:tcW w:w="14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left="180"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85" w:type="dxa"/>
            <w:vMerge/>
            <w:tcBorders>
              <w:left w:val="single" w:sz="2" w:space="0" w:color="000000"/>
              <w:bottom w:val="single" w:sz="2" w:space="0" w:color="000000"/>
              <w:right w:val="nil" w:sz="6" w:space="0" w:color="auto"/>
            </w:tcBorders>
          </w:tcPr>
          <w:p>
            <w:pPr/>
          </w:p>
        </w:tc>
      </w:tr>
      <w:tr>
        <w:trPr>
          <w:trHeight w:val="406" w:hRule="exact"/>
        </w:trPr>
        <w:tc>
          <w:tcPr>
            <w:tcW w:w="31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技术开发平台升级</w:t>
            </w:r>
          </w:p>
        </w:tc>
        <w:tc>
          <w:tcPr>
            <w:tcW w:w="1490" w:type="dxa"/>
            <w:tcBorders>
              <w:top w:val="single" w:sz="2" w:space="0" w:color="000000"/>
              <w:left w:val="single" w:sz="2" w:space="0" w:color="000000"/>
              <w:bottom w:val="single" w:sz="2" w:space="0" w:color="000000"/>
              <w:right w:val="single" w:sz="2" w:space="0" w:color="000000"/>
            </w:tcBorders>
          </w:tcPr>
          <w:p>
            <w:pPr/>
          </w:p>
        </w:tc>
        <w:tc>
          <w:tcPr>
            <w:tcW w:w="1443" w:type="dxa"/>
            <w:tcBorders>
              <w:top w:val="single" w:sz="2" w:space="0" w:color="000000"/>
              <w:left w:val="single" w:sz="2" w:space="0" w:color="000000"/>
              <w:bottom w:val="single" w:sz="2" w:space="0" w:color="000000"/>
              <w:right w:val="single" w:sz="2" w:space="0" w:color="000000"/>
            </w:tcBorders>
          </w:tcPr>
          <w:p>
            <w:pPr/>
          </w:p>
        </w:tc>
        <w:tc>
          <w:tcPr>
            <w:tcW w:w="1253" w:type="dxa"/>
            <w:tcBorders>
              <w:top w:val="single" w:sz="2" w:space="0" w:color="000000"/>
              <w:left w:val="single" w:sz="2" w:space="0" w:color="000000"/>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right="102"/>
              <w:jc w:val="right"/>
              <w:rPr>
                <w:rFonts w:ascii="Arial" w:hAnsi="Arial" w:cs="Arial" w:eastAsia="Arial" w:hint="default"/>
                <w:sz w:val="18"/>
                <w:szCs w:val="18"/>
              </w:rPr>
            </w:pPr>
            <w:r>
              <w:rPr>
                <w:rFonts w:ascii="Arial"/>
                <w:spacing w:val="-1"/>
                <w:sz w:val="18"/>
              </w:rPr>
              <w:t>174,242.35</w:t>
            </w:r>
          </w:p>
        </w:tc>
      </w:tr>
      <w:tr>
        <w:trPr>
          <w:trHeight w:val="403" w:hRule="exact"/>
        </w:trPr>
        <w:tc>
          <w:tcPr>
            <w:tcW w:w="31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人工智能应用关键技术研究项目</w:t>
            </w:r>
          </w:p>
        </w:tc>
        <w:tc>
          <w:tcPr>
            <w:tcW w:w="14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0"/>
              <w:jc w:val="right"/>
              <w:rPr>
                <w:rFonts w:ascii="Arial" w:hAnsi="Arial" w:cs="Arial" w:eastAsia="Arial" w:hint="default"/>
                <w:sz w:val="18"/>
                <w:szCs w:val="18"/>
              </w:rPr>
            </w:pPr>
            <w:r>
              <w:rPr>
                <w:rFonts w:ascii="Arial"/>
                <w:spacing w:val="-1"/>
                <w:sz w:val="18"/>
              </w:rPr>
              <w:t>802,445.05</w:t>
            </w:r>
          </w:p>
        </w:tc>
        <w:tc>
          <w:tcPr>
            <w:tcW w:w="1443" w:type="dxa"/>
            <w:tcBorders>
              <w:top w:val="single" w:sz="2" w:space="0" w:color="000000"/>
              <w:left w:val="single" w:sz="2" w:space="0" w:color="000000"/>
              <w:bottom w:val="single" w:sz="2" w:space="0" w:color="000000"/>
              <w:right w:val="single" w:sz="2" w:space="0" w:color="000000"/>
            </w:tcBorders>
          </w:tcPr>
          <w:p>
            <w:pPr/>
          </w:p>
        </w:tc>
        <w:tc>
          <w:tcPr>
            <w:tcW w:w="1253" w:type="dxa"/>
            <w:tcBorders>
              <w:top w:val="single" w:sz="2" w:space="0" w:color="000000"/>
              <w:left w:val="single" w:sz="2" w:space="0" w:color="000000"/>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31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124" w:right="0"/>
              <w:jc w:val="left"/>
              <w:rPr>
                <w:rFonts w:ascii="宋体" w:hAnsi="宋体" w:cs="宋体" w:eastAsia="宋体" w:hint="default"/>
                <w:sz w:val="18"/>
                <w:szCs w:val="18"/>
              </w:rPr>
            </w:pPr>
            <w:r>
              <w:rPr>
                <w:rFonts w:ascii="Arial" w:hAnsi="Arial" w:cs="Arial" w:eastAsia="Arial" w:hint="default"/>
                <w:sz w:val="18"/>
                <w:szCs w:val="18"/>
              </w:rPr>
              <w:t>SETT</w:t>
            </w:r>
            <w:r>
              <w:rPr>
                <w:rFonts w:ascii="Arial" w:hAnsi="Arial" w:cs="Arial" w:eastAsia="Arial" w:hint="default"/>
                <w:spacing w:val="-10"/>
                <w:sz w:val="18"/>
                <w:szCs w:val="18"/>
              </w:rPr>
              <w:t> </w:t>
            </w:r>
            <w:r>
              <w:rPr>
                <w:rFonts w:ascii="宋体" w:hAnsi="宋体" w:cs="宋体" w:eastAsia="宋体" w:hint="default"/>
                <w:sz w:val="18"/>
                <w:szCs w:val="18"/>
              </w:rPr>
              <w:t>产品升级改造项目</w:t>
            </w:r>
          </w:p>
        </w:tc>
        <w:tc>
          <w:tcPr>
            <w:tcW w:w="1490" w:type="dxa"/>
            <w:tcBorders>
              <w:top w:val="single" w:sz="2" w:space="0" w:color="000000"/>
              <w:left w:val="single" w:sz="2" w:space="0" w:color="000000"/>
              <w:bottom w:val="single" w:sz="2" w:space="0" w:color="000000"/>
              <w:right w:val="single" w:sz="2" w:space="0" w:color="000000"/>
            </w:tcBorders>
          </w:tcPr>
          <w:p>
            <w:pPr/>
          </w:p>
        </w:tc>
        <w:tc>
          <w:tcPr>
            <w:tcW w:w="14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2"/>
              <w:ind w:right="100"/>
              <w:jc w:val="right"/>
              <w:rPr>
                <w:rFonts w:ascii="Arial" w:hAnsi="Arial" w:cs="Arial" w:eastAsia="Arial" w:hint="default"/>
                <w:sz w:val="18"/>
                <w:szCs w:val="18"/>
              </w:rPr>
            </w:pPr>
            <w:r>
              <w:rPr>
                <w:rFonts w:ascii="Arial"/>
                <w:spacing w:val="-1"/>
                <w:sz w:val="18"/>
              </w:rPr>
              <w:t>679,902.54</w:t>
            </w:r>
          </w:p>
        </w:tc>
        <w:tc>
          <w:tcPr>
            <w:tcW w:w="1253" w:type="dxa"/>
            <w:tcBorders>
              <w:top w:val="single" w:sz="2" w:space="0" w:color="000000"/>
              <w:left w:val="single" w:sz="2" w:space="0" w:color="000000"/>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31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124" w:right="0"/>
              <w:jc w:val="left"/>
              <w:rPr>
                <w:rFonts w:ascii="宋体" w:hAnsi="宋体" w:cs="宋体" w:eastAsia="宋体" w:hint="default"/>
                <w:sz w:val="18"/>
                <w:szCs w:val="18"/>
              </w:rPr>
            </w:pPr>
            <w:r>
              <w:rPr>
                <w:rFonts w:ascii="宋体" w:hAnsi="宋体" w:cs="宋体" w:eastAsia="宋体" w:hint="default"/>
                <w:sz w:val="18"/>
                <w:szCs w:val="18"/>
              </w:rPr>
              <w:t>其他项目</w:t>
            </w:r>
            <w:r>
              <w:rPr>
                <w:rFonts w:ascii="宋体" w:hAnsi="宋体" w:cs="宋体" w:eastAsia="宋体" w:hint="default"/>
                <w:sz w:val="18"/>
                <w:szCs w:val="18"/>
              </w:rPr>
              <w:t> </w:t>
            </w:r>
          </w:p>
        </w:tc>
        <w:tc>
          <w:tcPr>
            <w:tcW w:w="1490" w:type="dxa"/>
            <w:tcBorders>
              <w:top w:val="single" w:sz="2" w:space="0" w:color="000000"/>
              <w:left w:val="single" w:sz="2" w:space="0" w:color="000000"/>
              <w:bottom w:val="single" w:sz="2" w:space="0" w:color="000000"/>
              <w:right w:val="single" w:sz="2" w:space="0" w:color="000000"/>
            </w:tcBorders>
          </w:tcPr>
          <w:p>
            <w:pPr/>
          </w:p>
        </w:tc>
        <w:tc>
          <w:tcPr>
            <w:tcW w:w="14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0"/>
              <w:jc w:val="right"/>
              <w:rPr>
                <w:rFonts w:ascii="Arial" w:hAnsi="Arial" w:cs="Arial" w:eastAsia="Arial" w:hint="default"/>
                <w:sz w:val="18"/>
                <w:szCs w:val="18"/>
              </w:rPr>
            </w:pPr>
            <w:r>
              <w:rPr>
                <w:rFonts w:ascii="Arial"/>
                <w:spacing w:val="-1"/>
                <w:sz w:val="18"/>
              </w:rPr>
              <w:t>5,549,124.04</w:t>
            </w:r>
          </w:p>
        </w:tc>
        <w:tc>
          <w:tcPr>
            <w:tcW w:w="1253" w:type="dxa"/>
            <w:tcBorders>
              <w:top w:val="single" w:sz="2" w:space="0" w:color="000000"/>
              <w:left w:val="single" w:sz="2" w:space="0" w:color="000000"/>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nil" w:sz="6" w:space="0" w:color="auto"/>
            </w:tcBorders>
          </w:tcPr>
          <w:p>
            <w:pPr/>
          </w:p>
        </w:tc>
      </w:tr>
      <w:tr>
        <w:trPr>
          <w:trHeight w:val="418" w:hRule="exact"/>
        </w:trPr>
        <w:tc>
          <w:tcPr>
            <w:tcW w:w="316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9"/>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0"/>
              <w:ind w:right="102"/>
              <w:jc w:val="right"/>
              <w:rPr>
                <w:rFonts w:ascii="Arial" w:hAnsi="Arial" w:cs="Arial" w:eastAsia="Arial" w:hint="default"/>
                <w:sz w:val="18"/>
                <w:szCs w:val="18"/>
              </w:rPr>
            </w:pPr>
            <w:r>
              <w:rPr>
                <w:rFonts w:ascii="Arial"/>
                <w:spacing w:val="-1"/>
                <w:sz w:val="18"/>
              </w:rPr>
              <w:t>802,445.05</w:t>
            </w:r>
          </w:p>
        </w:tc>
        <w:tc>
          <w:tcPr>
            <w:tcW w:w="14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0"/>
              <w:ind w:right="100"/>
              <w:jc w:val="right"/>
              <w:rPr>
                <w:rFonts w:ascii="Arial" w:hAnsi="Arial" w:cs="Arial" w:eastAsia="Arial" w:hint="default"/>
                <w:sz w:val="18"/>
                <w:szCs w:val="18"/>
              </w:rPr>
            </w:pPr>
            <w:r>
              <w:rPr>
                <w:rFonts w:ascii="Arial"/>
                <w:spacing w:val="-1"/>
                <w:sz w:val="18"/>
              </w:rPr>
              <w:t>51,091,950.07</w:t>
            </w:r>
          </w:p>
        </w:tc>
        <w:tc>
          <w:tcPr>
            <w:tcW w:w="1253" w:type="dxa"/>
            <w:tcBorders>
              <w:top w:val="single" w:sz="2" w:space="0" w:color="000000"/>
              <w:left w:val="single" w:sz="2" w:space="0" w:color="000000"/>
              <w:bottom w:val="single" w:sz="12" w:space="0" w:color="000000"/>
              <w:right w:val="single" w:sz="2" w:space="0" w:color="000000"/>
            </w:tcBorders>
          </w:tcPr>
          <w:p>
            <w:pPr/>
          </w:p>
        </w:tc>
        <w:tc>
          <w:tcPr>
            <w:tcW w:w="138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0"/>
              <w:ind w:right="105"/>
              <w:jc w:val="right"/>
              <w:rPr>
                <w:rFonts w:ascii="Arial" w:hAnsi="Arial" w:cs="Arial" w:eastAsia="Arial" w:hint="default"/>
                <w:sz w:val="18"/>
                <w:szCs w:val="18"/>
              </w:rPr>
            </w:pPr>
            <w:r>
              <w:rPr>
                <w:rFonts w:ascii="Arial"/>
                <w:spacing w:val="-1"/>
                <w:sz w:val="18"/>
              </w:rPr>
              <w:t>174,242.35</w:t>
            </w:r>
          </w:p>
        </w:tc>
      </w:tr>
    </w:tbl>
    <w:p>
      <w:pPr>
        <w:pStyle w:val="Heading4"/>
        <w:tabs>
          <w:tab w:pos="1513" w:val="left" w:leader="none"/>
        </w:tabs>
        <w:spacing w:line="240" w:lineRule="auto"/>
        <w:ind w:left="694" w:right="309"/>
        <w:jc w:val="left"/>
        <w:rPr>
          <w:b w:val="0"/>
          <w:bCs w:val="0"/>
        </w:rPr>
      </w:pPr>
      <w:r>
        <w:rPr>
          <w:rFonts w:ascii="Arial" w:hAnsi="Arial" w:cs="Arial" w:eastAsia="Arial" w:hint="default"/>
          <w:spacing w:val="-1"/>
        </w:rPr>
        <w:t>15</w:t>
      </w:r>
      <w:r>
        <w:rPr>
          <w:spacing w:val="-1"/>
        </w:rPr>
        <w:t>、</w:t>
        <w:tab/>
      </w:r>
      <w:r>
        <w:rPr/>
        <w:t>递延所得税资产和递延所得税负债</w:t>
      </w:r>
      <w:r>
        <w:rPr>
          <w:b w:val="0"/>
          <w:bCs w:val="0"/>
        </w:rPr>
      </w:r>
    </w:p>
    <w:p>
      <w:pPr>
        <w:pStyle w:val="BodyText"/>
        <w:spacing w:line="240" w:lineRule="auto" w:before="138"/>
        <w:ind w:left="692" w:right="309"/>
        <w:jc w:val="left"/>
      </w:pPr>
      <w:r>
        <w:rPr/>
        <w:t>（</w:t>
      </w:r>
      <w:r>
        <w:rPr>
          <w:rFonts w:ascii="Arial" w:hAnsi="Arial" w:cs="Arial" w:eastAsia="Arial" w:hint="default"/>
        </w:rPr>
        <w:t>1</w:t>
      </w:r>
      <w:r>
        <w:rPr/>
        <w:t>）未经抵销的递延所得税资产</w:t>
      </w:r>
    </w:p>
    <w:p>
      <w:pPr>
        <w:spacing w:line="240" w:lineRule="auto" w:before="8"/>
        <w:rPr>
          <w:rFonts w:ascii="宋体" w:hAnsi="宋体" w:cs="宋体" w:eastAsia="宋体" w:hint="default"/>
          <w:sz w:val="5"/>
          <w:szCs w:val="5"/>
        </w:rPr>
      </w:pPr>
    </w:p>
    <w:tbl>
      <w:tblPr>
        <w:tblW w:w="0" w:type="auto"/>
        <w:jc w:val="left"/>
        <w:tblInd w:w="680" w:type="dxa"/>
        <w:tblLayout w:type="fixed"/>
        <w:tblCellMar>
          <w:top w:w="0" w:type="dxa"/>
          <w:left w:w="0" w:type="dxa"/>
          <w:bottom w:w="0" w:type="dxa"/>
          <w:right w:w="0" w:type="dxa"/>
        </w:tblCellMar>
        <w:tblLook w:val="01E0"/>
      </w:tblPr>
      <w:tblGrid>
        <w:gridCol w:w="2054"/>
        <w:gridCol w:w="1755"/>
        <w:gridCol w:w="1584"/>
        <w:gridCol w:w="1819"/>
        <w:gridCol w:w="1527"/>
      </w:tblGrid>
      <w:tr>
        <w:trPr>
          <w:trHeight w:val="497" w:hRule="exact"/>
        </w:trPr>
        <w:tc>
          <w:tcPr>
            <w:tcW w:w="2054"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39"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9"/>
              <w:ind w:left="2"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3346"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49"/>
              <w:ind w:left="1"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85" w:hRule="exact"/>
        </w:trPr>
        <w:tc>
          <w:tcPr>
            <w:tcW w:w="2054" w:type="dxa"/>
            <w:vMerge/>
            <w:tcBorders>
              <w:left w:val="nil" w:sz="6" w:space="0" w:color="auto"/>
              <w:bottom w:val="single" w:sz="2" w:space="0" w:color="000000"/>
              <w:right w:val="single" w:sz="2" w:space="0" w:color="000000"/>
            </w:tcBorders>
          </w:tcPr>
          <w:p>
            <w:pPr/>
          </w:p>
        </w:tc>
        <w:tc>
          <w:tcPr>
            <w:tcW w:w="17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27"/>
              <w:jc w:val="righ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177"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5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13"/>
              <w:jc w:val="righ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87" w:hRule="exact"/>
        </w:trPr>
        <w:tc>
          <w:tcPr>
            <w:tcW w:w="20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2"/>
              <w:ind w:left="1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7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7,975,000.00</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1,196,250.00</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8,221,729.35</w:t>
            </w:r>
          </w:p>
        </w:tc>
        <w:tc>
          <w:tcPr>
            <w:tcW w:w="15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1,233,259.40</w:t>
            </w:r>
          </w:p>
        </w:tc>
      </w:tr>
      <w:tr>
        <w:trPr>
          <w:trHeight w:val="485" w:hRule="exact"/>
        </w:trPr>
        <w:tc>
          <w:tcPr>
            <w:tcW w:w="20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7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9,007,893.72</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1,359,414.67</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7,424,293.72</w:t>
            </w:r>
          </w:p>
        </w:tc>
        <w:tc>
          <w:tcPr>
            <w:tcW w:w="15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1,122,105.28</w:t>
            </w:r>
          </w:p>
        </w:tc>
      </w:tr>
      <w:tr>
        <w:trPr>
          <w:trHeight w:val="485" w:hRule="exact"/>
        </w:trPr>
        <w:tc>
          <w:tcPr>
            <w:tcW w:w="20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7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1,274,625.02</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191,193.75</w:t>
            </w:r>
          </w:p>
        </w:tc>
        <w:tc>
          <w:tcPr>
            <w:tcW w:w="1819" w:type="dxa"/>
            <w:tcBorders>
              <w:top w:val="single" w:sz="2" w:space="0" w:color="000000"/>
              <w:left w:val="single" w:sz="2" w:space="0" w:color="000000"/>
              <w:bottom w:val="single" w:sz="2" w:space="0" w:color="000000"/>
              <w:right w:val="single" w:sz="2" w:space="0" w:color="000000"/>
            </w:tcBorders>
          </w:tcPr>
          <w:p>
            <w:pPr/>
          </w:p>
        </w:tc>
        <w:tc>
          <w:tcPr>
            <w:tcW w:w="1527" w:type="dxa"/>
            <w:tcBorders>
              <w:top w:val="single" w:sz="2" w:space="0" w:color="000000"/>
              <w:left w:val="single" w:sz="2" w:space="0" w:color="000000"/>
              <w:bottom w:val="single" w:sz="2" w:space="0" w:color="000000"/>
              <w:right w:val="nil" w:sz="6" w:space="0" w:color="auto"/>
            </w:tcBorders>
          </w:tcPr>
          <w:p>
            <w:pPr/>
          </w:p>
        </w:tc>
      </w:tr>
      <w:tr>
        <w:trPr>
          <w:trHeight w:val="497" w:hRule="exact"/>
        </w:trPr>
        <w:tc>
          <w:tcPr>
            <w:tcW w:w="205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5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18,257,518.74</w:t>
            </w:r>
          </w:p>
        </w:tc>
        <w:tc>
          <w:tcPr>
            <w:tcW w:w="15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2,746,858.42</w:t>
            </w:r>
          </w:p>
        </w:tc>
        <w:tc>
          <w:tcPr>
            <w:tcW w:w="18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15,646,023.07</w:t>
            </w:r>
          </w:p>
        </w:tc>
        <w:tc>
          <w:tcPr>
            <w:tcW w:w="152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2,355,364.68</w:t>
            </w:r>
          </w:p>
        </w:tc>
      </w:tr>
    </w:tbl>
    <w:p>
      <w:pPr>
        <w:spacing w:line="240" w:lineRule="auto" w:before="5"/>
        <w:rPr>
          <w:rFonts w:ascii="宋体" w:hAnsi="宋体" w:cs="宋体" w:eastAsia="宋体" w:hint="default"/>
          <w:sz w:val="5"/>
          <w:szCs w:val="5"/>
        </w:rPr>
      </w:pPr>
    </w:p>
    <w:p>
      <w:pPr>
        <w:pStyle w:val="BodyText"/>
        <w:spacing w:line="240" w:lineRule="auto" w:before="32"/>
        <w:ind w:left="692" w:right="309"/>
        <w:jc w:val="left"/>
      </w:pPr>
      <w:r>
        <w:rPr/>
        <w:t>（</w:t>
      </w:r>
      <w:r>
        <w:rPr>
          <w:rFonts w:ascii="Arial" w:hAnsi="Arial" w:cs="Arial" w:eastAsia="Arial" w:hint="default"/>
        </w:rPr>
        <w:t>2</w:t>
      </w:r>
      <w:r>
        <w:rPr/>
        <w:t>）未经抵销的递延所得税负债</w:t>
      </w:r>
    </w:p>
    <w:p>
      <w:pPr>
        <w:spacing w:line="240" w:lineRule="auto" w:before="8"/>
        <w:rPr>
          <w:rFonts w:ascii="宋体" w:hAnsi="宋体" w:cs="宋体" w:eastAsia="宋体" w:hint="default"/>
          <w:sz w:val="5"/>
          <w:szCs w:val="5"/>
        </w:rPr>
      </w:pPr>
    </w:p>
    <w:tbl>
      <w:tblPr>
        <w:tblW w:w="0" w:type="auto"/>
        <w:jc w:val="left"/>
        <w:tblInd w:w="680" w:type="dxa"/>
        <w:tblLayout w:type="fixed"/>
        <w:tblCellMar>
          <w:top w:w="0" w:type="dxa"/>
          <w:left w:w="0" w:type="dxa"/>
          <w:bottom w:w="0" w:type="dxa"/>
          <w:right w:w="0" w:type="dxa"/>
        </w:tblCellMar>
        <w:tblLook w:val="01E0"/>
      </w:tblPr>
      <w:tblGrid>
        <w:gridCol w:w="2054"/>
        <w:gridCol w:w="1755"/>
        <w:gridCol w:w="1584"/>
        <w:gridCol w:w="1819"/>
        <w:gridCol w:w="1527"/>
      </w:tblGrid>
      <w:tr>
        <w:trPr>
          <w:trHeight w:val="499" w:hRule="exact"/>
        </w:trPr>
        <w:tc>
          <w:tcPr>
            <w:tcW w:w="2054"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39"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left="2"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3346"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left="1"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85" w:hRule="exact"/>
        </w:trPr>
        <w:tc>
          <w:tcPr>
            <w:tcW w:w="2054" w:type="dxa"/>
            <w:vMerge/>
            <w:tcBorders>
              <w:left w:val="nil" w:sz="6" w:space="0" w:color="auto"/>
              <w:bottom w:val="single" w:sz="2" w:space="0" w:color="000000"/>
              <w:right w:val="single" w:sz="2" w:space="0" w:color="000000"/>
            </w:tcBorders>
          </w:tcPr>
          <w:p>
            <w:pPr/>
          </w:p>
        </w:tc>
        <w:tc>
          <w:tcPr>
            <w:tcW w:w="17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27"/>
              <w:jc w:val="righ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18"/>
              <w:jc w:val="right"/>
              <w:rPr>
                <w:rFonts w:ascii="宋体" w:hAnsi="宋体" w:cs="宋体" w:eastAsia="宋体" w:hint="default"/>
                <w:sz w:val="18"/>
                <w:szCs w:val="18"/>
              </w:rPr>
            </w:pPr>
            <w:r>
              <w:rPr>
                <w:rFonts w:ascii="宋体" w:hAnsi="宋体" w:cs="宋体" w:eastAsia="宋体" w:hint="default"/>
                <w:sz w:val="18"/>
                <w:szCs w:val="18"/>
              </w:rPr>
              <w:t>递延所得税负债</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189"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5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67"/>
              <w:jc w:val="righ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85" w:hRule="exact"/>
        </w:trPr>
        <w:tc>
          <w:tcPr>
            <w:tcW w:w="20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7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222,747.20</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33,412.08</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222,747.20</w:t>
            </w:r>
          </w:p>
        </w:tc>
        <w:tc>
          <w:tcPr>
            <w:tcW w:w="15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33,412.08</w:t>
            </w:r>
          </w:p>
        </w:tc>
      </w:tr>
      <w:tr>
        <w:trPr>
          <w:trHeight w:val="499" w:hRule="exact"/>
        </w:trPr>
        <w:tc>
          <w:tcPr>
            <w:tcW w:w="205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5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Arial" w:hAnsi="Arial" w:cs="Arial" w:eastAsia="Arial" w:hint="default"/>
                <w:sz w:val="18"/>
                <w:szCs w:val="18"/>
              </w:rPr>
            </w:pPr>
            <w:r>
              <w:rPr>
                <w:rFonts w:ascii="Arial"/>
                <w:spacing w:val="-1"/>
                <w:sz w:val="18"/>
              </w:rPr>
              <w:t>222,747.20</w:t>
            </w:r>
          </w:p>
        </w:tc>
        <w:tc>
          <w:tcPr>
            <w:tcW w:w="15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33,412.08</w:t>
            </w:r>
          </w:p>
        </w:tc>
        <w:tc>
          <w:tcPr>
            <w:tcW w:w="18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222,747.20</w:t>
            </w:r>
          </w:p>
        </w:tc>
        <w:tc>
          <w:tcPr>
            <w:tcW w:w="152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33,412.08</w:t>
            </w:r>
          </w:p>
        </w:tc>
      </w:tr>
    </w:tbl>
    <w:p>
      <w:pPr>
        <w:spacing w:line="240" w:lineRule="auto" w:before="5"/>
        <w:rPr>
          <w:rFonts w:ascii="宋体" w:hAnsi="宋体" w:cs="宋体" w:eastAsia="宋体" w:hint="default"/>
          <w:sz w:val="5"/>
          <w:szCs w:val="5"/>
        </w:rPr>
      </w:pPr>
    </w:p>
    <w:p>
      <w:pPr>
        <w:pStyle w:val="BodyText"/>
        <w:spacing w:line="240" w:lineRule="auto" w:before="32"/>
        <w:ind w:left="692" w:right="309"/>
        <w:jc w:val="left"/>
      </w:pPr>
      <w:r>
        <w:rPr/>
        <w:t>（</w:t>
      </w:r>
      <w:r>
        <w:rPr>
          <w:rFonts w:ascii="Arial" w:hAnsi="Arial" w:cs="Arial" w:eastAsia="Arial" w:hint="default"/>
        </w:rPr>
        <w:t>3</w:t>
      </w:r>
      <w:r>
        <w:rPr/>
        <w:t>）未确认递延所得税资产明细</w:t>
      </w:r>
    </w:p>
    <w:p>
      <w:pPr>
        <w:spacing w:line="240" w:lineRule="auto" w:before="8"/>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3323"/>
        <w:gridCol w:w="2700"/>
        <w:gridCol w:w="2717"/>
      </w:tblGrid>
      <w:tr>
        <w:trPr>
          <w:trHeight w:val="497" w:hRule="exact"/>
        </w:trPr>
        <w:tc>
          <w:tcPr>
            <w:tcW w:w="332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0"/>
              <w:ind w:right="1469"/>
              <w:jc w:val="right"/>
              <w:rPr>
                <w:rFonts w:ascii="宋体" w:hAnsi="宋体" w:cs="宋体" w:eastAsia="宋体" w:hint="default"/>
                <w:sz w:val="18"/>
                <w:szCs w:val="18"/>
              </w:rPr>
            </w:pPr>
            <w:r>
              <w:rPr>
                <w:rFonts w:ascii="宋体" w:hAnsi="宋体" w:cs="宋体" w:eastAsia="宋体" w:hint="default"/>
                <w:sz w:val="18"/>
                <w:szCs w:val="18"/>
              </w:rPr>
              <w:t>项目</w:t>
            </w:r>
          </w:p>
        </w:tc>
        <w:tc>
          <w:tcPr>
            <w:tcW w:w="27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0"/>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71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0"/>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85" w:hRule="exact"/>
        </w:trPr>
        <w:tc>
          <w:tcPr>
            <w:tcW w:w="33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29,816,330.20</w:t>
            </w:r>
          </w:p>
        </w:tc>
        <w:tc>
          <w:tcPr>
            <w:tcW w:w="27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2"/>
                <w:sz w:val="18"/>
              </w:rPr>
              <w:t>27,112,120.62</w:t>
            </w:r>
          </w:p>
        </w:tc>
      </w:tr>
      <w:tr>
        <w:trPr>
          <w:trHeight w:val="485" w:hRule="exact"/>
        </w:trPr>
        <w:tc>
          <w:tcPr>
            <w:tcW w:w="33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657,729.74</w:t>
            </w:r>
          </w:p>
        </w:tc>
        <w:tc>
          <w:tcPr>
            <w:tcW w:w="27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7"/>
              <w:jc w:val="right"/>
              <w:rPr>
                <w:rFonts w:ascii="Arial" w:hAnsi="Arial" w:cs="Arial" w:eastAsia="Arial" w:hint="default"/>
                <w:sz w:val="18"/>
                <w:szCs w:val="18"/>
              </w:rPr>
            </w:pPr>
            <w:r>
              <w:rPr>
                <w:rFonts w:ascii="Arial"/>
                <w:spacing w:val="-1"/>
                <w:sz w:val="18"/>
              </w:rPr>
              <w:t>2,483,762.87</w:t>
            </w:r>
          </w:p>
        </w:tc>
      </w:tr>
      <w:tr>
        <w:trPr>
          <w:trHeight w:val="499" w:hRule="exact"/>
        </w:trPr>
        <w:tc>
          <w:tcPr>
            <w:tcW w:w="332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right="1469"/>
              <w:jc w:val="right"/>
              <w:rPr>
                <w:rFonts w:ascii="宋体" w:hAnsi="宋体" w:cs="宋体" w:eastAsia="宋体" w:hint="default"/>
                <w:sz w:val="18"/>
                <w:szCs w:val="18"/>
              </w:rPr>
            </w:pPr>
            <w:r>
              <w:rPr>
                <w:rFonts w:ascii="宋体" w:hAnsi="宋体" w:cs="宋体" w:eastAsia="宋体" w:hint="default"/>
                <w:sz w:val="18"/>
                <w:szCs w:val="18"/>
              </w:rPr>
              <w:t>合计</w:t>
            </w:r>
          </w:p>
        </w:tc>
        <w:tc>
          <w:tcPr>
            <w:tcW w:w="2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30,474,059.94</w:t>
            </w:r>
          </w:p>
        </w:tc>
        <w:tc>
          <w:tcPr>
            <w:tcW w:w="271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29,595,883.49</w:t>
            </w:r>
          </w:p>
        </w:tc>
      </w:tr>
    </w:tbl>
    <w:p>
      <w:pPr>
        <w:spacing w:line="240" w:lineRule="auto" w:before="5"/>
        <w:rPr>
          <w:rFonts w:ascii="宋体" w:hAnsi="宋体" w:cs="宋体" w:eastAsia="宋体" w:hint="default"/>
          <w:sz w:val="5"/>
          <w:szCs w:val="5"/>
        </w:rPr>
      </w:pPr>
    </w:p>
    <w:p>
      <w:pPr>
        <w:pStyle w:val="BodyText"/>
        <w:spacing w:line="240" w:lineRule="auto" w:before="32"/>
        <w:ind w:left="692" w:right="309"/>
        <w:jc w:val="left"/>
      </w:pPr>
      <w:r>
        <w:rPr/>
        <w:t>（</w:t>
      </w:r>
      <w:r>
        <w:rPr>
          <w:rFonts w:ascii="Arial" w:hAnsi="Arial" w:cs="Arial" w:eastAsia="Arial" w:hint="default"/>
        </w:rPr>
        <w:t>4</w:t>
      </w:r>
      <w:r>
        <w:rPr/>
        <w:t>）未确认递延所得税资产的可抵扣亏损将于以下年度到期</w:t>
      </w:r>
    </w:p>
    <w:p>
      <w:pPr>
        <w:spacing w:line="240" w:lineRule="auto" w:before="8"/>
        <w:rPr>
          <w:rFonts w:ascii="宋体" w:hAnsi="宋体" w:cs="宋体" w:eastAsia="宋体" w:hint="default"/>
          <w:sz w:val="5"/>
          <w:szCs w:val="5"/>
        </w:rPr>
      </w:pPr>
    </w:p>
    <w:tbl>
      <w:tblPr>
        <w:tblW w:w="0" w:type="auto"/>
        <w:jc w:val="left"/>
        <w:tblInd w:w="680" w:type="dxa"/>
        <w:tblLayout w:type="fixed"/>
        <w:tblCellMar>
          <w:top w:w="0" w:type="dxa"/>
          <w:left w:w="0" w:type="dxa"/>
          <w:bottom w:w="0" w:type="dxa"/>
          <w:right w:w="0" w:type="dxa"/>
        </w:tblCellMar>
        <w:tblLook w:val="01E0"/>
      </w:tblPr>
      <w:tblGrid>
        <w:gridCol w:w="2540"/>
        <w:gridCol w:w="2059"/>
        <w:gridCol w:w="2072"/>
        <w:gridCol w:w="2069"/>
      </w:tblGrid>
      <w:tr>
        <w:trPr>
          <w:trHeight w:val="497" w:hRule="exact"/>
        </w:trPr>
        <w:tc>
          <w:tcPr>
            <w:tcW w:w="254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49"/>
              <w:ind w:left="16"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05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9"/>
              <w:ind w:left="667" w:right="0"/>
              <w:jc w:val="left"/>
              <w:rPr>
                <w:rFonts w:ascii="宋体" w:hAnsi="宋体" w:cs="宋体" w:eastAsia="宋体" w:hint="default"/>
                <w:sz w:val="18"/>
                <w:szCs w:val="18"/>
              </w:rPr>
            </w:pPr>
            <w:r>
              <w:rPr>
                <w:rFonts w:ascii="宋体" w:hAnsi="宋体" w:cs="宋体" w:eastAsia="宋体" w:hint="default"/>
                <w:sz w:val="18"/>
                <w:szCs w:val="18"/>
              </w:rPr>
              <w:t>年末金额</w:t>
            </w:r>
          </w:p>
        </w:tc>
        <w:tc>
          <w:tcPr>
            <w:tcW w:w="207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9"/>
              <w:ind w:left="674" w:right="0"/>
              <w:jc w:val="left"/>
              <w:rPr>
                <w:rFonts w:ascii="宋体" w:hAnsi="宋体" w:cs="宋体" w:eastAsia="宋体" w:hint="default"/>
                <w:sz w:val="18"/>
                <w:szCs w:val="18"/>
              </w:rPr>
            </w:pPr>
            <w:r>
              <w:rPr>
                <w:rFonts w:ascii="宋体" w:hAnsi="宋体" w:cs="宋体" w:eastAsia="宋体" w:hint="default"/>
                <w:sz w:val="18"/>
                <w:szCs w:val="18"/>
              </w:rPr>
              <w:t>年初金额</w:t>
            </w:r>
          </w:p>
        </w:tc>
        <w:tc>
          <w:tcPr>
            <w:tcW w:w="206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85" w:hRule="exact"/>
        </w:trPr>
        <w:tc>
          <w:tcPr>
            <w:tcW w:w="25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Arial" w:hAnsi="Arial" w:cs="Arial" w:eastAsia="Arial" w:hint="default"/>
                <w:sz w:val="18"/>
                <w:szCs w:val="18"/>
              </w:rPr>
            </w:pPr>
            <w:r>
              <w:rPr>
                <w:rFonts w:ascii="Arial"/>
                <w:sz w:val="18"/>
              </w:rPr>
              <w:t>2020</w:t>
            </w:r>
          </w:p>
        </w:tc>
        <w:tc>
          <w:tcPr>
            <w:tcW w:w="2059" w:type="dxa"/>
            <w:tcBorders>
              <w:top w:val="single" w:sz="2" w:space="0" w:color="000000"/>
              <w:left w:val="single" w:sz="2" w:space="0" w:color="000000"/>
              <w:bottom w:val="single" w:sz="2" w:space="0" w:color="000000"/>
              <w:right w:val="single" w:sz="2" w:space="0" w:color="000000"/>
            </w:tcBorders>
          </w:tcPr>
          <w:p>
            <w:pPr/>
          </w:p>
        </w:tc>
        <w:tc>
          <w:tcPr>
            <w:tcW w:w="20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1,039,823.19</w:t>
            </w:r>
          </w:p>
        </w:tc>
        <w:tc>
          <w:tcPr>
            <w:tcW w:w="2069" w:type="dxa"/>
            <w:tcBorders>
              <w:top w:val="single" w:sz="2" w:space="0" w:color="000000"/>
              <w:left w:val="single" w:sz="2" w:space="0" w:color="000000"/>
              <w:bottom w:val="single" w:sz="2" w:space="0" w:color="000000"/>
              <w:right w:val="nil" w:sz="6" w:space="0" w:color="auto"/>
            </w:tcBorders>
          </w:tcPr>
          <w:p>
            <w:pPr/>
          </w:p>
        </w:tc>
      </w:tr>
      <w:tr>
        <w:trPr>
          <w:trHeight w:val="499" w:hRule="exact"/>
        </w:trPr>
        <w:tc>
          <w:tcPr>
            <w:tcW w:w="254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Arial" w:hAnsi="Arial" w:cs="Arial" w:eastAsia="Arial" w:hint="default"/>
                <w:sz w:val="18"/>
                <w:szCs w:val="18"/>
              </w:rPr>
            </w:pPr>
            <w:r>
              <w:rPr>
                <w:rFonts w:ascii="Arial"/>
                <w:sz w:val="18"/>
              </w:rPr>
              <w:t>2021</w:t>
            </w:r>
          </w:p>
        </w:tc>
        <w:tc>
          <w:tcPr>
            <w:tcW w:w="20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48" w:right="0"/>
              <w:jc w:val="left"/>
              <w:rPr>
                <w:rFonts w:ascii="Arial" w:hAnsi="Arial" w:cs="Arial" w:eastAsia="Arial" w:hint="default"/>
                <w:sz w:val="18"/>
                <w:szCs w:val="18"/>
              </w:rPr>
            </w:pPr>
            <w:r>
              <w:rPr>
                <w:rFonts w:ascii="Arial"/>
                <w:sz w:val="18"/>
              </w:rPr>
              <w:t>407,476.30</w:t>
            </w:r>
          </w:p>
        </w:tc>
        <w:tc>
          <w:tcPr>
            <w:tcW w:w="207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1,193,686.24</w:t>
            </w:r>
          </w:p>
        </w:tc>
        <w:tc>
          <w:tcPr>
            <w:tcW w:w="2069"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745" w:footer="979" w:top="1060" w:bottom="1160" w:left="880" w:right="0"/>
        </w:sectPr>
      </w:pPr>
    </w:p>
    <w:p>
      <w:pPr>
        <w:spacing w:line="240" w:lineRule="auto" w:before="6"/>
        <w:rPr>
          <w:rFonts w:ascii="宋体" w:hAnsi="宋体" w:cs="宋体" w:eastAsia="宋体" w:hint="default"/>
          <w:sz w:val="28"/>
          <w:szCs w:val="28"/>
        </w:rPr>
      </w:pPr>
    </w:p>
    <w:tbl>
      <w:tblPr>
        <w:tblW w:w="0" w:type="auto"/>
        <w:jc w:val="left"/>
        <w:tblInd w:w="580" w:type="dxa"/>
        <w:tblLayout w:type="fixed"/>
        <w:tblCellMar>
          <w:top w:w="0" w:type="dxa"/>
          <w:left w:w="0" w:type="dxa"/>
          <w:bottom w:w="0" w:type="dxa"/>
          <w:right w:w="0" w:type="dxa"/>
        </w:tblCellMar>
        <w:tblLook w:val="01E0"/>
      </w:tblPr>
      <w:tblGrid>
        <w:gridCol w:w="2540"/>
        <w:gridCol w:w="2059"/>
        <w:gridCol w:w="2072"/>
        <w:gridCol w:w="2069"/>
      </w:tblGrid>
      <w:tr>
        <w:trPr>
          <w:trHeight w:val="500" w:hRule="exact"/>
        </w:trPr>
        <w:tc>
          <w:tcPr>
            <w:tcW w:w="254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2"/>
              <w:ind w:right="1078"/>
              <w:jc w:val="right"/>
              <w:rPr>
                <w:rFonts w:ascii="宋体" w:hAnsi="宋体" w:cs="宋体" w:eastAsia="宋体" w:hint="default"/>
                <w:sz w:val="18"/>
                <w:szCs w:val="18"/>
              </w:rPr>
            </w:pPr>
            <w:r>
              <w:rPr>
                <w:rFonts w:ascii="宋体" w:hAnsi="宋体" w:cs="宋体" w:eastAsia="宋体" w:hint="default"/>
                <w:sz w:val="18"/>
                <w:szCs w:val="18"/>
              </w:rPr>
              <w:t>年份</w:t>
            </w:r>
          </w:p>
        </w:tc>
        <w:tc>
          <w:tcPr>
            <w:tcW w:w="205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left="667" w:right="0"/>
              <w:jc w:val="left"/>
              <w:rPr>
                <w:rFonts w:ascii="宋体" w:hAnsi="宋体" w:cs="宋体" w:eastAsia="宋体" w:hint="default"/>
                <w:sz w:val="18"/>
                <w:szCs w:val="18"/>
              </w:rPr>
            </w:pPr>
            <w:r>
              <w:rPr>
                <w:rFonts w:ascii="宋体" w:hAnsi="宋体" w:cs="宋体" w:eastAsia="宋体" w:hint="default"/>
                <w:sz w:val="18"/>
                <w:szCs w:val="18"/>
              </w:rPr>
              <w:t>年末金额</w:t>
            </w:r>
          </w:p>
        </w:tc>
        <w:tc>
          <w:tcPr>
            <w:tcW w:w="207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left="674" w:right="0"/>
              <w:jc w:val="left"/>
              <w:rPr>
                <w:rFonts w:ascii="宋体" w:hAnsi="宋体" w:cs="宋体" w:eastAsia="宋体" w:hint="default"/>
                <w:sz w:val="18"/>
                <w:szCs w:val="18"/>
              </w:rPr>
            </w:pPr>
            <w:r>
              <w:rPr>
                <w:rFonts w:ascii="宋体" w:hAnsi="宋体" w:cs="宋体" w:eastAsia="宋体" w:hint="default"/>
                <w:sz w:val="18"/>
                <w:szCs w:val="18"/>
              </w:rPr>
              <w:t>年初金额</w:t>
            </w:r>
          </w:p>
        </w:tc>
        <w:tc>
          <w:tcPr>
            <w:tcW w:w="206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85" w:hRule="exact"/>
        </w:trPr>
        <w:tc>
          <w:tcPr>
            <w:tcW w:w="25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Arial" w:hAnsi="Arial" w:cs="Arial" w:eastAsia="Arial" w:hint="default"/>
                <w:sz w:val="18"/>
                <w:szCs w:val="18"/>
              </w:rPr>
            </w:pPr>
            <w:r>
              <w:rPr>
                <w:rFonts w:ascii="Arial"/>
                <w:sz w:val="18"/>
              </w:rPr>
              <w:t>2022</w:t>
            </w:r>
          </w:p>
        </w:tc>
        <w:tc>
          <w:tcPr>
            <w:tcW w:w="20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250,253.44</w:t>
            </w:r>
          </w:p>
        </w:tc>
        <w:tc>
          <w:tcPr>
            <w:tcW w:w="20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250,253.44</w:t>
            </w:r>
          </w:p>
        </w:tc>
        <w:tc>
          <w:tcPr>
            <w:tcW w:w="2069" w:type="dxa"/>
            <w:tcBorders>
              <w:top w:val="single" w:sz="2" w:space="0" w:color="000000"/>
              <w:left w:val="single" w:sz="2" w:space="0" w:color="000000"/>
              <w:bottom w:val="single" w:sz="2" w:space="0" w:color="000000"/>
              <w:right w:val="nil" w:sz="6" w:space="0" w:color="auto"/>
            </w:tcBorders>
          </w:tcPr>
          <w:p>
            <w:pPr/>
          </w:p>
        </w:tc>
      </w:tr>
      <w:tr>
        <w:trPr>
          <w:trHeight w:val="497" w:hRule="exact"/>
        </w:trPr>
        <w:tc>
          <w:tcPr>
            <w:tcW w:w="254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right="1078"/>
              <w:jc w:val="right"/>
              <w:rPr>
                <w:rFonts w:ascii="宋体" w:hAnsi="宋体" w:cs="宋体" w:eastAsia="宋体" w:hint="default"/>
                <w:sz w:val="18"/>
                <w:szCs w:val="18"/>
              </w:rPr>
            </w:pPr>
            <w:r>
              <w:rPr>
                <w:rFonts w:ascii="宋体" w:hAnsi="宋体" w:cs="宋体" w:eastAsia="宋体" w:hint="default"/>
                <w:sz w:val="18"/>
                <w:szCs w:val="18"/>
              </w:rPr>
              <w:t>合计</w:t>
            </w:r>
          </w:p>
        </w:tc>
        <w:tc>
          <w:tcPr>
            <w:tcW w:w="20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657,729.74</w:t>
            </w:r>
          </w:p>
        </w:tc>
        <w:tc>
          <w:tcPr>
            <w:tcW w:w="207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2,483,762.87</w:t>
            </w:r>
          </w:p>
        </w:tc>
        <w:tc>
          <w:tcPr>
            <w:tcW w:w="206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3"/>
              <w:jc w:val="center"/>
              <w:rPr>
                <w:rFonts w:ascii="Arial" w:hAnsi="Arial" w:cs="Arial" w:eastAsia="Arial" w:hint="default"/>
                <w:sz w:val="18"/>
                <w:szCs w:val="18"/>
              </w:rPr>
            </w:pPr>
            <w:r>
              <w:rPr>
                <w:rFonts w:ascii="Arial" w:hAnsi="Arial" w:cs="Arial" w:eastAsia="Arial" w:hint="default"/>
                <w:sz w:val="18"/>
                <w:szCs w:val="18"/>
              </w:rPr>
              <w:t>—</w:t>
            </w:r>
          </w:p>
        </w:tc>
      </w:tr>
    </w:tbl>
    <w:p>
      <w:pPr>
        <w:pStyle w:val="Heading4"/>
        <w:tabs>
          <w:tab w:pos="1413" w:val="left" w:leader="none"/>
        </w:tabs>
        <w:spacing w:line="240" w:lineRule="auto"/>
        <w:ind w:right="1133"/>
        <w:jc w:val="left"/>
        <w:rPr>
          <w:b w:val="0"/>
          <w:bCs w:val="0"/>
        </w:rPr>
      </w:pPr>
      <w:r>
        <w:rPr>
          <w:rFonts w:ascii="Arial" w:hAnsi="Arial" w:cs="Arial" w:eastAsia="Arial" w:hint="default"/>
          <w:spacing w:val="-1"/>
        </w:rPr>
        <w:t>16</w:t>
      </w:r>
      <w:r>
        <w:rPr>
          <w:spacing w:val="-1"/>
        </w:rPr>
        <w:t>、</w:t>
        <w:tab/>
      </w:r>
      <w:r>
        <w:rPr/>
        <w:t>应付票据</w:t>
      </w:r>
      <w:r>
        <w:rPr>
          <w:b w:val="0"/>
          <w:bCs w:val="0"/>
        </w:rPr>
      </w:r>
    </w:p>
    <w:p>
      <w:pPr>
        <w:spacing w:line="240" w:lineRule="auto" w:before="9"/>
        <w:rPr>
          <w:rFonts w:ascii="宋体" w:hAnsi="宋体" w:cs="宋体" w:eastAsia="宋体" w:hint="default"/>
          <w:b/>
          <w:bCs/>
          <w:sz w:val="2"/>
          <w:szCs w:val="2"/>
        </w:rPr>
      </w:pPr>
    </w:p>
    <w:tbl>
      <w:tblPr>
        <w:tblW w:w="0" w:type="auto"/>
        <w:jc w:val="left"/>
        <w:tblInd w:w="580" w:type="dxa"/>
        <w:tblLayout w:type="fixed"/>
        <w:tblCellMar>
          <w:top w:w="0" w:type="dxa"/>
          <w:left w:w="0" w:type="dxa"/>
          <w:bottom w:w="0" w:type="dxa"/>
          <w:right w:w="0" w:type="dxa"/>
        </w:tblCellMar>
        <w:tblLook w:val="01E0"/>
      </w:tblPr>
      <w:tblGrid>
        <w:gridCol w:w="3063"/>
        <w:gridCol w:w="2840"/>
        <w:gridCol w:w="2837"/>
      </w:tblGrid>
      <w:tr>
        <w:trPr>
          <w:trHeight w:val="497" w:hRule="exact"/>
        </w:trPr>
        <w:tc>
          <w:tcPr>
            <w:tcW w:w="306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49"/>
              <w:ind w:left="20" w:right="0"/>
              <w:jc w:val="center"/>
              <w:rPr>
                <w:rFonts w:ascii="宋体" w:hAnsi="宋体" w:cs="宋体" w:eastAsia="宋体" w:hint="default"/>
                <w:sz w:val="18"/>
                <w:szCs w:val="18"/>
              </w:rPr>
            </w:pPr>
            <w:r>
              <w:rPr>
                <w:rFonts w:ascii="宋体" w:hAnsi="宋体" w:cs="宋体" w:eastAsia="宋体" w:hint="default"/>
                <w:sz w:val="18"/>
                <w:szCs w:val="18"/>
              </w:rPr>
              <w:t>票据种类</w:t>
            </w:r>
          </w:p>
        </w:tc>
        <w:tc>
          <w:tcPr>
            <w:tcW w:w="28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9"/>
              <w:ind w:left="2"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83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85" w:hRule="exact"/>
        </w:trPr>
        <w:tc>
          <w:tcPr>
            <w:tcW w:w="3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168,831,772.00</w:t>
            </w:r>
          </w:p>
        </w:tc>
        <w:tc>
          <w:tcPr>
            <w:tcW w:w="2837" w:type="dxa"/>
            <w:tcBorders>
              <w:top w:val="single" w:sz="2" w:space="0" w:color="000000"/>
              <w:left w:val="single" w:sz="2" w:space="0" w:color="000000"/>
              <w:bottom w:val="single" w:sz="2" w:space="0" w:color="000000"/>
              <w:right w:val="nil" w:sz="6" w:space="0" w:color="auto"/>
            </w:tcBorders>
          </w:tcPr>
          <w:p>
            <w:pPr/>
          </w:p>
        </w:tc>
      </w:tr>
      <w:tr>
        <w:trPr>
          <w:trHeight w:val="488" w:hRule="exact"/>
        </w:trPr>
        <w:tc>
          <w:tcPr>
            <w:tcW w:w="3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2"/>
              <w:ind w:left="12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92,842,314.00</w:t>
            </w:r>
          </w:p>
        </w:tc>
        <w:tc>
          <w:tcPr>
            <w:tcW w:w="283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9,665,542.00</w:t>
            </w:r>
          </w:p>
        </w:tc>
      </w:tr>
      <w:tr>
        <w:trPr>
          <w:trHeight w:val="497" w:hRule="exact"/>
        </w:trPr>
        <w:tc>
          <w:tcPr>
            <w:tcW w:w="306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20"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28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261,674,086.00</w:t>
            </w:r>
          </w:p>
        </w:tc>
        <w:tc>
          <w:tcPr>
            <w:tcW w:w="283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9,665,542.00</w:t>
            </w:r>
          </w:p>
        </w:tc>
      </w:tr>
    </w:tbl>
    <w:p>
      <w:pPr>
        <w:pStyle w:val="Heading4"/>
        <w:tabs>
          <w:tab w:pos="1413" w:val="left" w:leader="none"/>
        </w:tabs>
        <w:spacing w:line="240" w:lineRule="auto"/>
        <w:ind w:right="1133"/>
        <w:jc w:val="left"/>
        <w:rPr>
          <w:b w:val="0"/>
          <w:bCs w:val="0"/>
        </w:rPr>
      </w:pPr>
      <w:r>
        <w:rPr>
          <w:rFonts w:ascii="Arial" w:hAnsi="Arial" w:cs="Arial" w:eastAsia="Arial" w:hint="default"/>
          <w:spacing w:val="-1"/>
        </w:rPr>
        <w:t>17</w:t>
      </w:r>
      <w:r>
        <w:rPr>
          <w:spacing w:val="-1"/>
        </w:rPr>
        <w:t>、</w:t>
        <w:tab/>
      </w:r>
      <w:r>
        <w:rPr/>
        <w:t>应付账款</w:t>
      </w:r>
      <w:r>
        <w:rPr>
          <w:b w:val="0"/>
          <w:bCs w:val="0"/>
        </w:rPr>
      </w:r>
    </w:p>
    <w:p>
      <w:pPr>
        <w:pStyle w:val="BodyText"/>
        <w:spacing w:line="240" w:lineRule="auto" w:before="138"/>
        <w:ind w:left="592" w:right="1133"/>
        <w:jc w:val="left"/>
      </w:pPr>
      <w:r>
        <w:rPr/>
        <w:t>（</w:t>
      </w:r>
      <w:r>
        <w:rPr>
          <w:rFonts w:ascii="Arial" w:hAnsi="Arial" w:cs="Arial" w:eastAsia="Arial" w:hint="default"/>
        </w:rPr>
        <w:t>1</w:t>
      </w:r>
      <w:r>
        <w:rPr/>
        <w:t>）应付账款列示</w:t>
      </w:r>
    </w:p>
    <w:p>
      <w:pPr>
        <w:spacing w:line="240" w:lineRule="auto" w:before="8"/>
        <w:rPr>
          <w:rFonts w:ascii="宋体" w:hAnsi="宋体" w:cs="宋体" w:eastAsia="宋体" w:hint="default"/>
          <w:sz w:val="5"/>
          <w:szCs w:val="5"/>
        </w:rPr>
      </w:pPr>
    </w:p>
    <w:tbl>
      <w:tblPr>
        <w:tblW w:w="0" w:type="auto"/>
        <w:jc w:val="left"/>
        <w:tblInd w:w="580" w:type="dxa"/>
        <w:tblLayout w:type="fixed"/>
        <w:tblCellMar>
          <w:top w:w="0" w:type="dxa"/>
          <w:left w:w="0" w:type="dxa"/>
          <w:bottom w:w="0" w:type="dxa"/>
          <w:right w:w="0" w:type="dxa"/>
        </w:tblCellMar>
        <w:tblLook w:val="01E0"/>
      </w:tblPr>
      <w:tblGrid>
        <w:gridCol w:w="3063"/>
        <w:gridCol w:w="2840"/>
        <w:gridCol w:w="2837"/>
      </w:tblGrid>
      <w:tr>
        <w:trPr>
          <w:trHeight w:val="497" w:hRule="exact"/>
        </w:trPr>
        <w:tc>
          <w:tcPr>
            <w:tcW w:w="306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49"/>
              <w:ind w:right="1337"/>
              <w:jc w:val="right"/>
              <w:rPr>
                <w:rFonts w:ascii="宋体" w:hAnsi="宋体" w:cs="宋体" w:eastAsia="宋体" w:hint="default"/>
                <w:sz w:val="18"/>
                <w:szCs w:val="18"/>
              </w:rPr>
            </w:pPr>
            <w:r>
              <w:rPr>
                <w:rFonts w:ascii="宋体" w:hAnsi="宋体" w:cs="宋体" w:eastAsia="宋体" w:hint="default"/>
                <w:sz w:val="18"/>
                <w:szCs w:val="18"/>
              </w:rPr>
              <w:t>项目</w:t>
            </w:r>
          </w:p>
        </w:tc>
        <w:tc>
          <w:tcPr>
            <w:tcW w:w="28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9"/>
              <w:ind w:left="2"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83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85" w:hRule="exact"/>
        </w:trPr>
        <w:tc>
          <w:tcPr>
            <w:tcW w:w="3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应付材料款</w:t>
            </w:r>
          </w:p>
        </w:tc>
        <w:tc>
          <w:tcPr>
            <w:tcW w:w="2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154,324,660.21</w:t>
            </w:r>
          </w:p>
        </w:tc>
        <w:tc>
          <w:tcPr>
            <w:tcW w:w="283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136,087,873.28</w:t>
            </w:r>
          </w:p>
        </w:tc>
      </w:tr>
      <w:tr>
        <w:trPr>
          <w:trHeight w:val="485" w:hRule="exact"/>
        </w:trPr>
        <w:tc>
          <w:tcPr>
            <w:tcW w:w="3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应付工程款</w:t>
            </w:r>
          </w:p>
        </w:tc>
        <w:tc>
          <w:tcPr>
            <w:tcW w:w="2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2"/>
                <w:sz w:val="18"/>
              </w:rPr>
              <w:t>119,416,440.75</w:t>
            </w:r>
          </w:p>
        </w:tc>
        <w:tc>
          <w:tcPr>
            <w:tcW w:w="283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97,606,816.60</w:t>
            </w:r>
          </w:p>
        </w:tc>
      </w:tr>
      <w:tr>
        <w:trPr>
          <w:trHeight w:val="488" w:hRule="exact"/>
        </w:trPr>
        <w:tc>
          <w:tcPr>
            <w:tcW w:w="3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2"/>
              <w:ind w:left="124" w:right="0"/>
              <w:jc w:val="left"/>
              <w:rPr>
                <w:rFonts w:ascii="宋体" w:hAnsi="宋体" w:cs="宋体" w:eastAsia="宋体" w:hint="default"/>
                <w:sz w:val="18"/>
                <w:szCs w:val="18"/>
              </w:rPr>
            </w:pPr>
            <w:r>
              <w:rPr>
                <w:rFonts w:ascii="宋体" w:hAnsi="宋体" w:cs="宋体" w:eastAsia="宋体" w:hint="default"/>
                <w:sz w:val="18"/>
                <w:szCs w:val="18"/>
              </w:rPr>
              <w:t>应付其他款</w:t>
            </w:r>
          </w:p>
        </w:tc>
        <w:tc>
          <w:tcPr>
            <w:tcW w:w="2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6,879,269.01</w:t>
            </w:r>
          </w:p>
        </w:tc>
        <w:tc>
          <w:tcPr>
            <w:tcW w:w="283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4"/>
              <w:jc w:val="right"/>
              <w:rPr>
                <w:rFonts w:ascii="Arial" w:hAnsi="Arial" w:cs="Arial" w:eastAsia="Arial" w:hint="default"/>
                <w:sz w:val="18"/>
                <w:szCs w:val="18"/>
              </w:rPr>
            </w:pPr>
            <w:r>
              <w:rPr>
                <w:rFonts w:ascii="Arial"/>
                <w:spacing w:val="-1"/>
                <w:sz w:val="18"/>
              </w:rPr>
              <w:t>2,329,768.90</w:t>
            </w:r>
          </w:p>
        </w:tc>
      </w:tr>
      <w:tr>
        <w:trPr>
          <w:trHeight w:val="540" w:hRule="exact"/>
        </w:trPr>
        <w:tc>
          <w:tcPr>
            <w:tcW w:w="306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337"/>
              <w:jc w:val="right"/>
              <w:rPr>
                <w:rFonts w:ascii="宋体" w:hAnsi="宋体" w:cs="宋体" w:eastAsia="宋体" w:hint="default"/>
                <w:sz w:val="18"/>
                <w:szCs w:val="18"/>
              </w:rPr>
            </w:pPr>
            <w:r>
              <w:rPr>
                <w:rFonts w:ascii="宋体" w:hAnsi="宋体" w:cs="宋体" w:eastAsia="宋体" w:hint="default"/>
                <w:sz w:val="18"/>
                <w:szCs w:val="18"/>
              </w:rPr>
              <w:t>合计</w:t>
            </w:r>
          </w:p>
        </w:tc>
        <w:tc>
          <w:tcPr>
            <w:tcW w:w="28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280,620,369.97</w:t>
            </w:r>
          </w:p>
        </w:tc>
        <w:tc>
          <w:tcPr>
            <w:tcW w:w="283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2"/>
              <w:jc w:val="right"/>
              <w:rPr>
                <w:rFonts w:ascii="Arial" w:hAnsi="Arial" w:cs="Arial" w:eastAsia="Arial" w:hint="default"/>
                <w:sz w:val="18"/>
                <w:szCs w:val="18"/>
              </w:rPr>
            </w:pPr>
            <w:r>
              <w:rPr>
                <w:rFonts w:ascii="Arial"/>
                <w:spacing w:val="-1"/>
                <w:sz w:val="18"/>
              </w:rPr>
              <w:t>236,024,458.78</w:t>
            </w:r>
          </w:p>
        </w:tc>
      </w:tr>
    </w:tbl>
    <w:p>
      <w:pPr>
        <w:spacing w:line="240" w:lineRule="auto" w:before="5"/>
        <w:rPr>
          <w:rFonts w:ascii="宋体" w:hAnsi="宋体" w:cs="宋体" w:eastAsia="宋体" w:hint="default"/>
          <w:sz w:val="5"/>
          <w:szCs w:val="5"/>
        </w:rPr>
      </w:pPr>
    </w:p>
    <w:p>
      <w:pPr>
        <w:pStyle w:val="BodyText"/>
        <w:spacing w:line="240" w:lineRule="auto" w:before="32"/>
        <w:ind w:left="592" w:right="1133"/>
        <w:jc w:val="left"/>
      </w:pPr>
      <w:r>
        <w:rPr/>
        <w:t>（</w:t>
      </w:r>
      <w:r>
        <w:rPr>
          <w:rFonts w:ascii="Arial" w:hAnsi="Arial" w:cs="Arial" w:eastAsia="Arial" w:hint="default"/>
        </w:rPr>
        <w:t>2</w:t>
      </w:r>
      <w:r>
        <w:rPr/>
        <w:t>）账龄超过</w:t>
      </w:r>
      <w:r>
        <w:rPr>
          <w:spacing w:val="-56"/>
        </w:rPr>
        <w:t> </w:t>
      </w:r>
      <w:r>
        <w:rPr>
          <w:rFonts w:ascii="Arial" w:hAnsi="Arial" w:cs="Arial" w:eastAsia="Arial" w:hint="default"/>
        </w:rPr>
        <w:t>1</w:t>
      </w:r>
      <w:r>
        <w:rPr>
          <w:rFonts w:ascii="Arial" w:hAnsi="Arial" w:cs="Arial" w:eastAsia="Arial" w:hint="default"/>
          <w:spacing w:val="-8"/>
        </w:rPr>
        <w:t> </w:t>
      </w:r>
      <w:r>
        <w:rPr/>
        <w:t>年的重要应付账款</w:t>
      </w:r>
    </w:p>
    <w:p>
      <w:pPr>
        <w:spacing w:line="240" w:lineRule="auto" w:before="8"/>
        <w:rPr>
          <w:rFonts w:ascii="宋体" w:hAnsi="宋体" w:cs="宋体" w:eastAsia="宋体" w:hint="default"/>
          <w:sz w:val="5"/>
          <w:szCs w:val="5"/>
        </w:rPr>
      </w:pPr>
    </w:p>
    <w:tbl>
      <w:tblPr>
        <w:tblW w:w="0" w:type="auto"/>
        <w:jc w:val="left"/>
        <w:tblInd w:w="580" w:type="dxa"/>
        <w:tblLayout w:type="fixed"/>
        <w:tblCellMar>
          <w:top w:w="0" w:type="dxa"/>
          <w:left w:w="0" w:type="dxa"/>
          <w:bottom w:w="0" w:type="dxa"/>
          <w:right w:w="0" w:type="dxa"/>
        </w:tblCellMar>
        <w:tblLook w:val="01E0"/>
      </w:tblPr>
      <w:tblGrid>
        <w:gridCol w:w="3075"/>
        <w:gridCol w:w="2832"/>
        <w:gridCol w:w="2832"/>
      </w:tblGrid>
      <w:tr>
        <w:trPr>
          <w:trHeight w:val="499" w:hRule="exact"/>
        </w:trPr>
        <w:tc>
          <w:tcPr>
            <w:tcW w:w="307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2"/>
              <w:ind w:left="1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83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left="4"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83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85" w:hRule="exact"/>
        </w:trPr>
        <w:tc>
          <w:tcPr>
            <w:tcW w:w="30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28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16,542,850.00</w:t>
            </w:r>
          </w:p>
        </w:tc>
        <w:tc>
          <w:tcPr>
            <w:tcW w:w="28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项目未到结算期</w:t>
            </w:r>
          </w:p>
        </w:tc>
      </w:tr>
      <w:tr>
        <w:trPr>
          <w:trHeight w:val="485" w:hRule="exact"/>
        </w:trPr>
        <w:tc>
          <w:tcPr>
            <w:tcW w:w="30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28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9,592,932.00</w:t>
            </w:r>
          </w:p>
        </w:tc>
        <w:tc>
          <w:tcPr>
            <w:tcW w:w="28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项目未到结算期</w:t>
            </w:r>
          </w:p>
        </w:tc>
      </w:tr>
      <w:tr>
        <w:trPr>
          <w:trHeight w:val="499" w:hRule="exact"/>
        </w:trPr>
        <w:tc>
          <w:tcPr>
            <w:tcW w:w="307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26,135,782.00</w:t>
            </w:r>
          </w:p>
        </w:tc>
        <w:tc>
          <w:tcPr>
            <w:tcW w:w="283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18"/>
                <w:szCs w:val="18"/>
              </w:rPr>
            </w:pPr>
            <w:r>
              <w:rPr>
                <w:rFonts w:ascii="Arial" w:hAnsi="Arial" w:cs="Arial" w:eastAsia="Arial" w:hint="default"/>
                <w:sz w:val="18"/>
                <w:szCs w:val="18"/>
              </w:rPr>
              <w:t>—</w:t>
            </w:r>
          </w:p>
        </w:tc>
      </w:tr>
    </w:tbl>
    <w:p>
      <w:pPr>
        <w:pStyle w:val="Heading4"/>
        <w:tabs>
          <w:tab w:pos="1413" w:val="left" w:leader="none"/>
        </w:tabs>
        <w:spacing w:line="240" w:lineRule="auto" w:before="63"/>
        <w:ind w:right="1133"/>
        <w:jc w:val="left"/>
        <w:rPr>
          <w:b w:val="0"/>
          <w:bCs w:val="0"/>
        </w:rPr>
      </w:pPr>
      <w:r>
        <w:rPr>
          <w:rFonts w:ascii="Arial" w:hAnsi="Arial" w:cs="Arial" w:eastAsia="Arial" w:hint="default"/>
          <w:spacing w:val="-1"/>
        </w:rPr>
        <w:t>18</w:t>
      </w:r>
      <w:r>
        <w:rPr>
          <w:spacing w:val="-1"/>
        </w:rPr>
        <w:t>、</w:t>
        <w:tab/>
      </w:r>
      <w:r>
        <w:rPr/>
        <w:t>预收款项</w:t>
      </w:r>
      <w:r>
        <w:rPr>
          <w:b w:val="0"/>
          <w:bCs w:val="0"/>
        </w:rPr>
      </w:r>
    </w:p>
    <w:p>
      <w:pPr>
        <w:pStyle w:val="BodyText"/>
        <w:spacing w:line="240" w:lineRule="auto" w:before="135"/>
        <w:ind w:left="592" w:right="1133"/>
        <w:jc w:val="left"/>
      </w:pPr>
      <w:r>
        <w:rPr/>
        <w:t>（</w:t>
      </w:r>
      <w:r>
        <w:rPr>
          <w:rFonts w:ascii="Arial" w:hAnsi="Arial" w:cs="Arial" w:eastAsia="Arial" w:hint="default"/>
        </w:rPr>
        <w:t>1</w:t>
      </w:r>
      <w:r>
        <w:rPr/>
        <w:t>）预收款项列示</w:t>
      </w:r>
    </w:p>
    <w:p>
      <w:pPr>
        <w:spacing w:line="240" w:lineRule="auto" w:before="8"/>
        <w:rPr>
          <w:rFonts w:ascii="宋体" w:hAnsi="宋体" w:cs="宋体" w:eastAsia="宋体" w:hint="default"/>
          <w:sz w:val="5"/>
          <w:szCs w:val="5"/>
        </w:rPr>
      </w:pPr>
    </w:p>
    <w:tbl>
      <w:tblPr>
        <w:tblW w:w="0" w:type="auto"/>
        <w:jc w:val="left"/>
        <w:tblInd w:w="580" w:type="dxa"/>
        <w:tblLayout w:type="fixed"/>
        <w:tblCellMar>
          <w:top w:w="0" w:type="dxa"/>
          <w:left w:w="0" w:type="dxa"/>
          <w:bottom w:w="0" w:type="dxa"/>
          <w:right w:w="0" w:type="dxa"/>
        </w:tblCellMar>
        <w:tblLook w:val="01E0"/>
      </w:tblPr>
      <w:tblGrid>
        <w:gridCol w:w="3063"/>
        <w:gridCol w:w="2840"/>
        <w:gridCol w:w="2837"/>
      </w:tblGrid>
      <w:tr>
        <w:trPr>
          <w:trHeight w:val="499" w:hRule="exact"/>
        </w:trPr>
        <w:tc>
          <w:tcPr>
            <w:tcW w:w="306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2"/>
              <w:ind w:right="1337"/>
              <w:jc w:val="right"/>
              <w:rPr>
                <w:rFonts w:ascii="宋体" w:hAnsi="宋体" w:cs="宋体" w:eastAsia="宋体" w:hint="default"/>
                <w:sz w:val="18"/>
                <w:szCs w:val="18"/>
              </w:rPr>
            </w:pPr>
            <w:r>
              <w:rPr>
                <w:rFonts w:ascii="宋体" w:hAnsi="宋体" w:cs="宋体" w:eastAsia="宋体" w:hint="default"/>
                <w:sz w:val="18"/>
                <w:szCs w:val="18"/>
              </w:rPr>
              <w:t>项目</w:t>
            </w:r>
          </w:p>
        </w:tc>
        <w:tc>
          <w:tcPr>
            <w:tcW w:w="28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left="2"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83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85" w:hRule="exact"/>
        </w:trPr>
        <w:tc>
          <w:tcPr>
            <w:tcW w:w="3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预收工程项目款</w:t>
            </w:r>
          </w:p>
        </w:tc>
        <w:tc>
          <w:tcPr>
            <w:tcW w:w="2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4"/>
              <w:jc w:val="right"/>
              <w:rPr>
                <w:rFonts w:ascii="Arial" w:hAnsi="Arial" w:cs="Arial" w:eastAsia="Arial" w:hint="default"/>
                <w:sz w:val="18"/>
                <w:szCs w:val="18"/>
              </w:rPr>
            </w:pPr>
            <w:r>
              <w:rPr>
                <w:rFonts w:ascii="Arial"/>
                <w:spacing w:val="-1"/>
                <w:sz w:val="18"/>
              </w:rPr>
              <w:t>1,633,524,802.65</w:t>
            </w:r>
          </w:p>
        </w:tc>
        <w:tc>
          <w:tcPr>
            <w:tcW w:w="283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4"/>
              <w:jc w:val="right"/>
              <w:rPr>
                <w:rFonts w:ascii="Arial" w:hAnsi="Arial" w:cs="Arial" w:eastAsia="Arial" w:hint="default"/>
                <w:sz w:val="18"/>
                <w:szCs w:val="18"/>
              </w:rPr>
            </w:pPr>
            <w:r>
              <w:rPr>
                <w:rFonts w:ascii="Arial"/>
                <w:spacing w:val="-1"/>
                <w:sz w:val="18"/>
              </w:rPr>
              <w:t>950,219,001.75</w:t>
            </w:r>
          </w:p>
        </w:tc>
      </w:tr>
      <w:tr>
        <w:trPr>
          <w:trHeight w:val="485" w:hRule="exact"/>
        </w:trPr>
        <w:tc>
          <w:tcPr>
            <w:tcW w:w="3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预收其他项目款</w:t>
            </w:r>
          </w:p>
        </w:tc>
        <w:tc>
          <w:tcPr>
            <w:tcW w:w="2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26,764,987.61</w:t>
            </w:r>
          </w:p>
        </w:tc>
        <w:tc>
          <w:tcPr>
            <w:tcW w:w="283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19,103,205.84</w:t>
            </w:r>
          </w:p>
        </w:tc>
      </w:tr>
      <w:tr>
        <w:trPr>
          <w:trHeight w:val="499" w:hRule="exact"/>
        </w:trPr>
        <w:tc>
          <w:tcPr>
            <w:tcW w:w="306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right="1337"/>
              <w:jc w:val="right"/>
              <w:rPr>
                <w:rFonts w:ascii="宋体" w:hAnsi="宋体" w:cs="宋体" w:eastAsia="宋体" w:hint="default"/>
                <w:sz w:val="18"/>
                <w:szCs w:val="18"/>
              </w:rPr>
            </w:pPr>
            <w:r>
              <w:rPr>
                <w:rFonts w:ascii="宋体" w:hAnsi="宋体" w:cs="宋体" w:eastAsia="宋体" w:hint="default"/>
                <w:sz w:val="18"/>
                <w:szCs w:val="18"/>
              </w:rPr>
              <w:t>合计</w:t>
            </w:r>
          </w:p>
        </w:tc>
        <w:tc>
          <w:tcPr>
            <w:tcW w:w="28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4"/>
              <w:jc w:val="right"/>
              <w:rPr>
                <w:rFonts w:ascii="Arial" w:hAnsi="Arial" w:cs="Arial" w:eastAsia="Arial" w:hint="default"/>
                <w:sz w:val="18"/>
                <w:szCs w:val="18"/>
              </w:rPr>
            </w:pPr>
            <w:r>
              <w:rPr>
                <w:rFonts w:ascii="Arial"/>
                <w:spacing w:val="-1"/>
                <w:sz w:val="18"/>
              </w:rPr>
              <w:t>1,660,289,790.26</w:t>
            </w:r>
          </w:p>
        </w:tc>
        <w:tc>
          <w:tcPr>
            <w:tcW w:w="283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969,322,207.59</w:t>
            </w:r>
          </w:p>
        </w:tc>
      </w:tr>
    </w:tbl>
    <w:p>
      <w:pPr>
        <w:spacing w:line="240" w:lineRule="auto" w:before="5"/>
        <w:rPr>
          <w:rFonts w:ascii="宋体" w:hAnsi="宋体" w:cs="宋体" w:eastAsia="宋体" w:hint="default"/>
          <w:sz w:val="5"/>
          <w:szCs w:val="5"/>
        </w:rPr>
      </w:pPr>
    </w:p>
    <w:p>
      <w:pPr>
        <w:pStyle w:val="BodyText"/>
        <w:spacing w:line="240" w:lineRule="auto" w:before="32"/>
        <w:ind w:left="592" w:right="1133"/>
        <w:jc w:val="left"/>
      </w:pPr>
      <w:r>
        <w:rPr/>
        <w:t>（</w:t>
      </w:r>
      <w:r>
        <w:rPr>
          <w:rFonts w:ascii="Arial" w:hAnsi="Arial" w:cs="Arial" w:eastAsia="Arial" w:hint="default"/>
        </w:rPr>
        <w:t>2</w:t>
      </w:r>
      <w:r>
        <w:rPr/>
        <w:t>）账龄超过</w:t>
      </w:r>
      <w:r>
        <w:rPr>
          <w:spacing w:val="-56"/>
        </w:rPr>
        <w:t> </w:t>
      </w:r>
      <w:r>
        <w:rPr>
          <w:rFonts w:ascii="Arial" w:hAnsi="Arial" w:cs="Arial" w:eastAsia="Arial" w:hint="default"/>
        </w:rPr>
        <w:t>1</w:t>
      </w:r>
      <w:r>
        <w:rPr>
          <w:rFonts w:ascii="Arial" w:hAnsi="Arial" w:cs="Arial" w:eastAsia="Arial" w:hint="default"/>
          <w:spacing w:val="-8"/>
        </w:rPr>
        <w:t> </w:t>
      </w:r>
      <w:r>
        <w:rPr/>
        <w:t>年的重要预收款项</w:t>
      </w:r>
    </w:p>
    <w:p>
      <w:pPr>
        <w:spacing w:line="240" w:lineRule="auto" w:before="8"/>
        <w:rPr>
          <w:rFonts w:ascii="宋体" w:hAnsi="宋体" w:cs="宋体" w:eastAsia="宋体" w:hint="default"/>
          <w:sz w:val="5"/>
          <w:szCs w:val="5"/>
        </w:rPr>
      </w:pPr>
    </w:p>
    <w:tbl>
      <w:tblPr>
        <w:tblW w:w="0" w:type="auto"/>
        <w:jc w:val="left"/>
        <w:tblInd w:w="594" w:type="dxa"/>
        <w:tblLayout w:type="fixed"/>
        <w:tblCellMar>
          <w:top w:w="0" w:type="dxa"/>
          <w:left w:w="0" w:type="dxa"/>
          <w:bottom w:w="0" w:type="dxa"/>
          <w:right w:w="0" w:type="dxa"/>
        </w:tblCellMar>
        <w:tblLook w:val="01E0"/>
      </w:tblPr>
      <w:tblGrid>
        <w:gridCol w:w="3075"/>
        <w:gridCol w:w="2832"/>
        <w:gridCol w:w="2832"/>
      </w:tblGrid>
      <w:tr>
        <w:trPr>
          <w:trHeight w:val="511" w:hRule="exact"/>
        </w:trPr>
        <w:tc>
          <w:tcPr>
            <w:tcW w:w="3075" w:type="dxa"/>
            <w:tcBorders>
              <w:top w:val="single" w:sz="12" w:space="0" w:color="000000"/>
              <w:left w:val="nil" w:sz="6" w:space="0" w:color="auto"/>
              <w:bottom w:val="single" w:sz="12" w:space="0" w:color="000000"/>
              <w:right w:val="single" w:sz="2" w:space="0" w:color="000000"/>
            </w:tcBorders>
          </w:tcPr>
          <w:p>
            <w:pPr>
              <w:pStyle w:val="TableParagraph"/>
              <w:spacing w:line="240" w:lineRule="auto" w:before="149"/>
              <w:ind w:left="1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832"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149"/>
              <w:ind w:left="4"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832" w:type="dxa"/>
            <w:tcBorders>
              <w:top w:val="single" w:sz="12" w:space="0" w:color="000000"/>
              <w:left w:val="single" w:sz="2" w:space="0" w:color="000000"/>
              <w:bottom w:val="single" w:sz="12" w:space="0" w:color="000000"/>
              <w:right w:val="nil" w:sz="6" w:space="0" w:color="auto"/>
            </w:tcBorders>
          </w:tcPr>
          <w:p>
            <w:pPr>
              <w:pStyle w:val="TableParagraph"/>
              <w:spacing w:line="240" w:lineRule="auto" w:before="149"/>
              <w:ind w:left="604"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580" w:type="dxa"/>
        <w:tblLayout w:type="fixed"/>
        <w:tblCellMar>
          <w:top w:w="0" w:type="dxa"/>
          <w:left w:w="0" w:type="dxa"/>
          <w:bottom w:w="0" w:type="dxa"/>
          <w:right w:w="0" w:type="dxa"/>
        </w:tblCellMar>
        <w:tblLook w:val="01E0"/>
      </w:tblPr>
      <w:tblGrid>
        <w:gridCol w:w="3075"/>
        <w:gridCol w:w="2832"/>
        <w:gridCol w:w="2832"/>
      </w:tblGrid>
      <w:tr>
        <w:trPr>
          <w:trHeight w:val="500" w:hRule="exact"/>
        </w:trPr>
        <w:tc>
          <w:tcPr>
            <w:tcW w:w="307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2"/>
              <w:ind w:left="1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83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left="4"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83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85" w:hRule="exact"/>
        </w:trPr>
        <w:tc>
          <w:tcPr>
            <w:tcW w:w="30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28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136,985,760.50</w:t>
            </w:r>
          </w:p>
        </w:tc>
        <w:tc>
          <w:tcPr>
            <w:tcW w:w="28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left="2" w:right="0"/>
              <w:jc w:val="center"/>
              <w:rPr>
                <w:rFonts w:ascii="宋体" w:hAnsi="宋体" w:cs="宋体" w:eastAsia="宋体" w:hint="default"/>
                <w:sz w:val="18"/>
                <w:szCs w:val="18"/>
              </w:rPr>
            </w:pPr>
            <w:r>
              <w:rPr>
                <w:rFonts w:ascii="宋体" w:hAnsi="宋体" w:cs="宋体" w:eastAsia="宋体" w:hint="default"/>
                <w:sz w:val="18"/>
                <w:szCs w:val="18"/>
              </w:rPr>
              <w:t>尚未达到收入确认条件</w:t>
            </w:r>
          </w:p>
        </w:tc>
      </w:tr>
      <w:tr>
        <w:trPr>
          <w:trHeight w:val="485" w:hRule="exact"/>
        </w:trPr>
        <w:tc>
          <w:tcPr>
            <w:tcW w:w="30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28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95,966,274.86</w:t>
            </w:r>
          </w:p>
        </w:tc>
        <w:tc>
          <w:tcPr>
            <w:tcW w:w="28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left="2" w:right="0"/>
              <w:jc w:val="center"/>
              <w:rPr>
                <w:rFonts w:ascii="宋体" w:hAnsi="宋体" w:cs="宋体" w:eastAsia="宋体" w:hint="default"/>
                <w:sz w:val="18"/>
                <w:szCs w:val="18"/>
              </w:rPr>
            </w:pPr>
            <w:r>
              <w:rPr>
                <w:rFonts w:ascii="宋体" w:hAnsi="宋体" w:cs="宋体" w:eastAsia="宋体" w:hint="default"/>
                <w:sz w:val="18"/>
                <w:szCs w:val="18"/>
              </w:rPr>
              <w:t>尚未达到收入确认条件</w:t>
            </w:r>
          </w:p>
        </w:tc>
      </w:tr>
      <w:tr>
        <w:trPr>
          <w:trHeight w:val="485" w:hRule="exact"/>
        </w:trPr>
        <w:tc>
          <w:tcPr>
            <w:tcW w:w="30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28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77,923,523.32</w:t>
            </w:r>
          </w:p>
        </w:tc>
        <w:tc>
          <w:tcPr>
            <w:tcW w:w="28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left="2" w:right="0"/>
              <w:jc w:val="center"/>
              <w:rPr>
                <w:rFonts w:ascii="宋体" w:hAnsi="宋体" w:cs="宋体" w:eastAsia="宋体" w:hint="default"/>
                <w:sz w:val="18"/>
                <w:szCs w:val="18"/>
              </w:rPr>
            </w:pPr>
            <w:r>
              <w:rPr>
                <w:rFonts w:ascii="宋体" w:hAnsi="宋体" w:cs="宋体" w:eastAsia="宋体" w:hint="default"/>
                <w:sz w:val="18"/>
                <w:szCs w:val="18"/>
              </w:rPr>
              <w:t>尚未达到收入确认条件</w:t>
            </w:r>
          </w:p>
        </w:tc>
      </w:tr>
      <w:tr>
        <w:trPr>
          <w:trHeight w:val="497" w:hRule="exact"/>
        </w:trPr>
        <w:tc>
          <w:tcPr>
            <w:tcW w:w="307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310,875,558.68</w:t>
            </w:r>
          </w:p>
        </w:tc>
        <w:tc>
          <w:tcPr>
            <w:tcW w:w="283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18"/>
                <w:szCs w:val="18"/>
              </w:rPr>
            </w:pPr>
            <w:r>
              <w:rPr>
                <w:rFonts w:ascii="Arial" w:hAnsi="Arial" w:cs="Arial" w:eastAsia="Arial" w:hint="default"/>
                <w:sz w:val="18"/>
                <w:szCs w:val="18"/>
              </w:rPr>
              <w:t>—</w:t>
            </w:r>
          </w:p>
        </w:tc>
      </w:tr>
    </w:tbl>
    <w:p>
      <w:pPr>
        <w:pStyle w:val="Heading4"/>
        <w:tabs>
          <w:tab w:pos="1413" w:val="left" w:leader="none"/>
        </w:tabs>
        <w:spacing w:line="240" w:lineRule="auto"/>
        <w:ind w:right="1133"/>
        <w:jc w:val="left"/>
        <w:rPr>
          <w:b w:val="0"/>
          <w:bCs w:val="0"/>
        </w:rPr>
      </w:pPr>
      <w:r>
        <w:rPr>
          <w:rFonts w:ascii="Arial" w:hAnsi="Arial" w:cs="Arial" w:eastAsia="Arial" w:hint="default"/>
          <w:spacing w:val="-1"/>
        </w:rPr>
        <w:t>19</w:t>
      </w:r>
      <w:r>
        <w:rPr>
          <w:spacing w:val="-1"/>
        </w:rPr>
        <w:t>、</w:t>
        <w:tab/>
      </w:r>
      <w:r>
        <w:rPr/>
        <w:t>应付职工薪酬</w:t>
      </w:r>
      <w:r>
        <w:rPr>
          <w:b w:val="0"/>
          <w:bCs w:val="0"/>
        </w:rPr>
      </w:r>
    </w:p>
    <w:p>
      <w:pPr>
        <w:pStyle w:val="BodyText"/>
        <w:spacing w:line="240" w:lineRule="auto" w:before="138"/>
        <w:ind w:left="592" w:right="1133"/>
        <w:jc w:val="left"/>
      </w:pPr>
      <w:r>
        <w:rPr/>
        <w:t>（</w:t>
      </w:r>
      <w:r>
        <w:rPr>
          <w:rFonts w:ascii="Arial" w:hAnsi="Arial" w:cs="Arial" w:eastAsia="Arial" w:hint="default"/>
        </w:rPr>
        <w:t>1</w:t>
      </w:r>
      <w:r>
        <w:rPr/>
        <w:t>）应付职工薪酬分类</w:t>
      </w:r>
    </w:p>
    <w:p>
      <w:pPr>
        <w:spacing w:line="240" w:lineRule="auto" w:before="9"/>
        <w:rPr>
          <w:rFonts w:ascii="宋体" w:hAnsi="宋体" w:cs="宋体" w:eastAsia="宋体" w:hint="default"/>
          <w:sz w:val="5"/>
          <w:szCs w:val="5"/>
        </w:rPr>
      </w:pPr>
    </w:p>
    <w:tbl>
      <w:tblPr>
        <w:tblW w:w="0" w:type="auto"/>
        <w:jc w:val="left"/>
        <w:tblInd w:w="580" w:type="dxa"/>
        <w:tblLayout w:type="fixed"/>
        <w:tblCellMar>
          <w:top w:w="0" w:type="dxa"/>
          <w:left w:w="0" w:type="dxa"/>
          <w:bottom w:w="0" w:type="dxa"/>
          <w:right w:w="0" w:type="dxa"/>
        </w:tblCellMar>
        <w:tblLook w:val="01E0"/>
      </w:tblPr>
      <w:tblGrid>
        <w:gridCol w:w="1824"/>
        <w:gridCol w:w="1729"/>
        <w:gridCol w:w="1731"/>
        <w:gridCol w:w="1728"/>
        <w:gridCol w:w="1728"/>
      </w:tblGrid>
      <w:tr>
        <w:trPr>
          <w:trHeight w:val="499" w:hRule="exact"/>
        </w:trPr>
        <w:tc>
          <w:tcPr>
            <w:tcW w:w="182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2"/>
              <w:ind w:right="719"/>
              <w:jc w:val="right"/>
              <w:rPr>
                <w:rFonts w:ascii="宋体" w:hAnsi="宋体" w:cs="宋体" w:eastAsia="宋体" w:hint="default"/>
                <w:sz w:val="18"/>
                <w:szCs w:val="18"/>
              </w:rPr>
            </w:pPr>
            <w:r>
              <w:rPr>
                <w:rFonts w:ascii="宋体" w:hAnsi="宋体" w:cs="宋体" w:eastAsia="宋体" w:hint="default"/>
                <w:sz w:val="18"/>
                <w:szCs w:val="18"/>
              </w:rPr>
              <w:t>项目</w:t>
            </w:r>
          </w:p>
        </w:tc>
        <w:tc>
          <w:tcPr>
            <w:tcW w:w="172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left="504"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73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left="504"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72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left="501"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72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left="502"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485" w:hRule="exact"/>
        </w:trPr>
        <w:tc>
          <w:tcPr>
            <w:tcW w:w="18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短期薪酬</w:t>
            </w:r>
          </w:p>
        </w:tc>
        <w:tc>
          <w:tcPr>
            <w:tcW w:w="17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34,592,163.53</w:t>
            </w:r>
          </w:p>
        </w:tc>
        <w:tc>
          <w:tcPr>
            <w:tcW w:w="17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268,093,826.27</w:t>
            </w:r>
          </w:p>
        </w:tc>
        <w:tc>
          <w:tcPr>
            <w:tcW w:w="17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4"/>
              <w:jc w:val="right"/>
              <w:rPr>
                <w:rFonts w:ascii="Arial" w:hAnsi="Arial" w:cs="Arial" w:eastAsia="Arial" w:hint="default"/>
                <w:sz w:val="18"/>
                <w:szCs w:val="18"/>
              </w:rPr>
            </w:pPr>
            <w:r>
              <w:rPr>
                <w:rFonts w:ascii="Arial"/>
                <w:spacing w:val="-1"/>
                <w:sz w:val="18"/>
              </w:rPr>
              <w:t>267,860,571.23</w:t>
            </w:r>
          </w:p>
        </w:tc>
        <w:tc>
          <w:tcPr>
            <w:tcW w:w="17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34,825,418.57</w:t>
            </w:r>
          </w:p>
        </w:tc>
      </w:tr>
      <w:tr>
        <w:trPr>
          <w:trHeight w:val="883" w:hRule="exact"/>
        </w:trPr>
        <w:tc>
          <w:tcPr>
            <w:tcW w:w="1824" w:type="dxa"/>
            <w:tcBorders>
              <w:top w:val="single" w:sz="2" w:space="0" w:color="000000"/>
              <w:left w:val="nil" w:sz="6" w:space="0" w:color="auto"/>
              <w:bottom w:val="single" w:sz="2" w:space="0" w:color="000000"/>
              <w:right w:val="single" w:sz="2" w:space="0" w:color="000000"/>
            </w:tcBorders>
          </w:tcPr>
          <w:p>
            <w:pPr>
              <w:pStyle w:val="TableParagraph"/>
              <w:spacing w:line="384" w:lineRule="auto" w:before="149"/>
              <w:ind w:left="124" w:right="86"/>
              <w:jc w:val="left"/>
              <w:rPr>
                <w:rFonts w:ascii="宋体" w:hAnsi="宋体" w:cs="宋体" w:eastAsia="宋体" w:hint="default"/>
                <w:sz w:val="18"/>
                <w:szCs w:val="18"/>
              </w:rPr>
            </w:pPr>
            <w:r>
              <w:rPr>
                <w:rFonts w:ascii="宋体" w:hAnsi="宋体" w:cs="宋体" w:eastAsia="宋体" w:hint="default"/>
                <w:spacing w:val="11"/>
                <w:sz w:val="18"/>
                <w:szCs w:val="18"/>
              </w:rPr>
              <w:t>离职后福利</w:t>
            </w:r>
            <w:r>
              <w:rPr>
                <w:rFonts w:ascii="Arial" w:hAnsi="Arial" w:cs="Arial" w:eastAsia="Arial" w:hint="default"/>
                <w:spacing w:val="11"/>
                <w:sz w:val="18"/>
                <w:szCs w:val="18"/>
              </w:rPr>
              <w:t>-</w:t>
            </w:r>
            <w:r>
              <w:rPr>
                <w:rFonts w:ascii="宋体" w:hAnsi="宋体" w:cs="宋体" w:eastAsia="宋体" w:hint="default"/>
                <w:spacing w:val="11"/>
                <w:sz w:val="18"/>
                <w:szCs w:val="18"/>
              </w:rPr>
              <w:t>设定提</w:t>
            </w:r>
            <w:r>
              <w:rPr>
                <w:rFonts w:ascii="宋体" w:hAnsi="宋体" w:cs="宋体" w:eastAsia="宋体" w:hint="default"/>
                <w:spacing w:val="-83"/>
                <w:sz w:val="18"/>
                <w:szCs w:val="18"/>
              </w:rPr>
              <w:t> </w:t>
            </w:r>
            <w:r>
              <w:rPr>
                <w:rFonts w:ascii="宋体" w:hAnsi="宋体" w:cs="宋体" w:eastAsia="宋体" w:hint="default"/>
                <w:sz w:val="18"/>
                <w:szCs w:val="18"/>
              </w:rPr>
              <w:t>存计划</w:t>
            </w:r>
          </w:p>
        </w:tc>
        <w:tc>
          <w:tcPr>
            <w:tcW w:w="17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00"/>
              <w:jc w:val="right"/>
              <w:rPr>
                <w:rFonts w:ascii="Arial" w:hAnsi="Arial" w:cs="Arial" w:eastAsia="Arial" w:hint="default"/>
                <w:sz w:val="18"/>
                <w:szCs w:val="18"/>
              </w:rPr>
            </w:pPr>
            <w:r>
              <w:rPr>
                <w:rFonts w:ascii="Arial"/>
                <w:spacing w:val="-2"/>
                <w:sz w:val="18"/>
              </w:rPr>
              <w:t>1,215,311.26</w:t>
            </w:r>
          </w:p>
        </w:tc>
        <w:tc>
          <w:tcPr>
            <w:tcW w:w="17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03"/>
              <w:jc w:val="right"/>
              <w:rPr>
                <w:rFonts w:ascii="Arial" w:hAnsi="Arial" w:cs="Arial" w:eastAsia="Arial" w:hint="default"/>
                <w:sz w:val="18"/>
                <w:szCs w:val="18"/>
              </w:rPr>
            </w:pPr>
            <w:r>
              <w:rPr>
                <w:rFonts w:ascii="Arial"/>
                <w:spacing w:val="-1"/>
                <w:sz w:val="18"/>
              </w:rPr>
              <w:t>36,381,633.07</w:t>
            </w:r>
          </w:p>
        </w:tc>
        <w:tc>
          <w:tcPr>
            <w:tcW w:w="17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03"/>
              <w:jc w:val="right"/>
              <w:rPr>
                <w:rFonts w:ascii="Arial" w:hAnsi="Arial" w:cs="Arial" w:eastAsia="Arial" w:hint="default"/>
                <w:sz w:val="18"/>
                <w:szCs w:val="18"/>
              </w:rPr>
            </w:pPr>
            <w:r>
              <w:rPr>
                <w:rFonts w:ascii="Arial"/>
                <w:spacing w:val="-1"/>
                <w:sz w:val="18"/>
              </w:rPr>
              <w:t>37,085,496.26</w:t>
            </w:r>
          </w:p>
        </w:tc>
        <w:tc>
          <w:tcPr>
            <w:tcW w:w="1728"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05"/>
              <w:jc w:val="right"/>
              <w:rPr>
                <w:rFonts w:ascii="Arial" w:hAnsi="Arial" w:cs="Arial" w:eastAsia="Arial" w:hint="default"/>
                <w:sz w:val="18"/>
                <w:szCs w:val="18"/>
              </w:rPr>
            </w:pPr>
            <w:r>
              <w:rPr>
                <w:rFonts w:ascii="Arial"/>
                <w:spacing w:val="-2"/>
                <w:sz w:val="18"/>
              </w:rPr>
              <w:t>511,448.07</w:t>
            </w:r>
          </w:p>
        </w:tc>
      </w:tr>
      <w:tr>
        <w:trPr>
          <w:trHeight w:val="485" w:hRule="exact"/>
        </w:trPr>
        <w:tc>
          <w:tcPr>
            <w:tcW w:w="18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辞退福利</w:t>
            </w:r>
          </w:p>
        </w:tc>
        <w:tc>
          <w:tcPr>
            <w:tcW w:w="1729" w:type="dxa"/>
            <w:tcBorders>
              <w:top w:val="single" w:sz="2" w:space="0" w:color="000000"/>
              <w:left w:val="single" w:sz="2" w:space="0" w:color="000000"/>
              <w:bottom w:val="single" w:sz="2" w:space="0" w:color="000000"/>
              <w:right w:val="single" w:sz="2" w:space="0" w:color="000000"/>
            </w:tcBorders>
          </w:tcPr>
          <w:p>
            <w:pPr/>
          </w:p>
        </w:tc>
        <w:tc>
          <w:tcPr>
            <w:tcW w:w="17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270,290.51</w:t>
            </w:r>
          </w:p>
        </w:tc>
        <w:tc>
          <w:tcPr>
            <w:tcW w:w="17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270,290.51</w:t>
            </w:r>
          </w:p>
        </w:tc>
        <w:tc>
          <w:tcPr>
            <w:tcW w:w="1728" w:type="dxa"/>
            <w:tcBorders>
              <w:top w:val="single" w:sz="2" w:space="0" w:color="000000"/>
              <w:left w:val="single" w:sz="2" w:space="0" w:color="000000"/>
              <w:bottom w:val="single" w:sz="2" w:space="0" w:color="000000"/>
              <w:right w:val="nil" w:sz="6" w:space="0" w:color="auto"/>
            </w:tcBorders>
          </w:tcPr>
          <w:p>
            <w:pPr/>
          </w:p>
        </w:tc>
      </w:tr>
      <w:tr>
        <w:trPr>
          <w:trHeight w:val="886" w:hRule="exact"/>
        </w:trPr>
        <w:tc>
          <w:tcPr>
            <w:tcW w:w="1824" w:type="dxa"/>
            <w:tcBorders>
              <w:top w:val="single" w:sz="2" w:space="0" w:color="000000"/>
              <w:left w:val="nil" w:sz="6" w:space="0" w:color="auto"/>
              <w:bottom w:val="single" w:sz="2" w:space="0" w:color="000000"/>
              <w:right w:val="single" w:sz="2" w:space="0" w:color="000000"/>
            </w:tcBorders>
          </w:tcPr>
          <w:p>
            <w:pPr>
              <w:pStyle w:val="TableParagraph"/>
              <w:spacing w:line="405" w:lineRule="auto" w:before="152"/>
              <w:ind w:left="124" w:right="81"/>
              <w:jc w:val="left"/>
              <w:rPr>
                <w:rFonts w:ascii="宋体" w:hAnsi="宋体" w:cs="宋体" w:eastAsia="宋体" w:hint="default"/>
                <w:sz w:val="18"/>
                <w:szCs w:val="18"/>
              </w:rPr>
            </w:pPr>
            <w:r>
              <w:rPr>
                <w:rFonts w:ascii="宋体" w:hAnsi="宋体" w:cs="宋体" w:eastAsia="宋体" w:hint="default"/>
                <w:spacing w:val="18"/>
                <w:sz w:val="18"/>
                <w:szCs w:val="18"/>
              </w:rPr>
              <w:t>一年内到期的其他</w:t>
            </w:r>
            <w:r>
              <w:rPr>
                <w:rFonts w:ascii="宋体" w:hAnsi="宋体" w:cs="宋体" w:eastAsia="宋体" w:hint="default"/>
                <w:spacing w:val="-88"/>
                <w:sz w:val="18"/>
                <w:szCs w:val="18"/>
              </w:rPr>
              <w:t> </w:t>
            </w:r>
            <w:r>
              <w:rPr>
                <w:rFonts w:ascii="宋体" w:hAnsi="宋体" w:cs="宋体" w:eastAsia="宋体" w:hint="default"/>
                <w:sz w:val="18"/>
                <w:szCs w:val="18"/>
              </w:rPr>
              <w:t>福利</w:t>
            </w:r>
          </w:p>
        </w:tc>
        <w:tc>
          <w:tcPr>
            <w:tcW w:w="1729" w:type="dxa"/>
            <w:tcBorders>
              <w:top w:val="single" w:sz="2" w:space="0" w:color="000000"/>
              <w:left w:val="single" w:sz="2" w:space="0" w:color="000000"/>
              <w:bottom w:val="single" w:sz="2" w:space="0" w:color="000000"/>
              <w:right w:val="single" w:sz="2" w:space="0" w:color="000000"/>
            </w:tcBorders>
          </w:tcPr>
          <w:p>
            <w:pPr/>
          </w:p>
        </w:tc>
        <w:tc>
          <w:tcPr>
            <w:tcW w:w="17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02"/>
              <w:jc w:val="right"/>
              <w:rPr>
                <w:rFonts w:ascii="Arial" w:hAnsi="Arial" w:cs="Arial" w:eastAsia="Arial" w:hint="default"/>
                <w:sz w:val="18"/>
                <w:szCs w:val="18"/>
              </w:rPr>
            </w:pPr>
            <w:r>
              <w:rPr>
                <w:rFonts w:ascii="Arial"/>
                <w:spacing w:val="-1"/>
                <w:sz w:val="18"/>
              </w:rPr>
              <w:t>96,033.91</w:t>
            </w:r>
          </w:p>
        </w:tc>
        <w:tc>
          <w:tcPr>
            <w:tcW w:w="1728" w:type="dxa"/>
            <w:tcBorders>
              <w:top w:val="single" w:sz="2" w:space="0" w:color="000000"/>
              <w:left w:val="single" w:sz="2" w:space="0" w:color="000000"/>
              <w:bottom w:val="single" w:sz="2" w:space="0" w:color="000000"/>
              <w:right w:val="single" w:sz="2" w:space="0" w:color="000000"/>
            </w:tcBorders>
          </w:tcPr>
          <w:p>
            <w:pPr/>
          </w:p>
        </w:tc>
        <w:tc>
          <w:tcPr>
            <w:tcW w:w="1728"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04"/>
              <w:jc w:val="right"/>
              <w:rPr>
                <w:rFonts w:ascii="Arial" w:hAnsi="Arial" w:cs="Arial" w:eastAsia="Arial" w:hint="default"/>
                <w:sz w:val="18"/>
                <w:szCs w:val="18"/>
              </w:rPr>
            </w:pPr>
            <w:r>
              <w:rPr>
                <w:rFonts w:ascii="Arial"/>
                <w:spacing w:val="-1"/>
                <w:sz w:val="18"/>
              </w:rPr>
              <w:t>96,033.91</w:t>
            </w:r>
          </w:p>
        </w:tc>
      </w:tr>
      <w:tr>
        <w:trPr>
          <w:trHeight w:val="500" w:hRule="exact"/>
        </w:trPr>
        <w:tc>
          <w:tcPr>
            <w:tcW w:w="182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50"/>
              <w:ind w:right="719"/>
              <w:jc w:val="right"/>
              <w:rPr>
                <w:rFonts w:ascii="宋体" w:hAnsi="宋体" w:cs="宋体" w:eastAsia="宋体" w:hint="default"/>
                <w:sz w:val="18"/>
                <w:szCs w:val="18"/>
              </w:rPr>
            </w:pPr>
            <w:r>
              <w:rPr>
                <w:rFonts w:ascii="宋体" w:hAnsi="宋体" w:cs="宋体" w:eastAsia="宋体" w:hint="default"/>
                <w:sz w:val="18"/>
                <w:szCs w:val="18"/>
              </w:rPr>
              <w:t>合计</w:t>
            </w:r>
          </w:p>
        </w:tc>
        <w:tc>
          <w:tcPr>
            <w:tcW w:w="172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35,807,474.79</w:t>
            </w:r>
          </w:p>
        </w:tc>
        <w:tc>
          <w:tcPr>
            <w:tcW w:w="173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304,841,783.76</w:t>
            </w:r>
          </w:p>
        </w:tc>
        <w:tc>
          <w:tcPr>
            <w:tcW w:w="17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4"/>
              <w:jc w:val="right"/>
              <w:rPr>
                <w:rFonts w:ascii="Arial" w:hAnsi="Arial" w:cs="Arial" w:eastAsia="Arial" w:hint="default"/>
                <w:sz w:val="18"/>
                <w:szCs w:val="18"/>
              </w:rPr>
            </w:pPr>
            <w:r>
              <w:rPr>
                <w:rFonts w:ascii="Arial"/>
                <w:spacing w:val="-1"/>
                <w:sz w:val="18"/>
              </w:rPr>
              <w:t>305,216,358.00</w:t>
            </w:r>
          </w:p>
        </w:tc>
        <w:tc>
          <w:tcPr>
            <w:tcW w:w="172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35,432,900.55</w:t>
            </w:r>
          </w:p>
        </w:tc>
      </w:tr>
    </w:tbl>
    <w:p>
      <w:pPr>
        <w:spacing w:line="240" w:lineRule="auto" w:before="5"/>
        <w:rPr>
          <w:rFonts w:ascii="宋体" w:hAnsi="宋体" w:cs="宋体" w:eastAsia="宋体" w:hint="default"/>
          <w:sz w:val="5"/>
          <w:szCs w:val="5"/>
        </w:rPr>
      </w:pPr>
    </w:p>
    <w:p>
      <w:pPr>
        <w:pStyle w:val="BodyText"/>
        <w:spacing w:line="240" w:lineRule="auto" w:before="32"/>
        <w:ind w:left="592" w:right="1133"/>
        <w:jc w:val="left"/>
      </w:pPr>
      <w:r>
        <w:rPr/>
        <w:t>（</w:t>
      </w:r>
      <w:r>
        <w:rPr>
          <w:rFonts w:ascii="Arial" w:hAnsi="Arial" w:cs="Arial" w:eastAsia="Arial" w:hint="default"/>
        </w:rPr>
        <w:t>2</w:t>
      </w:r>
      <w:r>
        <w:rPr/>
        <w:t>）短期薪酬</w:t>
      </w:r>
    </w:p>
    <w:p>
      <w:pPr>
        <w:spacing w:line="240" w:lineRule="auto" w:before="8"/>
        <w:rPr>
          <w:rFonts w:ascii="宋体" w:hAnsi="宋体" w:cs="宋体" w:eastAsia="宋体" w:hint="default"/>
          <w:sz w:val="5"/>
          <w:szCs w:val="5"/>
        </w:rPr>
      </w:pPr>
    </w:p>
    <w:tbl>
      <w:tblPr>
        <w:tblW w:w="0" w:type="auto"/>
        <w:jc w:val="left"/>
        <w:tblInd w:w="580" w:type="dxa"/>
        <w:tblLayout w:type="fixed"/>
        <w:tblCellMar>
          <w:top w:w="0" w:type="dxa"/>
          <w:left w:w="0" w:type="dxa"/>
          <w:bottom w:w="0" w:type="dxa"/>
          <w:right w:w="0" w:type="dxa"/>
        </w:tblCellMar>
        <w:tblLook w:val="01E0"/>
      </w:tblPr>
      <w:tblGrid>
        <w:gridCol w:w="1966"/>
        <w:gridCol w:w="1695"/>
        <w:gridCol w:w="1692"/>
        <w:gridCol w:w="1694"/>
        <w:gridCol w:w="1692"/>
      </w:tblGrid>
      <w:tr>
        <w:trPr>
          <w:trHeight w:val="497" w:hRule="exact"/>
        </w:trPr>
        <w:tc>
          <w:tcPr>
            <w:tcW w:w="196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49"/>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9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9"/>
              <w:ind w:left="485"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69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9"/>
              <w:ind w:left="482"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69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9"/>
              <w:ind w:left="484"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69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49"/>
              <w:ind w:left="483"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886" w:hRule="exact"/>
        </w:trPr>
        <w:tc>
          <w:tcPr>
            <w:tcW w:w="1966" w:type="dxa"/>
            <w:tcBorders>
              <w:top w:val="single" w:sz="2" w:space="0" w:color="000000"/>
              <w:left w:val="nil" w:sz="6" w:space="0" w:color="auto"/>
              <w:bottom w:val="single" w:sz="2" w:space="0" w:color="000000"/>
              <w:right w:val="single" w:sz="2" w:space="0" w:color="000000"/>
            </w:tcBorders>
          </w:tcPr>
          <w:p>
            <w:pPr>
              <w:pStyle w:val="TableParagraph"/>
              <w:spacing w:line="400" w:lineRule="exact" w:before="40"/>
              <w:ind w:left="124" w:right="103"/>
              <w:jc w:val="left"/>
              <w:rPr>
                <w:rFonts w:ascii="宋体" w:hAnsi="宋体" w:cs="宋体" w:eastAsia="宋体" w:hint="default"/>
                <w:sz w:val="18"/>
                <w:szCs w:val="18"/>
              </w:rPr>
            </w:pPr>
            <w:r>
              <w:rPr>
                <w:rFonts w:ascii="宋体" w:hAnsi="宋体" w:cs="宋体" w:eastAsia="宋体" w:hint="default"/>
                <w:spacing w:val="-7"/>
                <w:sz w:val="18"/>
                <w:szCs w:val="18"/>
              </w:rPr>
              <w:t>工资、奖金、津贴和补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贴</w:t>
            </w:r>
          </w:p>
        </w:tc>
        <w:tc>
          <w:tcPr>
            <w:tcW w:w="1695" w:type="dxa"/>
            <w:tcBorders>
              <w:top w:val="single" w:sz="2" w:space="0" w:color="000000"/>
              <w:left w:val="single" w:sz="2" w:space="0" w:color="000000"/>
              <w:bottom w:val="single" w:sz="2" w:space="0" w:color="000000"/>
              <w:right w:val="single" w:sz="2" w:space="0" w:color="000000"/>
            </w:tcBorders>
          </w:tcPr>
          <w:p>
            <w:pP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03"/>
              <w:jc w:val="right"/>
              <w:rPr>
                <w:rFonts w:ascii="Arial" w:hAnsi="Arial" w:cs="Arial" w:eastAsia="Arial" w:hint="default"/>
                <w:sz w:val="18"/>
                <w:szCs w:val="18"/>
              </w:rPr>
            </w:pPr>
            <w:r>
              <w:rPr>
                <w:rFonts w:ascii="Arial"/>
                <w:spacing w:val="-1"/>
                <w:sz w:val="18"/>
              </w:rPr>
              <w:t>194,152,534.41</w:t>
            </w:r>
          </w:p>
        </w:tc>
        <w:tc>
          <w:tcPr>
            <w:tcW w:w="1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04"/>
              <w:jc w:val="right"/>
              <w:rPr>
                <w:rFonts w:ascii="Arial" w:hAnsi="Arial" w:cs="Arial" w:eastAsia="Arial" w:hint="default"/>
                <w:sz w:val="18"/>
                <w:szCs w:val="18"/>
              </w:rPr>
            </w:pPr>
            <w:r>
              <w:rPr>
                <w:rFonts w:ascii="Arial"/>
                <w:spacing w:val="-1"/>
                <w:sz w:val="18"/>
              </w:rPr>
              <w:t>194,152,534.41</w:t>
            </w:r>
          </w:p>
        </w:tc>
        <w:tc>
          <w:tcPr>
            <w:tcW w:w="1692"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19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16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2,957,437.70</w:t>
            </w: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8,172,504.56</w:t>
            </w:r>
          </w:p>
        </w:tc>
        <w:tc>
          <w:tcPr>
            <w:tcW w:w="1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8,172,504.56</w:t>
            </w:r>
          </w:p>
        </w:tc>
        <w:tc>
          <w:tcPr>
            <w:tcW w:w="16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2,957,437.70</w:t>
            </w:r>
          </w:p>
        </w:tc>
      </w:tr>
      <w:tr>
        <w:trPr>
          <w:trHeight w:val="485" w:hRule="exact"/>
        </w:trPr>
        <w:tc>
          <w:tcPr>
            <w:tcW w:w="19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16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321,171.63</w:t>
            </w: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16,494,929.27</w:t>
            </w:r>
          </w:p>
        </w:tc>
        <w:tc>
          <w:tcPr>
            <w:tcW w:w="1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16,479,481.30</w:t>
            </w:r>
          </w:p>
        </w:tc>
        <w:tc>
          <w:tcPr>
            <w:tcW w:w="16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4"/>
              <w:jc w:val="right"/>
              <w:rPr>
                <w:rFonts w:ascii="Arial" w:hAnsi="Arial" w:cs="Arial" w:eastAsia="Arial" w:hint="default"/>
                <w:sz w:val="18"/>
                <w:szCs w:val="18"/>
              </w:rPr>
            </w:pPr>
            <w:r>
              <w:rPr>
                <w:rFonts w:ascii="Arial"/>
                <w:spacing w:val="-1"/>
                <w:sz w:val="18"/>
              </w:rPr>
              <w:t>336,619.60</w:t>
            </w:r>
          </w:p>
        </w:tc>
      </w:tr>
      <w:tr>
        <w:trPr>
          <w:trHeight w:val="485" w:hRule="exact"/>
        </w:trPr>
        <w:tc>
          <w:tcPr>
            <w:tcW w:w="19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6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291,974.20</w:t>
            </w: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14,257,886.04</w:t>
            </w:r>
          </w:p>
        </w:tc>
        <w:tc>
          <w:tcPr>
            <w:tcW w:w="1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14,244,286.24</w:t>
            </w:r>
          </w:p>
        </w:tc>
        <w:tc>
          <w:tcPr>
            <w:tcW w:w="16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4"/>
              <w:jc w:val="right"/>
              <w:rPr>
                <w:rFonts w:ascii="Arial" w:hAnsi="Arial" w:cs="Arial" w:eastAsia="Arial" w:hint="default"/>
                <w:sz w:val="18"/>
                <w:szCs w:val="18"/>
              </w:rPr>
            </w:pPr>
            <w:r>
              <w:rPr>
                <w:rFonts w:ascii="Arial"/>
                <w:spacing w:val="-1"/>
                <w:sz w:val="18"/>
              </w:rPr>
              <w:t>305,574.00</w:t>
            </w:r>
          </w:p>
        </w:tc>
      </w:tr>
      <w:tr>
        <w:trPr>
          <w:trHeight w:val="485" w:hRule="exact"/>
        </w:trPr>
        <w:tc>
          <w:tcPr>
            <w:tcW w:w="19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664"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6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5,839.46</w:t>
            </w: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279,373.20</w:t>
            </w:r>
          </w:p>
        </w:tc>
        <w:tc>
          <w:tcPr>
            <w:tcW w:w="1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278,613.10</w:t>
            </w:r>
          </w:p>
        </w:tc>
        <w:tc>
          <w:tcPr>
            <w:tcW w:w="16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6,599.56</w:t>
            </w:r>
          </w:p>
        </w:tc>
      </w:tr>
      <w:tr>
        <w:trPr>
          <w:trHeight w:val="886" w:hRule="exact"/>
        </w:trPr>
        <w:tc>
          <w:tcPr>
            <w:tcW w:w="19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118" w:right="0"/>
              <w:jc w:val="left"/>
              <w:rPr>
                <w:rFonts w:ascii="宋体" w:hAnsi="宋体" w:cs="宋体" w:eastAsia="宋体" w:hint="default"/>
                <w:sz w:val="18"/>
                <w:szCs w:val="18"/>
              </w:rPr>
            </w:pPr>
            <w:r>
              <w:rPr>
                <w:rFonts w:ascii="宋体" w:hAnsi="宋体" w:cs="宋体" w:eastAsia="宋体" w:hint="default"/>
                <w:spacing w:val="7"/>
                <w:sz w:val="18"/>
                <w:szCs w:val="18"/>
              </w:rPr>
              <w:t>生育保险</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6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02"/>
              <w:jc w:val="right"/>
              <w:rPr>
                <w:rFonts w:ascii="Arial" w:hAnsi="Arial" w:cs="Arial" w:eastAsia="Arial" w:hint="default"/>
                <w:sz w:val="18"/>
                <w:szCs w:val="18"/>
              </w:rPr>
            </w:pPr>
            <w:r>
              <w:rPr>
                <w:rFonts w:ascii="Arial"/>
                <w:spacing w:val="-1"/>
                <w:sz w:val="18"/>
              </w:rPr>
              <w:t>23,357.97</w:t>
            </w: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03"/>
              <w:jc w:val="right"/>
              <w:rPr>
                <w:rFonts w:ascii="Arial" w:hAnsi="Arial" w:cs="Arial" w:eastAsia="Arial" w:hint="default"/>
                <w:sz w:val="18"/>
                <w:szCs w:val="18"/>
              </w:rPr>
            </w:pPr>
            <w:r>
              <w:rPr>
                <w:rFonts w:ascii="Arial"/>
                <w:spacing w:val="-1"/>
                <w:sz w:val="18"/>
              </w:rPr>
              <w:t>1,192,459.27</w:t>
            </w:r>
          </w:p>
        </w:tc>
        <w:tc>
          <w:tcPr>
            <w:tcW w:w="1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03"/>
              <w:jc w:val="right"/>
              <w:rPr>
                <w:rFonts w:ascii="Arial" w:hAnsi="Arial" w:cs="Arial" w:eastAsia="Arial" w:hint="default"/>
                <w:sz w:val="18"/>
                <w:szCs w:val="18"/>
              </w:rPr>
            </w:pPr>
            <w:r>
              <w:rPr>
                <w:rFonts w:ascii="Arial"/>
                <w:spacing w:val="-1"/>
                <w:sz w:val="18"/>
              </w:rPr>
              <w:t>1,191,371.20</w:t>
            </w:r>
          </w:p>
        </w:tc>
        <w:tc>
          <w:tcPr>
            <w:tcW w:w="169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05"/>
              <w:jc w:val="right"/>
              <w:rPr>
                <w:rFonts w:ascii="Arial" w:hAnsi="Arial" w:cs="Arial" w:eastAsia="Arial" w:hint="default"/>
                <w:sz w:val="18"/>
                <w:szCs w:val="18"/>
              </w:rPr>
            </w:pPr>
            <w:r>
              <w:rPr>
                <w:rFonts w:ascii="Arial"/>
                <w:spacing w:val="-1"/>
                <w:sz w:val="18"/>
              </w:rPr>
              <w:t>24,446.04</w:t>
            </w:r>
          </w:p>
        </w:tc>
      </w:tr>
      <w:tr>
        <w:trPr>
          <w:trHeight w:val="485" w:hRule="exact"/>
        </w:trPr>
        <w:tc>
          <w:tcPr>
            <w:tcW w:w="19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right="271"/>
              <w:jc w:val="center"/>
              <w:rPr>
                <w:rFonts w:ascii="宋体" w:hAnsi="宋体" w:cs="宋体" w:eastAsia="宋体" w:hint="default"/>
                <w:sz w:val="18"/>
                <w:szCs w:val="18"/>
              </w:rPr>
            </w:pPr>
            <w:r>
              <w:rPr>
                <w:rFonts w:ascii="宋体" w:hAnsi="宋体" w:cs="宋体" w:eastAsia="宋体" w:hint="default"/>
                <w:sz w:val="18"/>
                <w:szCs w:val="18"/>
              </w:rPr>
              <w:t>其他</w:t>
            </w:r>
          </w:p>
        </w:tc>
        <w:tc>
          <w:tcPr>
            <w:tcW w:w="1695" w:type="dxa"/>
            <w:tcBorders>
              <w:top w:val="single" w:sz="2" w:space="0" w:color="000000"/>
              <w:left w:val="single" w:sz="2" w:space="0" w:color="000000"/>
              <w:bottom w:val="single" w:sz="2" w:space="0" w:color="000000"/>
              <w:right w:val="single" w:sz="2" w:space="0" w:color="000000"/>
            </w:tcBorders>
          </w:tcPr>
          <w:p>
            <w:pP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765,210.76</w:t>
            </w:r>
          </w:p>
        </w:tc>
        <w:tc>
          <w:tcPr>
            <w:tcW w:w="1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765,210.76</w:t>
            </w:r>
          </w:p>
        </w:tc>
        <w:tc>
          <w:tcPr>
            <w:tcW w:w="1692"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19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695" w:type="dxa"/>
            <w:tcBorders>
              <w:top w:val="single" w:sz="2" w:space="0" w:color="000000"/>
              <w:left w:val="single" w:sz="2" w:space="0" w:color="000000"/>
              <w:bottom w:val="single" w:sz="2" w:space="0" w:color="000000"/>
              <w:right w:val="single" w:sz="2" w:space="0" w:color="000000"/>
            </w:tcBorders>
          </w:tcPr>
          <w:p>
            <w:pP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16,915,979.50</w:t>
            </w:r>
          </w:p>
        </w:tc>
        <w:tc>
          <w:tcPr>
            <w:tcW w:w="1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16,915,979.50</w:t>
            </w:r>
          </w:p>
        </w:tc>
        <w:tc>
          <w:tcPr>
            <w:tcW w:w="1692" w:type="dxa"/>
            <w:tcBorders>
              <w:top w:val="single" w:sz="2" w:space="0" w:color="000000"/>
              <w:left w:val="single" w:sz="2" w:space="0" w:color="000000"/>
              <w:bottom w:val="single" w:sz="2" w:space="0" w:color="000000"/>
              <w:right w:val="nil" w:sz="6" w:space="0" w:color="auto"/>
            </w:tcBorders>
          </w:tcPr>
          <w:p>
            <w:pPr/>
          </w:p>
        </w:tc>
      </w:tr>
      <w:tr>
        <w:trPr>
          <w:trHeight w:val="900" w:hRule="exact"/>
        </w:trPr>
        <w:tc>
          <w:tcPr>
            <w:tcW w:w="1966" w:type="dxa"/>
            <w:tcBorders>
              <w:top w:val="single" w:sz="2" w:space="0" w:color="000000"/>
              <w:left w:val="nil" w:sz="6" w:space="0" w:color="auto"/>
              <w:bottom w:val="single" w:sz="12" w:space="0" w:color="000000"/>
              <w:right w:val="single" w:sz="2" w:space="0" w:color="000000"/>
            </w:tcBorders>
          </w:tcPr>
          <w:p>
            <w:pPr>
              <w:pStyle w:val="TableParagraph"/>
              <w:spacing w:line="408" w:lineRule="auto" w:before="149"/>
              <w:ind w:left="124" w:right="86"/>
              <w:jc w:val="left"/>
              <w:rPr>
                <w:rFonts w:ascii="宋体" w:hAnsi="宋体" w:cs="宋体" w:eastAsia="宋体" w:hint="default"/>
                <w:sz w:val="18"/>
                <w:szCs w:val="18"/>
              </w:rPr>
            </w:pPr>
            <w:r>
              <w:rPr>
                <w:rFonts w:ascii="宋体" w:hAnsi="宋体" w:cs="宋体" w:eastAsia="宋体" w:hint="default"/>
                <w:spacing w:val="14"/>
                <w:sz w:val="18"/>
                <w:szCs w:val="18"/>
              </w:rPr>
              <w:t>工会经费和职工教育 </w:t>
            </w:r>
            <w:r>
              <w:rPr>
                <w:rFonts w:ascii="宋体" w:hAnsi="宋体" w:cs="宋体" w:eastAsia="宋体" w:hint="default"/>
                <w:sz w:val="18"/>
                <w:szCs w:val="18"/>
              </w:rPr>
              <w:t>经费</w:t>
            </w:r>
          </w:p>
        </w:tc>
        <w:tc>
          <w:tcPr>
            <w:tcW w:w="16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03"/>
              <w:jc w:val="right"/>
              <w:rPr>
                <w:rFonts w:ascii="Arial" w:hAnsi="Arial" w:cs="Arial" w:eastAsia="Arial" w:hint="default"/>
                <w:sz w:val="18"/>
                <w:szCs w:val="18"/>
              </w:rPr>
            </w:pPr>
            <w:r>
              <w:rPr>
                <w:rFonts w:ascii="Arial"/>
                <w:spacing w:val="-1"/>
                <w:sz w:val="18"/>
              </w:rPr>
              <w:t>9,889,260.48</w:t>
            </w:r>
          </w:p>
        </w:tc>
        <w:tc>
          <w:tcPr>
            <w:tcW w:w="16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03"/>
              <w:jc w:val="right"/>
              <w:rPr>
                <w:rFonts w:ascii="Arial" w:hAnsi="Arial" w:cs="Arial" w:eastAsia="Arial" w:hint="default"/>
                <w:sz w:val="18"/>
                <w:szCs w:val="18"/>
              </w:rPr>
            </w:pPr>
            <w:r>
              <w:rPr>
                <w:rFonts w:ascii="Arial"/>
                <w:spacing w:val="-1"/>
                <w:sz w:val="18"/>
              </w:rPr>
              <w:t>6,566,769.84</w:t>
            </w:r>
          </w:p>
        </w:tc>
        <w:tc>
          <w:tcPr>
            <w:tcW w:w="16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03"/>
              <w:jc w:val="right"/>
              <w:rPr>
                <w:rFonts w:ascii="Arial" w:hAnsi="Arial" w:cs="Arial" w:eastAsia="Arial" w:hint="default"/>
                <w:sz w:val="18"/>
                <w:szCs w:val="18"/>
              </w:rPr>
            </w:pPr>
            <w:r>
              <w:rPr>
                <w:rFonts w:ascii="Arial"/>
                <w:spacing w:val="-1"/>
                <w:sz w:val="18"/>
              </w:rPr>
              <w:t>5,282,562.77</w:t>
            </w:r>
          </w:p>
        </w:tc>
        <w:tc>
          <w:tcPr>
            <w:tcW w:w="1692"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05"/>
              <w:jc w:val="right"/>
              <w:rPr>
                <w:rFonts w:ascii="Arial" w:hAnsi="Arial" w:cs="Arial" w:eastAsia="Arial" w:hint="default"/>
                <w:sz w:val="18"/>
                <w:szCs w:val="18"/>
              </w:rPr>
            </w:pPr>
            <w:r>
              <w:rPr>
                <w:rFonts w:ascii="Arial"/>
                <w:spacing w:val="-2"/>
                <w:sz w:val="18"/>
              </w:rPr>
              <w:t>11,173,467.55</w:t>
            </w:r>
          </w:p>
        </w:tc>
      </w:tr>
    </w:tbl>
    <w:p>
      <w:pPr>
        <w:spacing w:after="0" w:line="240" w:lineRule="auto"/>
        <w:jc w:val="right"/>
        <w:rPr>
          <w:rFonts w:ascii="Arial" w:hAnsi="Arial" w:cs="Arial" w:eastAsia="Arial"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580" w:type="dxa"/>
        <w:tblLayout w:type="fixed"/>
        <w:tblCellMar>
          <w:top w:w="0" w:type="dxa"/>
          <w:left w:w="0" w:type="dxa"/>
          <w:bottom w:w="0" w:type="dxa"/>
          <w:right w:w="0" w:type="dxa"/>
        </w:tblCellMar>
        <w:tblLook w:val="01E0"/>
      </w:tblPr>
      <w:tblGrid>
        <w:gridCol w:w="1966"/>
        <w:gridCol w:w="1695"/>
        <w:gridCol w:w="1692"/>
        <w:gridCol w:w="1694"/>
        <w:gridCol w:w="1692"/>
      </w:tblGrid>
      <w:tr>
        <w:trPr>
          <w:trHeight w:val="500" w:hRule="exact"/>
        </w:trPr>
        <w:tc>
          <w:tcPr>
            <w:tcW w:w="196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2"/>
              <w:ind w:right="791"/>
              <w:jc w:val="right"/>
              <w:rPr>
                <w:rFonts w:ascii="宋体" w:hAnsi="宋体" w:cs="宋体" w:eastAsia="宋体" w:hint="default"/>
                <w:sz w:val="18"/>
                <w:szCs w:val="18"/>
              </w:rPr>
            </w:pPr>
            <w:r>
              <w:rPr>
                <w:rFonts w:ascii="宋体" w:hAnsi="宋体" w:cs="宋体" w:eastAsia="宋体" w:hint="default"/>
                <w:sz w:val="18"/>
                <w:szCs w:val="18"/>
              </w:rPr>
              <w:t>项目</w:t>
            </w:r>
          </w:p>
        </w:tc>
        <w:tc>
          <w:tcPr>
            <w:tcW w:w="169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left="485"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69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left="482"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69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left="484"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69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left="483"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485" w:hRule="exact"/>
        </w:trPr>
        <w:tc>
          <w:tcPr>
            <w:tcW w:w="19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right="756"/>
              <w:jc w:val="right"/>
              <w:rPr>
                <w:rFonts w:ascii="宋体" w:hAnsi="宋体" w:cs="宋体" w:eastAsia="宋体" w:hint="default"/>
                <w:sz w:val="18"/>
                <w:szCs w:val="18"/>
              </w:rPr>
            </w:pPr>
            <w:r>
              <w:rPr>
                <w:rFonts w:ascii="宋体" w:hAnsi="宋体" w:cs="宋体" w:eastAsia="宋体" w:hint="default"/>
                <w:sz w:val="18"/>
                <w:szCs w:val="18"/>
              </w:rPr>
              <w:t>其他短期薪酬</w:t>
            </w:r>
          </w:p>
        </w:tc>
        <w:tc>
          <w:tcPr>
            <w:tcW w:w="16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32" w:right="0"/>
              <w:jc w:val="left"/>
              <w:rPr>
                <w:rFonts w:ascii="Arial" w:hAnsi="Arial" w:cs="Arial" w:eastAsia="Arial" w:hint="default"/>
                <w:sz w:val="18"/>
                <w:szCs w:val="18"/>
              </w:rPr>
            </w:pPr>
            <w:r>
              <w:rPr>
                <w:rFonts w:ascii="Arial"/>
                <w:sz w:val="18"/>
              </w:rPr>
              <w:t>21,424,293.72</w:t>
            </w: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25,791,108.69</w:t>
            </w:r>
          </w:p>
        </w:tc>
        <w:tc>
          <w:tcPr>
            <w:tcW w:w="1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26,857,508.69</w:t>
            </w:r>
          </w:p>
        </w:tc>
        <w:tc>
          <w:tcPr>
            <w:tcW w:w="16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30" w:right="0"/>
              <w:jc w:val="left"/>
              <w:rPr>
                <w:rFonts w:ascii="Arial" w:hAnsi="Arial" w:cs="Arial" w:eastAsia="Arial" w:hint="default"/>
                <w:sz w:val="18"/>
                <w:szCs w:val="18"/>
              </w:rPr>
            </w:pPr>
            <w:r>
              <w:rPr>
                <w:rFonts w:ascii="Arial"/>
                <w:sz w:val="18"/>
              </w:rPr>
              <w:t>20,357,893.72</w:t>
            </w:r>
          </w:p>
        </w:tc>
      </w:tr>
      <w:tr>
        <w:trPr>
          <w:trHeight w:val="497" w:hRule="exact"/>
        </w:trPr>
        <w:tc>
          <w:tcPr>
            <w:tcW w:w="196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right="791"/>
              <w:jc w:val="right"/>
              <w:rPr>
                <w:rFonts w:ascii="宋体" w:hAnsi="宋体" w:cs="宋体" w:eastAsia="宋体" w:hint="default"/>
                <w:sz w:val="18"/>
                <w:szCs w:val="18"/>
              </w:rPr>
            </w:pPr>
            <w:r>
              <w:rPr>
                <w:rFonts w:ascii="宋体" w:hAnsi="宋体" w:cs="宋体" w:eastAsia="宋体" w:hint="default"/>
                <w:sz w:val="18"/>
                <w:szCs w:val="18"/>
              </w:rPr>
              <w:t>合计</w:t>
            </w:r>
          </w:p>
        </w:tc>
        <w:tc>
          <w:tcPr>
            <w:tcW w:w="16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32" w:right="0"/>
              <w:jc w:val="left"/>
              <w:rPr>
                <w:rFonts w:ascii="Arial" w:hAnsi="Arial" w:cs="Arial" w:eastAsia="Arial" w:hint="default"/>
                <w:sz w:val="18"/>
                <w:szCs w:val="18"/>
              </w:rPr>
            </w:pPr>
            <w:r>
              <w:rPr>
                <w:rFonts w:ascii="Arial"/>
                <w:sz w:val="18"/>
              </w:rPr>
              <w:t>34,592,163.53</w:t>
            </w:r>
          </w:p>
        </w:tc>
        <w:tc>
          <w:tcPr>
            <w:tcW w:w="16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268,093,826.27</w:t>
            </w:r>
          </w:p>
        </w:tc>
        <w:tc>
          <w:tcPr>
            <w:tcW w:w="16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267,860,571.23</w:t>
            </w:r>
          </w:p>
        </w:tc>
        <w:tc>
          <w:tcPr>
            <w:tcW w:w="169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30" w:right="0"/>
              <w:jc w:val="left"/>
              <w:rPr>
                <w:rFonts w:ascii="Arial" w:hAnsi="Arial" w:cs="Arial" w:eastAsia="Arial" w:hint="default"/>
                <w:sz w:val="18"/>
                <w:szCs w:val="18"/>
              </w:rPr>
            </w:pPr>
            <w:r>
              <w:rPr>
                <w:rFonts w:ascii="Arial"/>
                <w:sz w:val="18"/>
              </w:rPr>
              <w:t>34,825,418.57</w:t>
            </w:r>
          </w:p>
        </w:tc>
      </w:tr>
    </w:tbl>
    <w:p>
      <w:pPr>
        <w:spacing w:line="240" w:lineRule="auto" w:before="5"/>
        <w:rPr>
          <w:rFonts w:ascii="宋体" w:hAnsi="宋体" w:cs="宋体" w:eastAsia="宋体" w:hint="default"/>
          <w:sz w:val="5"/>
          <w:szCs w:val="5"/>
        </w:rPr>
      </w:pPr>
    </w:p>
    <w:p>
      <w:pPr>
        <w:pStyle w:val="BodyText"/>
        <w:spacing w:line="240" w:lineRule="auto" w:before="32"/>
        <w:ind w:left="592" w:right="1133"/>
        <w:jc w:val="left"/>
      </w:pPr>
      <w:r>
        <w:rPr/>
        <w:t>（</w:t>
      </w:r>
      <w:r>
        <w:rPr>
          <w:rFonts w:ascii="Arial" w:hAnsi="Arial" w:cs="Arial" w:eastAsia="Arial" w:hint="default"/>
        </w:rPr>
        <w:t>3</w:t>
      </w:r>
      <w:r>
        <w:rPr/>
        <w:t>）设定提存计划</w:t>
      </w:r>
    </w:p>
    <w:p>
      <w:pPr>
        <w:spacing w:line="240" w:lineRule="auto" w:before="8"/>
        <w:rPr>
          <w:rFonts w:ascii="宋体" w:hAnsi="宋体" w:cs="宋体" w:eastAsia="宋体" w:hint="default"/>
          <w:sz w:val="5"/>
          <w:szCs w:val="5"/>
        </w:rPr>
      </w:pPr>
    </w:p>
    <w:tbl>
      <w:tblPr>
        <w:tblW w:w="0" w:type="auto"/>
        <w:jc w:val="left"/>
        <w:tblInd w:w="580" w:type="dxa"/>
        <w:tblLayout w:type="fixed"/>
        <w:tblCellMar>
          <w:top w:w="0" w:type="dxa"/>
          <w:left w:w="0" w:type="dxa"/>
          <w:bottom w:w="0" w:type="dxa"/>
          <w:right w:w="0" w:type="dxa"/>
        </w:tblCellMar>
        <w:tblLook w:val="01E0"/>
      </w:tblPr>
      <w:tblGrid>
        <w:gridCol w:w="2518"/>
        <w:gridCol w:w="1553"/>
        <w:gridCol w:w="1558"/>
        <w:gridCol w:w="1555"/>
        <w:gridCol w:w="1556"/>
      </w:tblGrid>
      <w:tr>
        <w:trPr>
          <w:trHeight w:val="499" w:hRule="exact"/>
        </w:trPr>
        <w:tc>
          <w:tcPr>
            <w:tcW w:w="251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2"/>
              <w:ind w:right="1066"/>
              <w:jc w:val="right"/>
              <w:rPr>
                <w:rFonts w:ascii="宋体" w:hAnsi="宋体" w:cs="宋体" w:eastAsia="宋体" w:hint="default"/>
                <w:sz w:val="18"/>
                <w:szCs w:val="18"/>
              </w:rPr>
            </w:pPr>
            <w:r>
              <w:rPr>
                <w:rFonts w:ascii="宋体" w:hAnsi="宋体" w:cs="宋体" w:eastAsia="宋体" w:hint="default"/>
                <w:sz w:val="18"/>
                <w:szCs w:val="18"/>
              </w:rPr>
              <w:t>项目</w:t>
            </w:r>
          </w:p>
        </w:tc>
        <w:tc>
          <w:tcPr>
            <w:tcW w:w="155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left="415"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5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left="417"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55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left="415"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55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left="415"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485" w:hRule="exact"/>
        </w:trPr>
        <w:tc>
          <w:tcPr>
            <w:tcW w:w="25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基本养老保险</w:t>
            </w:r>
          </w:p>
        </w:tc>
        <w:tc>
          <w:tcPr>
            <w:tcW w:w="1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553,635.30</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23,636,937.57</w:t>
            </w:r>
          </w:p>
        </w:tc>
        <w:tc>
          <w:tcPr>
            <w:tcW w:w="15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23,728,215.49</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4"/>
              <w:jc w:val="right"/>
              <w:rPr>
                <w:rFonts w:ascii="Arial" w:hAnsi="Arial" w:cs="Arial" w:eastAsia="Arial" w:hint="default"/>
                <w:sz w:val="18"/>
                <w:szCs w:val="18"/>
              </w:rPr>
            </w:pPr>
            <w:r>
              <w:rPr>
                <w:rFonts w:ascii="Arial"/>
                <w:spacing w:val="-1"/>
                <w:sz w:val="18"/>
              </w:rPr>
              <w:t>462,357.38</w:t>
            </w:r>
          </w:p>
        </w:tc>
      </w:tr>
      <w:tr>
        <w:trPr>
          <w:trHeight w:val="485" w:hRule="exact"/>
        </w:trPr>
        <w:tc>
          <w:tcPr>
            <w:tcW w:w="25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23,310.99</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775,457.56</w:t>
            </w:r>
          </w:p>
        </w:tc>
        <w:tc>
          <w:tcPr>
            <w:tcW w:w="15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775,433.28</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23,335.27</w:t>
            </w:r>
          </w:p>
        </w:tc>
      </w:tr>
      <w:tr>
        <w:trPr>
          <w:trHeight w:val="485" w:hRule="exact"/>
        </w:trPr>
        <w:tc>
          <w:tcPr>
            <w:tcW w:w="25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企业年金缴费</w:t>
            </w:r>
          </w:p>
        </w:tc>
        <w:tc>
          <w:tcPr>
            <w:tcW w:w="1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638,364.97</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2"/>
                <w:sz w:val="18"/>
              </w:rPr>
              <w:t>11,969,237.94</w:t>
            </w:r>
          </w:p>
        </w:tc>
        <w:tc>
          <w:tcPr>
            <w:tcW w:w="15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12,581,847.49</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25,755.42</w:t>
            </w:r>
          </w:p>
        </w:tc>
      </w:tr>
      <w:tr>
        <w:trPr>
          <w:trHeight w:val="499" w:hRule="exact"/>
        </w:trPr>
        <w:tc>
          <w:tcPr>
            <w:tcW w:w="251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right="1066"/>
              <w:jc w:val="right"/>
              <w:rPr>
                <w:rFonts w:ascii="宋体" w:hAnsi="宋体" w:cs="宋体" w:eastAsia="宋体" w:hint="default"/>
                <w:sz w:val="18"/>
                <w:szCs w:val="18"/>
              </w:rPr>
            </w:pPr>
            <w:r>
              <w:rPr>
                <w:rFonts w:ascii="宋体" w:hAnsi="宋体" w:cs="宋体" w:eastAsia="宋体" w:hint="default"/>
                <w:sz w:val="18"/>
                <w:szCs w:val="18"/>
              </w:rPr>
              <w:t>合计</w:t>
            </w:r>
          </w:p>
        </w:tc>
        <w:tc>
          <w:tcPr>
            <w:tcW w:w="155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2"/>
                <w:sz w:val="18"/>
              </w:rPr>
              <w:t>1,215,311.26</w:t>
            </w:r>
          </w:p>
        </w:tc>
        <w:tc>
          <w:tcPr>
            <w:tcW w:w="15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36,381,633.07</w:t>
            </w:r>
          </w:p>
        </w:tc>
        <w:tc>
          <w:tcPr>
            <w:tcW w:w="155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37,085,496.26</w:t>
            </w:r>
          </w:p>
        </w:tc>
        <w:tc>
          <w:tcPr>
            <w:tcW w:w="155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2"/>
                <w:sz w:val="18"/>
              </w:rPr>
              <w:t>511,448.07</w:t>
            </w:r>
          </w:p>
        </w:tc>
      </w:tr>
    </w:tbl>
    <w:p>
      <w:pPr>
        <w:pStyle w:val="Heading4"/>
        <w:tabs>
          <w:tab w:pos="1413" w:val="left" w:leader="none"/>
        </w:tabs>
        <w:spacing w:line="240" w:lineRule="auto"/>
        <w:ind w:right="1133"/>
        <w:jc w:val="left"/>
        <w:rPr>
          <w:b w:val="0"/>
          <w:bCs w:val="0"/>
        </w:rPr>
      </w:pPr>
      <w:r>
        <w:rPr>
          <w:rFonts w:ascii="Arial" w:hAnsi="Arial" w:cs="Arial" w:eastAsia="Arial" w:hint="default"/>
          <w:spacing w:val="-1"/>
        </w:rPr>
        <w:t>20</w:t>
      </w:r>
      <w:r>
        <w:rPr>
          <w:spacing w:val="-1"/>
        </w:rPr>
        <w:t>、</w:t>
        <w:tab/>
      </w:r>
      <w:r>
        <w:rPr/>
        <w:t>应交税费</w:t>
      </w:r>
      <w:r>
        <w:rPr>
          <w:b w:val="0"/>
          <w:bCs w:val="0"/>
        </w:rPr>
      </w:r>
    </w:p>
    <w:p>
      <w:pPr>
        <w:spacing w:line="240" w:lineRule="auto" w:before="6"/>
        <w:rPr>
          <w:rFonts w:ascii="宋体" w:hAnsi="宋体" w:cs="宋体" w:eastAsia="宋体" w:hint="default"/>
          <w:b/>
          <w:bCs/>
          <w:sz w:val="2"/>
          <w:szCs w:val="2"/>
        </w:rPr>
      </w:pPr>
    </w:p>
    <w:tbl>
      <w:tblPr>
        <w:tblW w:w="0" w:type="auto"/>
        <w:jc w:val="left"/>
        <w:tblInd w:w="580" w:type="dxa"/>
        <w:tblLayout w:type="fixed"/>
        <w:tblCellMar>
          <w:top w:w="0" w:type="dxa"/>
          <w:left w:w="0" w:type="dxa"/>
          <w:bottom w:w="0" w:type="dxa"/>
          <w:right w:w="0" w:type="dxa"/>
        </w:tblCellMar>
        <w:tblLook w:val="01E0"/>
      </w:tblPr>
      <w:tblGrid>
        <w:gridCol w:w="3944"/>
        <w:gridCol w:w="2424"/>
        <w:gridCol w:w="2372"/>
      </w:tblGrid>
      <w:tr>
        <w:trPr>
          <w:trHeight w:val="499" w:hRule="exact"/>
        </w:trPr>
        <w:tc>
          <w:tcPr>
            <w:tcW w:w="394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2"/>
              <w:ind w:right="1779"/>
              <w:jc w:val="right"/>
              <w:rPr>
                <w:rFonts w:ascii="宋体" w:hAnsi="宋体" w:cs="宋体" w:eastAsia="宋体" w:hint="default"/>
                <w:sz w:val="18"/>
                <w:szCs w:val="18"/>
              </w:rPr>
            </w:pPr>
            <w:r>
              <w:rPr>
                <w:rFonts w:ascii="宋体" w:hAnsi="宋体" w:cs="宋体" w:eastAsia="宋体" w:hint="default"/>
                <w:sz w:val="18"/>
                <w:szCs w:val="18"/>
              </w:rPr>
              <w:t>项目</w:t>
            </w:r>
          </w:p>
        </w:tc>
        <w:tc>
          <w:tcPr>
            <w:tcW w:w="242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37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left="2"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85" w:hRule="exact"/>
        </w:trPr>
        <w:tc>
          <w:tcPr>
            <w:tcW w:w="39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4,083,476.77</w:t>
            </w:r>
          </w:p>
        </w:tc>
        <w:tc>
          <w:tcPr>
            <w:tcW w:w="23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-370,607.16</w:t>
            </w:r>
          </w:p>
        </w:tc>
      </w:tr>
      <w:tr>
        <w:trPr>
          <w:trHeight w:val="485" w:hRule="exact"/>
        </w:trPr>
        <w:tc>
          <w:tcPr>
            <w:tcW w:w="39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10,853,655.96</w:t>
            </w:r>
          </w:p>
        </w:tc>
        <w:tc>
          <w:tcPr>
            <w:tcW w:w="2372"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39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0"/>
              <w:ind w:left="1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7,742,208.92</w:t>
            </w:r>
          </w:p>
        </w:tc>
        <w:tc>
          <w:tcPr>
            <w:tcW w:w="23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7,607,979.43</w:t>
            </w:r>
          </w:p>
        </w:tc>
      </w:tr>
      <w:tr>
        <w:trPr>
          <w:trHeight w:val="485" w:hRule="exact"/>
        </w:trPr>
        <w:tc>
          <w:tcPr>
            <w:tcW w:w="39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745,109.86</w:t>
            </w:r>
          </w:p>
        </w:tc>
        <w:tc>
          <w:tcPr>
            <w:tcW w:w="23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59,352.89</w:t>
            </w:r>
          </w:p>
        </w:tc>
      </w:tr>
      <w:tr>
        <w:trPr>
          <w:trHeight w:val="485" w:hRule="exact"/>
        </w:trPr>
        <w:tc>
          <w:tcPr>
            <w:tcW w:w="39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319,832.52</w:t>
            </w:r>
          </w:p>
        </w:tc>
        <w:tc>
          <w:tcPr>
            <w:tcW w:w="23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26,948.21</w:t>
            </w:r>
          </w:p>
        </w:tc>
      </w:tr>
      <w:tr>
        <w:trPr>
          <w:trHeight w:val="485" w:hRule="exact"/>
        </w:trPr>
        <w:tc>
          <w:tcPr>
            <w:tcW w:w="39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212,366.74</w:t>
            </w:r>
          </w:p>
        </w:tc>
        <w:tc>
          <w:tcPr>
            <w:tcW w:w="23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14,941.95</w:t>
            </w:r>
          </w:p>
        </w:tc>
      </w:tr>
      <w:tr>
        <w:trPr>
          <w:trHeight w:val="485" w:hRule="exact"/>
        </w:trPr>
        <w:tc>
          <w:tcPr>
            <w:tcW w:w="39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30,450.84</w:t>
            </w:r>
          </w:p>
        </w:tc>
        <w:tc>
          <w:tcPr>
            <w:tcW w:w="23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22,095.24</w:t>
            </w:r>
          </w:p>
        </w:tc>
      </w:tr>
      <w:tr>
        <w:trPr>
          <w:trHeight w:val="485" w:hRule="exact"/>
        </w:trPr>
        <w:tc>
          <w:tcPr>
            <w:tcW w:w="39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24" w:type="dxa"/>
            <w:tcBorders>
              <w:top w:val="single" w:sz="2" w:space="0" w:color="000000"/>
              <w:left w:val="single" w:sz="2" w:space="0" w:color="000000"/>
              <w:bottom w:val="single" w:sz="2" w:space="0" w:color="000000"/>
              <w:right w:val="single" w:sz="2" w:space="0" w:color="000000"/>
            </w:tcBorders>
          </w:tcPr>
          <w:p>
            <w:pPr/>
          </w:p>
        </w:tc>
        <w:tc>
          <w:tcPr>
            <w:tcW w:w="23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-6,659.13</w:t>
            </w:r>
          </w:p>
        </w:tc>
      </w:tr>
      <w:tr>
        <w:trPr>
          <w:trHeight w:val="499" w:hRule="exact"/>
        </w:trPr>
        <w:tc>
          <w:tcPr>
            <w:tcW w:w="394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right="1779"/>
              <w:jc w:val="right"/>
              <w:rPr>
                <w:rFonts w:ascii="宋体" w:hAnsi="宋体" w:cs="宋体" w:eastAsia="宋体" w:hint="default"/>
                <w:sz w:val="18"/>
                <w:szCs w:val="18"/>
              </w:rPr>
            </w:pPr>
            <w:r>
              <w:rPr>
                <w:rFonts w:ascii="宋体" w:hAnsi="宋体" w:cs="宋体" w:eastAsia="宋体" w:hint="default"/>
                <w:sz w:val="18"/>
                <w:szCs w:val="18"/>
              </w:rPr>
              <w:t>合计</w:t>
            </w:r>
          </w:p>
        </w:tc>
        <w:tc>
          <w:tcPr>
            <w:tcW w:w="242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23,987,101.61</w:t>
            </w:r>
          </w:p>
        </w:tc>
        <w:tc>
          <w:tcPr>
            <w:tcW w:w="237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7,354,051.43</w:t>
            </w:r>
          </w:p>
        </w:tc>
      </w:tr>
    </w:tbl>
    <w:p>
      <w:pPr>
        <w:pStyle w:val="Heading4"/>
        <w:tabs>
          <w:tab w:pos="1413" w:val="left" w:leader="none"/>
        </w:tabs>
        <w:spacing w:line="240" w:lineRule="auto" w:before="63"/>
        <w:ind w:right="1133"/>
        <w:jc w:val="left"/>
        <w:rPr>
          <w:b w:val="0"/>
          <w:bCs w:val="0"/>
        </w:rPr>
      </w:pPr>
      <w:r>
        <w:rPr>
          <w:rFonts w:ascii="Arial" w:hAnsi="Arial" w:cs="Arial" w:eastAsia="Arial" w:hint="default"/>
          <w:spacing w:val="-1"/>
        </w:rPr>
        <w:t>21</w:t>
      </w:r>
      <w:r>
        <w:rPr>
          <w:spacing w:val="-1"/>
        </w:rPr>
        <w:t>、</w:t>
        <w:tab/>
      </w:r>
      <w:r>
        <w:rPr/>
        <w:t>其他应付款</w:t>
      </w:r>
      <w:r>
        <w:rPr>
          <w:b w:val="0"/>
          <w:bCs w:val="0"/>
        </w:rPr>
      </w:r>
    </w:p>
    <w:p>
      <w:pPr>
        <w:spacing w:line="240" w:lineRule="auto" w:before="9"/>
        <w:rPr>
          <w:rFonts w:ascii="宋体" w:hAnsi="宋体" w:cs="宋体" w:eastAsia="宋体" w:hint="default"/>
          <w:b/>
          <w:bCs/>
          <w:sz w:val="2"/>
          <w:szCs w:val="2"/>
        </w:rPr>
      </w:pPr>
    </w:p>
    <w:tbl>
      <w:tblPr>
        <w:tblW w:w="0" w:type="auto"/>
        <w:jc w:val="left"/>
        <w:tblInd w:w="580" w:type="dxa"/>
        <w:tblLayout w:type="fixed"/>
        <w:tblCellMar>
          <w:top w:w="0" w:type="dxa"/>
          <w:left w:w="0" w:type="dxa"/>
          <w:bottom w:w="0" w:type="dxa"/>
          <w:right w:w="0" w:type="dxa"/>
        </w:tblCellMar>
        <w:tblLook w:val="01E0"/>
      </w:tblPr>
      <w:tblGrid>
        <w:gridCol w:w="3944"/>
        <w:gridCol w:w="2424"/>
        <w:gridCol w:w="2372"/>
      </w:tblGrid>
      <w:tr>
        <w:trPr>
          <w:trHeight w:val="497" w:hRule="exact"/>
        </w:trPr>
        <w:tc>
          <w:tcPr>
            <w:tcW w:w="394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49"/>
              <w:ind w:right="1779"/>
              <w:jc w:val="right"/>
              <w:rPr>
                <w:rFonts w:ascii="宋体" w:hAnsi="宋体" w:cs="宋体" w:eastAsia="宋体" w:hint="default"/>
                <w:sz w:val="18"/>
                <w:szCs w:val="18"/>
              </w:rPr>
            </w:pPr>
            <w:r>
              <w:rPr>
                <w:rFonts w:ascii="宋体" w:hAnsi="宋体" w:cs="宋体" w:eastAsia="宋体" w:hint="default"/>
                <w:sz w:val="18"/>
                <w:szCs w:val="18"/>
              </w:rPr>
              <w:t>项目</w:t>
            </w:r>
          </w:p>
        </w:tc>
        <w:tc>
          <w:tcPr>
            <w:tcW w:w="242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37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49"/>
              <w:ind w:left="2"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85" w:hRule="exact"/>
        </w:trPr>
        <w:tc>
          <w:tcPr>
            <w:tcW w:w="39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2"/>
                <w:sz w:val="18"/>
              </w:rPr>
              <w:t>11,063,528.77</w:t>
            </w:r>
          </w:p>
        </w:tc>
        <w:tc>
          <w:tcPr>
            <w:tcW w:w="23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8,150,007.82</w:t>
            </w:r>
          </w:p>
        </w:tc>
      </w:tr>
      <w:tr>
        <w:trPr>
          <w:trHeight w:val="499" w:hRule="exact"/>
        </w:trPr>
        <w:tc>
          <w:tcPr>
            <w:tcW w:w="394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right="1779"/>
              <w:jc w:val="right"/>
              <w:rPr>
                <w:rFonts w:ascii="宋体" w:hAnsi="宋体" w:cs="宋体" w:eastAsia="宋体" w:hint="default"/>
                <w:sz w:val="18"/>
                <w:szCs w:val="18"/>
              </w:rPr>
            </w:pPr>
            <w:r>
              <w:rPr>
                <w:rFonts w:ascii="宋体" w:hAnsi="宋体" w:cs="宋体" w:eastAsia="宋体" w:hint="default"/>
                <w:sz w:val="18"/>
                <w:szCs w:val="18"/>
              </w:rPr>
              <w:t>合计</w:t>
            </w:r>
          </w:p>
        </w:tc>
        <w:tc>
          <w:tcPr>
            <w:tcW w:w="242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2"/>
                <w:sz w:val="18"/>
              </w:rPr>
              <w:t>11,063,528.77</w:t>
            </w:r>
          </w:p>
        </w:tc>
        <w:tc>
          <w:tcPr>
            <w:tcW w:w="237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8,150,007.82</w:t>
            </w:r>
          </w:p>
        </w:tc>
      </w:tr>
    </w:tbl>
    <w:p>
      <w:pPr>
        <w:spacing w:line="240" w:lineRule="auto" w:before="5"/>
        <w:rPr>
          <w:rFonts w:ascii="宋体" w:hAnsi="宋体" w:cs="宋体" w:eastAsia="宋体" w:hint="default"/>
          <w:b/>
          <w:bCs/>
          <w:sz w:val="5"/>
          <w:szCs w:val="5"/>
        </w:rPr>
      </w:pPr>
    </w:p>
    <w:p>
      <w:pPr>
        <w:pStyle w:val="BodyText"/>
        <w:spacing w:line="240" w:lineRule="auto" w:before="32"/>
        <w:ind w:left="592" w:right="1133"/>
        <w:jc w:val="left"/>
      </w:pPr>
      <w:r>
        <w:rPr/>
        <w:t>（</w:t>
      </w:r>
      <w:r>
        <w:rPr>
          <w:rFonts w:ascii="Arial" w:hAnsi="Arial" w:cs="Arial" w:eastAsia="Arial" w:hint="default"/>
        </w:rPr>
        <w:t>1</w:t>
      </w:r>
      <w:r>
        <w:rPr/>
        <w:t>）其他应付款按款项性质分类</w:t>
      </w:r>
    </w:p>
    <w:p>
      <w:pPr>
        <w:spacing w:line="240" w:lineRule="auto" w:before="8"/>
        <w:rPr>
          <w:rFonts w:ascii="宋体" w:hAnsi="宋体" w:cs="宋体" w:eastAsia="宋体" w:hint="default"/>
          <w:sz w:val="5"/>
          <w:szCs w:val="5"/>
        </w:rPr>
      </w:pPr>
    </w:p>
    <w:tbl>
      <w:tblPr>
        <w:tblW w:w="0" w:type="auto"/>
        <w:jc w:val="left"/>
        <w:tblInd w:w="580" w:type="dxa"/>
        <w:tblLayout w:type="fixed"/>
        <w:tblCellMar>
          <w:top w:w="0" w:type="dxa"/>
          <w:left w:w="0" w:type="dxa"/>
          <w:bottom w:w="0" w:type="dxa"/>
          <w:right w:w="0" w:type="dxa"/>
        </w:tblCellMar>
        <w:tblLook w:val="01E0"/>
      </w:tblPr>
      <w:tblGrid>
        <w:gridCol w:w="3063"/>
        <w:gridCol w:w="2840"/>
        <w:gridCol w:w="2837"/>
      </w:tblGrid>
      <w:tr>
        <w:trPr>
          <w:trHeight w:val="497" w:hRule="exact"/>
        </w:trPr>
        <w:tc>
          <w:tcPr>
            <w:tcW w:w="306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49"/>
              <w:ind w:left="20"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28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9"/>
              <w:ind w:left="2"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83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85" w:hRule="exact"/>
        </w:trPr>
        <w:tc>
          <w:tcPr>
            <w:tcW w:w="3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2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4,441,459.12</w:t>
            </w:r>
          </w:p>
        </w:tc>
        <w:tc>
          <w:tcPr>
            <w:tcW w:w="283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5,833,999.66</w:t>
            </w:r>
          </w:p>
        </w:tc>
      </w:tr>
      <w:tr>
        <w:trPr>
          <w:trHeight w:val="499" w:hRule="exact"/>
        </w:trPr>
        <w:tc>
          <w:tcPr>
            <w:tcW w:w="306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应付保证金</w:t>
            </w:r>
          </w:p>
        </w:tc>
        <w:tc>
          <w:tcPr>
            <w:tcW w:w="28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5,003,000.00</w:t>
            </w:r>
          </w:p>
        </w:tc>
        <w:tc>
          <w:tcPr>
            <w:tcW w:w="283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641,060.00</w:t>
            </w:r>
          </w:p>
        </w:tc>
      </w:tr>
    </w:tbl>
    <w:p>
      <w:pPr>
        <w:spacing w:after="0" w:line="240" w:lineRule="auto"/>
        <w:jc w:val="right"/>
        <w:rPr>
          <w:rFonts w:ascii="Arial" w:hAnsi="Arial" w:cs="Arial" w:eastAsia="Arial"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680" w:type="dxa"/>
        <w:tblLayout w:type="fixed"/>
        <w:tblCellMar>
          <w:top w:w="0" w:type="dxa"/>
          <w:left w:w="0" w:type="dxa"/>
          <w:bottom w:w="0" w:type="dxa"/>
          <w:right w:w="0" w:type="dxa"/>
        </w:tblCellMar>
        <w:tblLook w:val="01E0"/>
      </w:tblPr>
      <w:tblGrid>
        <w:gridCol w:w="3063"/>
        <w:gridCol w:w="2840"/>
        <w:gridCol w:w="2837"/>
      </w:tblGrid>
      <w:tr>
        <w:trPr>
          <w:trHeight w:val="500" w:hRule="exact"/>
        </w:trPr>
        <w:tc>
          <w:tcPr>
            <w:tcW w:w="306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2"/>
              <w:ind w:left="20"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28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left="2"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83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85" w:hRule="exact"/>
        </w:trPr>
        <w:tc>
          <w:tcPr>
            <w:tcW w:w="3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应付其他款</w:t>
            </w:r>
          </w:p>
        </w:tc>
        <w:tc>
          <w:tcPr>
            <w:tcW w:w="2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1,619,069.65</w:t>
            </w:r>
          </w:p>
        </w:tc>
        <w:tc>
          <w:tcPr>
            <w:tcW w:w="283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1,674,948.16</w:t>
            </w:r>
          </w:p>
        </w:tc>
      </w:tr>
      <w:tr>
        <w:trPr>
          <w:trHeight w:val="497" w:hRule="exact"/>
        </w:trPr>
        <w:tc>
          <w:tcPr>
            <w:tcW w:w="306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2"/>
                <w:sz w:val="18"/>
              </w:rPr>
              <w:t>11,063,528.77</w:t>
            </w:r>
          </w:p>
        </w:tc>
        <w:tc>
          <w:tcPr>
            <w:tcW w:w="283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8,150,007.82</w:t>
            </w:r>
          </w:p>
        </w:tc>
      </w:tr>
    </w:tbl>
    <w:p>
      <w:pPr>
        <w:spacing w:line="240" w:lineRule="auto" w:before="5"/>
        <w:rPr>
          <w:rFonts w:ascii="宋体" w:hAnsi="宋体" w:cs="宋体" w:eastAsia="宋体" w:hint="default"/>
          <w:sz w:val="5"/>
          <w:szCs w:val="5"/>
        </w:rPr>
      </w:pPr>
    </w:p>
    <w:p>
      <w:pPr>
        <w:pStyle w:val="BodyText"/>
        <w:spacing w:line="240" w:lineRule="auto" w:before="32"/>
        <w:ind w:left="692" w:right="309"/>
        <w:jc w:val="left"/>
      </w:pPr>
      <w:r>
        <w:rPr/>
        <w:t>（</w:t>
      </w:r>
      <w:r>
        <w:rPr>
          <w:rFonts w:ascii="Arial" w:hAnsi="Arial" w:cs="Arial" w:eastAsia="Arial" w:hint="default"/>
        </w:rPr>
        <w:t>2</w:t>
      </w:r>
      <w:r>
        <w:rPr/>
        <w:t>）账龄超过</w:t>
      </w:r>
      <w:r>
        <w:rPr>
          <w:spacing w:val="-56"/>
        </w:rPr>
        <w:t> </w:t>
      </w:r>
      <w:r>
        <w:rPr>
          <w:rFonts w:ascii="Arial" w:hAnsi="Arial" w:cs="Arial" w:eastAsia="Arial" w:hint="default"/>
        </w:rPr>
        <w:t>1</w:t>
      </w:r>
      <w:r>
        <w:rPr>
          <w:rFonts w:ascii="Arial" w:hAnsi="Arial" w:cs="Arial" w:eastAsia="Arial" w:hint="default"/>
          <w:spacing w:val="-8"/>
        </w:rPr>
        <w:t> </w:t>
      </w:r>
      <w:r>
        <w:rPr/>
        <w:t>年的重要其他应付款</w:t>
      </w:r>
    </w:p>
    <w:p>
      <w:pPr>
        <w:spacing w:line="240" w:lineRule="auto" w:before="8"/>
        <w:rPr>
          <w:rFonts w:ascii="宋体" w:hAnsi="宋体" w:cs="宋体" w:eastAsia="宋体" w:hint="default"/>
          <w:sz w:val="5"/>
          <w:szCs w:val="5"/>
        </w:rPr>
      </w:pPr>
    </w:p>
    <w:tbl>
      <w:tblPr>
        <w:tblW w:w="0" w:type="auto"/>
        <w:jc w:val="left"/>
        <w:tblInd w:w="680" w:type="dxa"/>
        <w:tblLayout w:type="fixed"/>
        <w:tblCellMar>
          <w:top w:w="0" w:type="dxa"/>
          <w:left w:w="0" w:type="dxa"/>
          <w:bottom w:w="0" w:type="dxa"/>
          <w:right w:w="0" w:type="dxa"/>
        </w:tblCellMar>
        <w:tblLook w:val="01E0"/>
      </w:tblPr>
      <w:tblGrid>
        <w:gridCol w:w="3526"/>
        <w:gridCol w:w="2302"/>
        <w:gridCol w:w="2912"/>
      </w:tblGrid>
      <w:tr>
        <w:trPr>
          <w:trHeight w:val="499" w:hRule="exact"/>
        </w:trPr>
        <w:tc>
          <w:tcPr>
            <w:tcW w:w="352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2"/>
              <w:ind w:left="1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91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884" w:hRule="exact"/>
        </w:trPr>
        <w:tc>
          <w:tcPr>
            <w:tcW w:w="3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深圳一海通全球供应链管理有限公司</w:t>
            </w:r>
          </w:p>
        </w:tc>
        <w:tc>
          <w:tcPr>
            <w:tcW w:w="2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right="103"/>
              <w:jc w:val="right"/>
              <w:rPr>
                <w:rFonts w:ascii="Arial" w:hAnsi="Arial" w:cs="Arial" w:eastAsia="Arial" w:hint="default"/>
                <w:sz w:val="18"/>
                <w:szCs w:val="18"/>
              </w:rPr>
            </w:pPr>
            <w:r>
              <w:rPr>
                <w:rFonts w:ascii="Arial"/>
                <w:spacing w:val="-1"/>
                <w:sz w:val="18"/>
              </w:rPr>
              <w:t>1,208,280.00</w:t>
            </w:r>
          </w:p>
        </w:tc>
        <w:tc>
          <w:tcPr>
            <w:tcW w:w="29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待支付的研发项目拨款</w:t>
            </w:r>
          </w:p>
        </w:tc>
      </w:tr>
      <w:tr>
        <w:trPr>
          <w:trHeight w:val="886" w:hRule="exact"/>
        </w:trPr>
        <w:tc>
          <w:tcPr>
            <w:tcW w:w="3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上海船舶运输科学研究所</w:t>
            </w:r>
          </w:p>
        </w:tc>
        <w:tc>
          <w:tcPr>
            <w:tcW w:w="2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3"/>
              <w:jc w:val="right"/>
              <w:rPr>
                <w:rFonts w:ascii="Arial" w:hAnsi="Arial" w:cs="Arial" w:eastAsia="Arial" w:hint="default"/>
                <w:sz w:val="18"/>
                <w:szCs w:val="18"/>
              </w:rPr>
            </w:pPr>
            <w:r>
              <w:rPr>
                <w:rFonts w:ascii="Arial"/>
                <w:spacing w:val="-1"/>
                <w:sz w:val="18"/>
              </w:rPr>
              <w:t>1,275,000.00</w:t>
            </w:r>
          </w:p>
        </w:tc>
        <w:tc>
          <w:tcPr>
            <w:tcW w:w="29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待支付的研发项目拨款</w:t>
            </w:r>
          </w:p>
        </w:tc>
      </w:tr>
      <w:tr>
        <w:trPr>
          <w:trHeight w:val="499" w:hRule="exact"/>
        </w:trPr>
        <w:tc>
          <w:tcPr>
            <w:tcW w:w="35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2,483,280.00</w:t>
            </w:r>
          </w:p>
        </w:tc>
        <w:tc>
          <w:tcPr>
            <w:tcW w:w="291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18"/>
                <w:szCs w:val="18"/>
              </w:rPr>
            </w:pPr>
            <w:r>
              <w:rPr>
                <w:rFonts w:ascii="Arial" w:hAnsi="Arial" w:cs="Arial" w:eastAsia="Arial" w:hint="default"/>
                <w:sz w:val="18"/>
                <w:szCs w:val="18"/>
              </w:rPr>
              <w:t>—</w:t>
            </w:r>
          </w:p>
        </w:tc>
      </w:tr>
    </w:tbl>
    <w:p>
      <w:pPr>
        <w:pStyle w:val="Heading4"/>
        <w:tabs>
          <w:tab w:pos="1513" w:val="left" w:leader="none"/>
        </w:tabs>
        <w:spacing w:line="240" w:lineRule="auto"/>
        <w:ind w:left="694" w:right="309"/>
        <w:jc w:val="left"/>
        <w:rPr>
          <w:b w:val="0"/>
          <w:bCs w:val="0"/>
        </w:rPr>
      </w:pPr>
      <w:r>
        <w:rPr>
          <w:rFonts w:ascii="Arial" w:hAnsi="Arial" w:cs="Arial" w:eastAsia="Arial" w:hint="default"/>
          <w:spacing w:val="-1"/>
        </w:rPr>
        <w:t>22</w:t>
      </w:r>
      <w:r>
        <w:rPr>
          <w:spacing w:val="-1"/>
        </w:rPr>
        <w:t>、</w:t>
        <w:tab/>
      </w:r>
      <w:r>
        <w:rPr/>
        <w:t>持有待售负债</w:t>
      </w:r>
      <w:r>
        <w:rPr>
          <w:b w:val="0"/>
          <w:bCs w:val="0"/>
        </w:rPr>
      </w:r>
    </w:p>
    <w:p>
      <w:pPr>
        <w:spacing w:line="240" w:lineRule="auto" w:before="6"/>
        <w:rPr>
          <w:rFonts w:ascii="宋体" w:hAnsi="宋体" w:cs="宋体" w:eastAsia="宋体" w:hint="default"/>
          <w:b/>
          <w:bCs/>
          <w:sz w:val="2"/>
          <w:szCs w:val="2"/>
        </w:rPr>
      </w:pPr>
    </w:p>
    <w:tbl>
      <w:tblPr>
        <w:tblW w:w="0" w:type="auto"/>
        <w:jc w:val="left"/>
        <w:tblInd w:w="115" w:type="dxa"/>
        <w:tblLayout w:type="fixed"/>
        <w:tblCellMar>
          <w:top w:w="0" w:type="dxa"/>
          <w:left w:w="0" w:type="dxa"/>
          <w:bottom w:w="0" w:type="dxa"/>
          <w:right w:w="0" w:type="dxa"/>
        </w:tblCellMar>
        <w:tblLook w:val="01E0"/>
      </w:tblPr>
      <w:tblGrid>
        <w:gridCol w:w="3983"/>
        <w:gridCol w:w="2943"/>
        <w:gridCol w:w="2945"/>
      </w:tblGrid>
      <w:tr>
        <w:trPr>
          <w:trHeight w:val="499" w:hRule="exact"/>
        </w:trPr>
        <w:tc>
          <w:tcPr>
            <w:tcW w:w="398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2"/>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94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85" w:hRule="exact"/>
        </w:trPr>
        <w:tc>
          <w:tcPr>
            <w:tcW w:w="39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贵州新思维科技有限责任公司</w:t>
            </w:r>
          </w:p>
        </w:tc>
        <w:tc>
          <w:tcPr>
            <w:tcW w:w="29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63,348,527.91</w:t>
            </w:r>
          </w:p>
        </w:tc>
        <w:tc>
          <w:tcPr>
            <w:tcW w:w="2945" w:type="dxa"/>
            <w:tcBorders>
              <w:top w:val="single" w:sz="2" w:space="0" w:color="000000"/>
              <w:left w:val="single" w:sz="2" w:space="0" w:color="000000"/>
              <w:bottom w:val="single" w:sz="2" w:space="0" w:color="000000"/>
              <w:right w:val="nil" w:sz="6" w:space="0" w:color="auto"/>
            </w:tcBorders>
          </w:tcPr>
          <w:p>
            <w:pPr/>
          </w:p>
        </w:tc>
      </w:tr>
      <w:tr>
        <w:trPr>
          <w:trHeight w:val="500" w:hRule="exact"/>
        </w:trPr>
        <w:tc>
          <w:tcPr>
            <w:tcW w:w="398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63,348,527.91</w:t>
            </w:r>
          </w:p>
        </w:tc>
        <w:tc>
          <w:tcPr>
            <w:tcW w:w="2945" w:type="dxa"/>
            <w:tcBorders>
              <w:top w:val="single" w:sz="2" w:space="0" w:color="000000"/>
              <w:left w:val="single" w:sz="2" w:space="0" w:color="000000"/>
              <w:bottom w:val="single" w:sz="12" w:space="0" w:color="000000"/>
              <w:right w:val="nil" w:sz="6" w:space="0" w:color="auto"/>
            </w:tcBorders>
          </w:tcPr>
          <w:p>
            <w:pPr/>
          </w:p>
        </w:tc>
      </w:tr>
    </w:tbl>
    <w:p>
      <w:pPr>
        <w:spacing w:line="240" w:lineRule="auto" w:before="5"/>
        <w:rPr>
          <w:rFonts w:ascii="宋体" w:hAnsi="宋体" w:cs="宋体" w:eastAsia="宋体" w:hint="default"/>
          <w:b/>
          <w:bCs/>
          <w:sz w:val="5"/>
          <w:szCs w:val="5"/>
        </w:rPr>
      </w:pPr>
    </w:p>
    <w:p>
      <w:pPr>
        <w:pStyle w:val="BodyText"/>
        <w:spacing w:line="240" w:lineRule="auto" w:before="32"/>
        <w:ind w:left="692" w:right="309"/>
        <w:jc w:val="left"/>
      </w:pPr>
      <w:r>
        <w:rPr>
          <w:w w:val="100"/>
        </w:rPr>
        <w:t>注</w:t>
      </w:r>
      <w:r>
        <w:rPr>
          <w:spacing w:val="-111"/>
          <w:w w:val="100"/>
        </w:rPr>
        <w:t>：</w:t>
      </w:r>
      <w:r>
        <w:rPr>
          <w:spacing w:val="-1"/>
          <w:w w:val="100"/>
        </w:rPr>
        <w:t>（</w:t>
      </w:r>
      <w:r>
        <w:rPr>
          <w:rFonts w:ascii="Arial" w:hAnsi="Arial" w:cs="Arial" w:eastAsia="Arial" w:hint="default"/>
          <w:spacing w:val="-1"/>
          <w:w w:val="100"/>
        </w:rPr>
        <w:t>1</w:t>
      </w:r>
      <w:r>
        <w:rPr>
          <w:w w:val="100"/>
        </w:rPr>
        <w:t>）</w:t>
      </w:r>
      <w:r>
        <w:rPr>
          <w:spacing w:val="-3"/>
          <w:w w:val="100"/>
        </w:rPr>
        <w:t>本</w:t>
      </w:r>
      <w:r>
        <w:rPr>
          <w:w w:val="100"/>
        </w:rPr>
        <w:t>公司</w:t>
      </w:r>
      <w:r>
        <w:rPr>
          <w:spacing w:val="-3"/>
          <w:w w:val="100"/>
        </w:rPr>
        <w:t>年</w:t>
      </w:r>
      <w:r>
        <w:rPr>
          <w:w w:val="100"/>
        </w:rPr>
        <w:t>末持</w:t>
      </w:r>
      <w:r>
        <w:rPr>
          <w:spacing w:val="-3"/>
          <w:w w:val="100"/>
        </w:rPr>
        <w:t>有</w:t>
      </w:r>
      <w:r>
        <w:rPr>
          <w:w w:val="100"/>
        </w:rPr>
        <w:t>待售负</w:t>
      </w:r>
      <w:r>
        <w:rPr>
          <w:spacing w:val="-3"/>
          <w:w w:val="100"/>
        </w:rPr>
        <w:t>债</w:t>
      </w:r>
      <w:r>
        <w:rPr>
          <w:w w:val="100"/>
        </w:rPr>
        <w:t>形成</w:t>
      </w:r>
      <w:r>
        <w:rPr>
          <w:spacing w:val="-3"/>
          <w:w w:val="100"/>
        </w:rPr>
        <w:t>原</w:t>
      </w:r>
      <w:r>
        <w:rPr>
          <w:w w:val="100"/>
        </w:rPr>
        <w:t>因详</w:t>
      </w:r>
      <w:r>
        <w:rPr>
          <w:spacing w:val="-2"/>
          <w:w w:val="100"/>
        </w:rPr>
        <w:t>见八</w:t>
      </w:r>
      <w:r>
        <w:rPr>
          <w:w w:val="100"/>
        </w:rPr>
        <w:t>、</w:t>
      </w:r>
      <w:r>
        <w:rPr>
          <w:rFonts w:ascii="Arial" w:hAnsi="Arial" w:cs="Arial" w:eastAsia="Arial" w:hint="default"/>
          <w:spacing w:val="-1"/>
          <w:w w:val="100"/>
        </w:rPr>
        <w:t>7</w:t>
      </w:r>
      <w:r>
        <w:rPr>
          <w:w w:val="100"/>
        </w:rPr>
        <w:t>。</w:t>
      </w:r>
    </w:p>
    <w:p>
      <w:pPr>
        <w:pStyle w:val="BodyText"/>
        <w:spacing w:line="240" w:lineRule="auto" w:before="135"/>
        <w:ind w:left="692" w:right="309"/>
        <w:jc w:val="left"/>
      </w:pPr>
      <w:r>
        <w:rPr/>
        <w:t>（</w:t>
      </w:r>
      <w:r>
        <w:rPr>
          <w:rFonts w:ascii="Arial" w:hAnsi="Arial" w:cs="Arial" w:eastAsia="Arial" w:hint="default"/>
        </w:rPr>
        <w:t>2</w:t>
      </w:r>
      <w:r>
        <w:rPr/>
        <w:t>）贵州新思维科技有限责任公司负债账面价值如下：</w:t>
      </w:r>
    </w:p>
    <w:p>
      <w:pPr>
        <w:spacing w:line="240" w:lineRule="auto" w:before="8"/>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4463"/>
        <w:gridCol w:w="5408"/>
      </w:tblGrid>
      <w:tr>
        <w:trPr>
          <w:trHeight w:val="497" w:hRule="exact"/>
        </w:trPr>
        <w:tc>
          <w:tcPr>
            <w:tcW w:w="446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49"/>
              <w:ind w:right="2042"/>
              <w:jc w:val="right"/>
              <w:rPr>
                <w:rFonts w:ascii="宋体" w:hAnsi="宋体" w:cs="宋体" w:eastAsia="宋体" w:hint="default"/>
                <w:sz w:val="18"/>
                <w:szCs w:val="18"/>
              </w:rPr>
            </w:pPr>
            <w:r>
              <w:rPr>
                <w:rFonts w:ascii="宋体" w:hAnsi="宋体" w:cs="宋体" w:eastAsia="宋体" w:hint="default"/>
                <w:sz w:val="18"/>
                <w:szCs w:val="18"/>
              </w:rPr>
              <w:t>项目</w:t>
            </w:r>
          </w:p>
        </w:tc>
        <w:tc>
          <w:tcPr>
            <w:tcW w:w="540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49"/>
              <w:ind w:right="4"/>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487" w:hRule="exact"/>
        </w:trPr>
        <w:tc>
          <w:tcPr>
            <w:tcW w:w="44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2"/>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54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13,483,500.87</w:t>
            </w:r>
          </w:p>
        </w:tc>
      </w:tr>
      <w:tr>
        <w:trPr>
          <w:trHeight w:val="485" w:hRule="exact"/>
        </w:trPr>
        <w:tc>
          <w:tcPr>
            <w:tcW w:w="44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54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48,349,961.69</w:t>
            </w:r>
          </w:p>
        </w:tc>
      </w:tr>
      <w:tr>
        <w:trPr>
          <w:trHeight w:val="485" w:hRule="exact"/>
        </w:trPr>
        <w:tc>
          <w:tcPr>
            <w:tcW w:w="44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54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383,701.39</w:t>
            </w:r>
          </w:p>
        </w:tc>
      </w:tr>
      <w:tr>
        <w:trPr>
          <w:trHeight w:val="485" w:hRule="exact"/>
        </w:trPr>
        <w:tc>
          <w:tcPr>
            <w:tcW w:w="44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0"/>
              <w:ind w:left="1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54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1,294,024.31</w:t>
            </w:r>
          </w:p>
        </w:tc>
      </w:tr>
      <w:tr>
        <w:trPr>
          <w:trHeight w:val="485" w:hRule="exact"/>
        </w:trPr>
        <w:tc>
          <w:tcPr>
            <w:tcW w:w="44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2"/>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54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52,197.85</w:t>
            </w:r>
          </w:p>
        </w:tc>
      </w:tr>
      <w:tr>
        <w:trPr>
          <w:trHeight w:val="485" w:hRule="exact"/>
        </w:trPr>
        <w:tc>
          <w:tcPr>
            <w:tcW w:w="44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2"/>
              <w:ind w:left="122" w:right="0"/>
              <w:jc w:val="left"/>
              <w:rPr>
                <w:rFonts w:ascii="宋体" w:hAnsi="宋体" w:cs="宋体" w:eastAsia="宋体" w:hint="default"/>
                <w:sz w:val="18"/>
                <w:szCs w:val="18"/>
              </w:rPr>
            </w:pPr>
            <w:r>
              <w:rPr>
                <w:rFonts w:ascii="宋体" w:hAnsi="宋体" w:cs="宋体" w:eastAsia="宋体" w:hint="default"/>
                <w:sz w:val="18"/>
                <w:szCs w:val="18"/>
              </w:rPr>
              <w:t>往来合并抵消</w:t>
            </w:r>
          </w:p>
        </w:tc>
        <w:tc>
          <w:tcPr>
            <w:tcW w:w="54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-214,858.20</w:t>
            </w:r>
          </w:p>
        </w:tc>
      </w:tr>
      <w:tr>
        <w:trPr>
          <w:trHeight w:val="499" w:hRule="exact"/>
        </w:trPr>
        <w:tc>
          <w:tcPr>
            <w:tcW w:w="446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right="2042"/>
              <w:jc w:val="right"/>
              <w:rPr>
                <w:rFonts w:ascii="宋体" w:hAnsi="宋体" w:cs="宋体" w:eastAsia="宋体" w:hint="default"/>
                <w:sz w:val="18"/>
                <w:szCs w:val="18"/>
              </w:rPr>
            </w:pPr>
            <w:r>
              <w:rPr>
                <w:rFonts w:ascii="宋体" w:hAnsi="宋体" w:cs="宋体" w:eastAsia="宋体" w:hint="default"/>
                <w:sz w:val="18"/>
                <w:szCs w:val="18"/>
              </w:rPr>
              <w:t>合计</w:t>
            </w:r>
          </w:p>
        </w:tc>
        <w:tc>
          <w:tcPr>
            <w:tcW w:w="540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63,348,527.91</w:t>
            </w:r>
          </w:p>
        </w:tc>
      </w:tr>
    </w:tbl>
    <w:p>
      <w:pPr>
        <w:pStyle w:val="Heading4"/>
        <w:tabs>
          <w:tab w:pos="1513" w:val="left" w:leader="none"/>
        </w:tabs>
        <w:spacing w:line="240" w:lineRule="auto"/>
        <w:ind w:left="694" w:right="309"/>
        <w:jc w:val="left"/>
        <w:rPr>
          <w:b w:val="0"/>
          <w:bCs w:val="0"/>
        </w:rPr>
      </w:pPr>
      <w:r>
        <w:rPr>
          <w:rFonts w:ascii="Arial" w:hAnsi="Arial" w:cs="Arial" w:eastAsia="Arial" w:hint="default"/>
          <w:spacing w:val="-1"/>
        </w:rPr>
        <w:t>23</w:t>
      </w:r>
      <w:r>
        <w:rPr>
          <w:spacing w:val="-1"/>
        </w:rPr>
        <w:t>、</w:t>
        <w:tab/>
      </w:r>
      <w:r>
        <w:rPr/>
        <w:t>长期应付职工薪酬</w:t>
      </w:r>
      <w:r>
        <w:rPr>
          <w:b w:val="0"/>
          <w:bCs w:val="0"/>
        </w:rPr>
      </w:r>
    </w:p>
    <w:p>
      <w:pPr>
        <w:spacing w:line="240" w:lineRule="auto" w:before="6"/>
        <w:rPr>
          <w:rFonts w:ascii="宋体" w:hAnsi="宋体" w:cs="宋体" w:eastAsia="宋体" w:hint="default"/>
          <w:b/>
          <w:bCs/>
          <w:sz w:val="2"/>
          <w:szCs w:val="2"/>
        </w:rPr>
      </w:pPr>
    </w:p>
    <w:tbl>
      <w:tblPr>
        <w:tblW w:w="0" w:type="auto"/>
        <w:jc w:val="left"/>
        <w:tblInd w:w="115" w:type="dxa"/>
        <w:tblLayout w:type="fixed"/>
        <w:tblCellMar>
          <w:top w:w="0" w:type="dxa"/>
          <w:left w:w="0" w:type="dxa"/>
          <w:bottom w:w="0" w:type="dxa"/>
          <w:right w:w="0" w:type="dxa"/>
        </w:tblCellMar>
        <w:tblLook w:val="01E0"/>
      </w:tblPr>
      <w:tblGrid>
        <w:gridCol w:w="3983"/>
        <w:gridCol w:w="2943"/>
        <w:gridCol w:w="2945"/>
      </w:tblGrid>
      <w:tr>
        <w:trPr>
          <w:trHeight w:val="499" w:hRule="exact"/>
        </w:trPr>
        <w:tc>
          <w:tcPr>
            <w:tcW w:w="398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2"/>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94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85" w:hRule="exact"/>
        </w:trPr>
        <w:tc>
          <w:tcPr>
            <w:tcW w:w="39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离职后福利</w:t>
            </w:r>
            <w:r>
              <w:rPr>
                <w:rFonts w:ascii="Arial" w:hAnsi="Arial" w:cs="Arial" w:eastAsia="Arial" w:hint="default"/>
                <w:sz w:val="18"/>
                <w:szCs w:val="18"/>
              </w:rPr>
              <w:t>-</w:t>
            </w:r>
            <w:r>
              <w:rPr>
                <w:rFonts w:ascii="宋体" w:hAnsi="宋体" w:cs="宋体" w:eastAsia="宋体" w:hint="default"/>
                <w:sz w:val="18"/>
                <w:szCs w:val="18"/>
              </w:rPr>
              <w:t>设定受益计划净负债</w:t>
            </w:r>
          </w:p>
        </w:tc>
        <w:tc>
          <w:tcPr>
            <w:tcW w:w="29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2"/>
                <w:sz w:val="18"/>
              </w:rPr>
              <w:t>1,178,591.11</w:t>
            </w:r>
          </w:p>
        </w:tc>
        <w:tc>
          <w:tcPr>
            <w:tcW w:w="2945" w:type="dxa"/>
            <w:tcBorders>
              <w:top w:val="single" w:sz="2" w:space="0" w:color="000000"/>
              <w:left w:val="single" w:sz="2" w:space="0" w:color="000000"/>
              <w:bottom w:val="single" w:sz="2" w:space="0" w:color="000000"/>
              <w:right w:val="nil" w:sz="6" w:space="0" w:color="auto"/>
            </w:tcBorders>
          </w:tcPr>
          <w:p>
            <w:pPr/>
          </w:p>
        </w:tc>
      </w:tr>
      <w:tr>
        <w:trPr>
          <w:trHeight w:val="497" w:hRule="exact"/>
        </w:trPr>
        <w:tc>
          <w:tcPr>
            <w:tcW w:w="398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50"/>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2"/>
                <w:sz w:val="18"/>
              </w:rPr>
              <w:t>1,178,591.11</w:t>
            </w:r>
          </w:p>
        </w:tc>
        <w:tc>
          <w:tcPr>
            <w:tcW w:w="2945" w:type="dxa"/>
            <w:tcBorders>
              <w:top w:val="single" w:sz="2" w:space="0" w:color="000000"/>
              <w:left w:val="single" w:sz="2" w:space="0" w:color="000000"/>
              <w:bottom w:val="single" w:sz="12" w:space="0" w:color="000000"/>
              <w:right w:val="nil" w:sz="6" w:space="0" w:color="auto"/>
            </w:tcBorders>
          </w:tcPr>
          <w:p>
            <w:pPr/>
          </w:p>
        </w:tc>
      </w:tr>
    </w:tbl>
    <w:p>
      <w:pPr>
        <w:pStyle w:val="Heading4"/>
        <w:tabs>
          <w:tab w:pos="1513" w:val="left" w:leader="none"/>
        </w:tabs>
        <w:spacing w:line="240" w:lineRule="auto"/>
        <w:ind w:left="694" w:right="309"/>
        <w:jc w:val="left"/>
        <w:rPr>
          <w:b w:val="0"/>
          <w:bCs w:val="0"/>
        </w:rPr>
      </w:pPr>
      <w:r>
        <w:rPr>
          <w:rFonts w:ascii="Arial" w:hAnsi="Arial" w:cs="Arial" w:eastAsia="Arial" w:hint="default"/>
          <w:spacing w:val="-1"/>
        </w:rPr>
        <w:t>24</w:t>
      </w:r>
      <w:r>
        <w:rPr>
          <w:spacing w:val="-1"/>
        </w:rPr>
        <w:t>、</w:t>
        <w:tab/>
      </w:r>
      <w:r>
        <w:rPr/>
        <w:t>递延收益</w:t>
      </w:r>
      <w:r>
        <w:rPr>
          <w:b w:val="0"/>
          <w:bCs w:val="0"/>
        </w:rPr>
      </w:r>
    </w:p>
    <w:p>
      <w:pPr>
        <w:spacing w:after="0" w:line="240" w:lineRule="auto"/>
        <w:jc w:val="left"/>
        <w:sectPr>
          <w:pgSz w:w="11910" w:h="16840"/>
          <w:pgMar w:header="745" w:footer="979" w:top="1060" w:bottom="1160" w:left="880" w:right="0"/>
        </w:sectPr>
      </w:pPr>
    </w:p>
    <w:p>
      <w:pPr>
        <w:spacing w:line="240" w:lineRule="auto" w:before="0"/>
        <w:rPr>
          <w:rFonts w:ascii="宋体" w:hAnsi="宋体" w:cs="宋体" w:eastAsia="宋体" w:hint="default"/>
          <w:b/>
          <w:bCs/>
          <w:sz w:val="20"/>
          <w:szCs w:val="20"/>
        </w:rPr>
      </w:pPr>
    </w:p>
    <w:p>
      <w:pPr>
        <w:pStyle w:val="BodyText"/>
        <w:spacing w:line="240" w:lineRule="auto" w:before="173"/>
        <w:ind w:left="592" w:right="1133"/>
        <w:jc w:val="left"/>
      </w:pPr>
      <w:r>
        <w:rPr/>
        <w:t>（</w:t>
      </w:r>
      <w:r>
        <w:rPr>
          <w:rFonts w:ascii="Arial" w:hAnsi="Arial" w:cs="Arial" w:eastAsia="Arial" w:hint="default"/>
        </w:rPr>
        <w:t>1</w:t>
      </w:r>
      <w:r>
        <w:rPr/>
        <w:t>）递延收益分类</w:t>
      </w:r>
    </w:p>
    <w:p>
      <w:pPr>
        <w:spacing w:line="240" w:lineRule="auto" w:before="8"/>
        <w:rPr>
          <w:rFonts w:ascii="宋体" w:hAnsi="宋体" w:cs="宋体" w:eastAsia="宋体" w:hint="default"/>
          <w:sz w:val="5"/>
          <w:szCs w:val="5"/>
        </w:rPr>
      </w:pPr>
    </w:p>
    <w:tbl>
      <w:tblPr>
        <w:tblW w:w="0" w:type="auto"/>
        <w:jc w:val="left"/>
        <w:tblInd w:w="580" w:type="dxa"/>
        <w:tblLayout w:type="fixed"/>
        <w:tblCellMar>
          <w:top w:w="0" w:type="dxa"/>
          <w:left w:w="0" w:type="dxa"/>
          <w:bottom w:w="0" w:type="dxa"/>
          <w:right w:w="0" w:type="dxa"/>
        </w:tblCellMar>
        <w:tblLook w:val="01E0"/>
      </w:tblPr>
      <w:tblGrid>
        <w:gridCol w:w="1116"/>
        <w:gridCol w:w="1587"/>
        <w:gridCol w:w="1584"/>
        <w:gridCol w:w="1587"/>
        <w:gridCol w:w="1587"/>
        <w:gridCol w:w="1279"/>
      </w:tblGrid>
      <w:tr>
        <w:trPr>
          <w:trHeight w:val="499" w:hRule="exact"/>
        </w:trPr>
        <w:tc>
          <w:tcPr>
            <w:tcW w:w="111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2"/>
              <w:ind w:left="38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58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left="431"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58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left="429"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58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left="432"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58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left="429"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27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right="2"/>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85" w:hRule="exact"/>
        </w:trPr>
        <w:tc>
          <w:tcPr>
            <w:tcW w:w="11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24" w:right="0"/>
              <w:jc w:val="left"/>
              <w:rPr>
                <w:rFonts w:ascii="Arial" w:hAnsi="Arial" w:cs="Arial" w:eastAsia="Arial" w:hint="default"/>
                <w:sz w:val="18"/>
                <w:szCs w:val="18"/>
              </w:rPr>
            </w:pPr>
            <w:r>
              <w:rPr>
                <w:rFonts w:ascii="Arial"/>
                <w:sz w:val="18"/>
              </w:rPr>
              <w:t>8,221,729.35</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10,346,200.00</w:t>
            </w:r>
          </w:p>
        </w:tc>
        <w:tc>
          <w:tcPr>
            <w:tcW w:w="15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10,592,929.35</w:t>
            </w:r>
          </w:p>
        </w:tc>
        <w:tc>
          <w:tcPr>
            <w:tcW w:w="15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24" w:right="0"/>
              <w:jc w:val="left"/>
              <w:rPr>
                <w:rFonts w:ascii="Arial" w:hAnsi="Arial" w:cs="Arial" w:eastAsia="Arial" w:hint="default"/>
                <w:sz w:val="18"/>
                <w:szCs w:val="18"/>
              </w:rPr>
            </w:pPr>
            <w:r>
              <w:rPr>
                <w:rFonts w:ascii="Arial"/>
                <w:sz w:val="18"/>
              </w:rPr>
              <w:t>7,975,000.00</w:t>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2"/>
              <w:jc w:val="center"/>
              <w:rPr>
                <w:rFonts w:ascii="宋体" w:hAnsi="宋体" w:cs="宋体" w:eastAsia="宋体" w:hint="default"/>
                <w:sz w:val="22"/>
                <w:szCs w:val="22"/>
              </w:rPr>
            </w:pPr>
            <w:r>
              <w:rPr>
                <w:rFonts w:ascii="宋体" w:hAnsi="宋体" w:cs="宋体" w:eastAsia="宋体" w:hint="default"/>
                <w:w w:val="100"/>
                <w:sz w:val="22"/>
                <w:szCs w:val="22"/>
              </w:rPr>
              <w:t>注</w:t>
            </w:r>
          </w:p>
        </w:tc>
      </w:tr>
      <w:tr>
        <w:trPr>
          <w:trHeight w:val="499" w:hRule="exact"/>
        </w:trPr>
        <w:tc>
          <w:tcPr>
            <w:tcW w:w="111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38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8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24" w:right="0"/>
              <w:jc w:val="left"/>
              <w:rPr>
                <w:rFonts w:ascii="Arial" w:hAnsi="Arial" w:cs="Arial" w:eastAsia="Arial" w:hint="default"/>
                <w:sz w:val="18"/>
                <w:szCs w:val="18"/>
              </w:rPr>
            </w:pPr>
            <w:r>
              <w:rPr>
                <w:rFonts w:ascii="Arial"/>
                <w:sz w:val="18"/>
              </w:rPr>
              <w:t>8,221,729.35</w:t>
            </w:r>
          </w:p>
        </w:tc>
        <w:tc>
          <w:tcPr>
            <w:tcW w:w="15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10,346,200.00</w:t>
            </w:r>
          </w:p>
        </w:tc>
        <w:tc>
          <w:tcPr>
            <w:tcW w:w="158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10,592,929.35</w:t>
            </w:r>
          </w:p>
        </w:tc>
        <w:tc>
          <w:tcPr>
            <w:tcW w:w="158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24" w:right="0"/>
              <w:jc w:val="left"/>
              <w:rPr>
                <w:rFonts w:ascii="Arial" w:hAnsi="Arial" w:cs="Arial" w:eastAsia="Arial" w:hint="default"/>
                <w:sz w:val="18"/>
                <w:szCs w:val="18"/>
              </w:rPr>
            </w:pPr>
            <w:r>
              <w:rPr>
                <w:rFonts w:ascii="Arial"/>
                <w:sz w:val="18"/>
              </w:rPr>
              <w:t>7,975,000.00</w:t>
            </w:r>
          </w:p>
        </w:tc>
        <w:tc>
          <w:tcPr>
            <w:tcW w:w="1279" w:type="dxa"/>
            <w:tcBorders>
              <w:top w:val="single" w:sz="2" w:space="0" w:color="000000"/>
              <w:left w:val="single" w:sz="2" w:space="0" w:color="000000"/>
              <w:bottom w:val="single" w:sz="12" w:space="0" w:color="000000"/>
              <w:right w:val="nil" w:sz="6" w:space="0" w:color="auto"/>
            </w:tcBorders>
          </w:tcPr>
          <w:p>
            <w:pPr/>
          </w:p>
        </w:tc>
      </w:tr>
    </w:tbl>
    <w:p>
      <w:pPr>
        <w:spacing w:line="240" w:lineRule="auto" w:before="5"/>
        <w:rPr>
          <w:rFonts w:ascii="宋体" w:hAnsi="宋体" w:cs="宋体" w:eastAsia="宋体" w:hint="default"/>
          <w:sz w:val="5"/>
          <w:szCs w:val="5"/>
        </w:rPr>
      </w:pPr>
    </w:p>
    <w:p>
      <w:pPr>
        <w:pStyle w:val="BodyText"/>
        <w:spacing w:line="240" w:lineRule="auto" w:before="32"/>
        <w:ind w:left="592" w:right="1133"/>
        <w:jc w:val="left"/>
      </w:pPr>
      <w:r>
        <w:rPr/>
        <w:t>（</w:t>
      </w:r>
      <w:r>
        <w:rPr>
          <w:rFonts w:ascii="Arial" w:hAnsi="Arial" w:cs="Arial" w:eastAsia="Arial" w:hint="default"/>
        </w:rPr>
        <w:t>2</w:t>
      </w:r>
      <w:r>
        <w:rPr/>
        <w:t>）政府补助项目</w:t>
      </w:r>
    </w:p>
    <w:p>
      <w:pPr>
        <w:spacing w:line="240" w:lineRule="auto" w:before="8"/>
        <w:rPr>
          <w:rFonts w:ascii="宋体" w:hAnsi="宋体" w:cs="宋体" w:eastAsia="宋体" w:hint="default"/>
          <w:sz w:val="5"/>
          <w:szCs w:val="5"/>
        </w:rPr>
      </w:pPr>
    </w:p>
    <w:tbl>
      <w:tblPr>
        <w:tblW w:w="0" w:type="auto"/>
        <w:jc w:val="left"/>
        <w:tblInd w:w="580" w:type="dxa"/>
        <w:tblLayout w:type="fixed"/>
        <w:tblCellMar>
          <w:top w:w="0" w:type="dxa"/>
          <w:left w:w="0" w:type="dxa"/>
          <w:bottom w:w="0" w:type="dxa"/>
          <w:right w:w="0" w:type="dxa"/>
        </w:tblCellMar>
        <w:tblLook w:val="01E0"/>
      </w:tblPr>
      <w:tblGrid>
        <w:gridCol w:w="2818"/>
        <w:gridCol w:w="1416"/>
        <w:gridCol w:w="1560"/>
        <w:gridCol w:w="1418"/>
        <w:gridCol w:w="1527"/>
      </w:tblGrid>
      <w:tr>
        <w:trPr>
          <w:trHeight w:val="898" w:hRule="exact"/>
        </w:trPr>
        <w:tc>
          <w:tcPr>
            <w:tcW w:w="281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878" w:right="0"/>
              <w:jc w:val="left"/>
              <w:rPr>
                <w:rFonts w:ascii="宋体" w:hAnsi="宋体" w:cs="宋体" w:eastAsia="宋体" w:hint="default"/>
                <w:sz w:val="18"/>
                <w:szCs w:val="18"/>
              </w:rPr>
            </w:pPr>
            <w:r>
              <w:rPr>
                <w:rFonts w:ascii="宋体" w:hAnsi="宋体" w:cs="宋体" w:eastAsia="宋体" w:hint="default"/>
                <w:sz w:val="18"/>
                <w:szCs w:val="18"/>
              </w:rPr>
              <w:t>政府补助项目</w:t>
            </w:r>
          </w:p>
        </w:tc>
        <w:tc>
          <w:tcPr>
            <w:tcW w:w="14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405" w:lineRule="auto" w:before="149"/>
              <w:ind w:left="689" w:right="144" w:hanging="541"/>
              <w:jc w:val="left"/>
              <w:rPr>
                <w:rFonts w:ascii="宋体" w:hAnsi="宋体" w:cs="宋体" w:eastAsia="宋体" w:hint="default"/>
                <w:sz w:val="18"/>
                <w:szCs w:val="18"/>
              </w:rPr>
            </w:pPr>
            <w:r>
              <w:rPr>
                <w:rFonts w:ascii="宋体" w:hAnsi="宋体" w:cs="宋体" w:eastAsia="宋体" w:hint="default"/>
                <w:sz w:val="18"/>
                <w:szCs w:val="18"/>
              </w:rPr>
              <w:t>本年新增补助金 额</w:t>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405" w:lineRule="auto" w:before="149"/>
              <w:ind w:left="256" w:right="167" w:hanging="92"/>
              <w:jc w:val="left"/>
              <w:rPr>
                <w:rFonts w:ascii="宋体" w:hAnsi="宋体" w:cs="宋体" w:eastAsia="宋体" w:hint="default"/>
                <w:sz w:val="18"/>
                <w:szCs w:val="18"/>
              </w:rPr>
            </w:pPr>
            <w:r>
              <w:rPr>
                <w:rFonts w:ascii="宋体" w:hAnsi="宋体" w:cs="宋体" w:eastAsia="宋体" w:hint="default"/>
                <w:sz w:val="18"/>
                <w:szCs w:val="18"/>
              </w:rPr>
              <w:t>本年计入营业 外收入金额</w:t>
            </w:r>
          </w:p>
        </w:tc>
        <w:tc>
          <w:tcPr>
            <w:tcW w:w="1527" w:type="dxa"/>
            <w:tcBorders>
              <w:top w:val="single" w:sz="12" w:space="0" w:color="000000"/>
              <w:left w:val="single" w:sz="2" w:space="0" w:color="000000"/>
              <w:bottom w:val="single" w:sz="2" w:space="0" w:color="000000"/>
              <w:right w:val="nil" w:sz="6" w:space="0" w:color="auto"/>
            </w:tcBorders>
          </w:tcPr>
          <w:p>
            <w:pPr>
              <w:pStyle w:val="TableParagraph"/>
              <w:spacing w:line="405" w:lineRule="auto" w:before="149"/>
              <w:ind w:left="490" w:right="132" w:hanging="360"/>
              <w:jc w:val="left"/>
              <w:rPr>
                <w:rFonts w:ascii="宋体" w:hAnsi="宋体" w:cs="宋体" w:eastAsia="宋体" w:hint="default"/>
                <w:sz w:val="18"/>
                <w:szCs w:val="18"/>
              </w:rPr>
            </w:pPr>
            <w:r>
              <w:rPr>
                <w:rFonts w:ascii="宋体" w:hAnsi="宋体" w:cs="宋体" w:eastAsia="宋体" w:hint="default"/>
                <w:sz w:val="18"/>
                <w:szCs w:val="18"/>
              </w:rPr>
              <w:t>本年计入其他收 益金额</w:t>
            </w:r>
          </w:p>
        </w:tc>
      </w:tr>
      <w:tr>
        <w:trPr>
          <w:trHeight w:val="709" w:hRule="exact"/>
        </w:trPr>
        <w:tc>
          <w:tcPr>
            <w:tcW w:w="2818" w:type="dxa"/>
            <w:tcBorders>
              <w:top w:val="single" w:sz="2" w:space="0" w:color="000000"/>
              <w:left w:val="nil" w:sz="6" w:space="0" w:color="auto"/>
              <w:bottom w:val="single" w:sz="2" w:space="0" w:color="000000"/>
              <w:right w:val="single" w:sz="2" w:space="0" w:color="000000"/>
            </w:tcBorders>
          </w:tcPr>
          <w:p>
            <w:pPr>
              <w:pStyle w:val="TableParagraph"/>
              <w:spacing w:line="314" w:lineRule="auto" w:before="49"/>
              <w:ind w:left="124" w:right="102"/>
              <w:jc w:val="left"/>
              <w:rPr>
                <w:rFonts w:ascii="宋体" w:hAnsi="宋体" w:cs="宋体" w:eastAsia="宋体" w:hint="default"/>
                <w:sz w:val="18"/>
                <w:szCs w:val="18"/>
              </w:rPr>
            </w:pPr>
            <w:r>
              <w:rPr>
                <w:rFonts w:ascii="宋体" w:hAnsi="宋体" w:cs="宋体" w:eastAsia="宋体" w:hint="default"/>
                <w:spacing w:val="4"/>
                <w:sz w:val="18"/>
                <w:szCs w:val="18"/>
              </w:rPr>
              <w:t>研发中心综合楼（技术中心与集</w:t>
            </w:r>
            <w:r>
              <w:rPr>
                <w:rFonts w:ascii="宋体" w:hAnsi="宋体" w:cs="宋体" w:eastAsia="宋体" w:hint="default"/>
                <w:sz w:val="18"/>
                <w:szCs w:val="18"/>
              </w:rPr>
              <w:t> 团数据中心）项目</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5"/>
              <w:jc w:val="right"/>
              <w:rPr>
                <w:rFonts w:ascii="Arial" w:hAnsi="Arial" w:cs="Arial" w:eastAsia="Arial" w:hint="default"/>
                <w:sz w:val="18"/>
                <w:szCs w:val="18"/>
              </w:rPr>
            </w:pPr>
            <w:r>
              <w:rPr>
                <w:rFonts w:ascii="Arial"/>
                <w:spacing w:val="-1"/>
                <w:sz w:val="18"/>
              </w:rPr>
              <w:t>6,830,000.00</w:t>
            </w:r>
          </w:p>
        </w:tc>
        <w:tc>
          <w:tcPr>
            <w:tcW w:w="1560"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1527" w:type="dxa"/>
            <w:tcBorders>
              <w:top w:val="single" w:sz="2" w:space="0" w:color="000000"/>
              <w:left w:val="single" w:sz="2" w:space="0" w:color="000000"/>
              <w:bottom w:val="single" w:sz="2" w:space="0" w:color="000000"/>
              <w:right w:val="nil" w:sz="6" w:space="0" w:color="auto"/>
            </w:tcBorders>
          </w:tcPr>
          <w:p>
            <w:pPr/>
          </w:p>
        </w:tc>
      </w:tr>
      <w:tr>
        <w:trPr>
          <w:trHeight w:val="708" w:hRule="exact"/>
        </w:trPr>
        <w:tc>
          <w:tcPr>
            <w:tcW w:w="2818" w:type="dxa"/>
            <w:tcBorders>
              <w:top w:val="single" w:sz="2" w:space="0" w:color="000000"/>
              <w:left w:val="nil" w:sz="6" w:space="0" w:color="auto"/>
              <w:bottom w:val="single" w:sz="2" w:space="0" w:color="000000"/>
              <w:right w:val="single" w:sz="2" w:space="0" w:color="000000"/>
            </w:tcBorders>
          </w:tcPr>
          <w:p>
            <w:pPr>
              <w:pStyle w:val="TableParagraph"/>
              <w:spacing w:line="316" w:lineRule="auto" w:before="49"/>
              <w:ind w:left="124" w:right="102"/>
              <w:jc w:val="left"/>
              <w:rPr>
                <w:rFonts w:ascii="宋体" w:hAnsi="宋体" w:cs="宋体" w:eastAsia="宋体" w:hint="default"/>
                <w:sz w:val="18"/>
                <w:szCs w:val="18"/>
              </w:rPr>
            </w:pPr>
            <w:r>
              <w:rPr>
                <w:rFonts w:ascii="宋体" w:hAnsi="宋体" w:cs="宋体" w:eastAsia="宋体" w:hint="default"/>
                <w:spacing w:val="4"/>
                <w:sz w:val="18"/>
                <w:szCs w:val="18"/>
              </w:rPr>
              <w:t>基于航运物流产业的区块链技术</w:t>
            </w:r>
            <w:r>
              <w:rPr>
                <w:rFonts w:ascii="宋体" w:hAnsi="宋体" w:cs="宋体" w:eastAsia="宋体" w:hint="default"/>
                <w:sz w:val="18"/>
                <w:szCs w:val="18"/>
              </w:rPr>
              <w:t> 研究项目</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1,316,800.00</w:t>
            </w:r>
          </w:p>
        </w:tc>
        <w:tc>
          <w:tcPr>
            <w:tcW w:w="1560"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15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1,316,800.00</w:t>
            </w:r>
          </w:p>
        </w:tc>
      </w:tr>
      <w:tr>
        <w:trPr>
          <w:trHeight w:val="710" w:hRule="exact"/>
        </w:trPr>
        <w:tc>
          <w:tcPr>
            <w:tcW w:w="2818" w:type="dxa"/>
            <w:tcBorders>
              <w:top w:val="single" w:sz="2" w:space="0" w:color="000000"/>
              <w:left w:val="nil" w:sz="6" w:space="0" w:color="auto"/>
              <w:bottom w:val="single" w:sz="2" w:space="0" w:color="000000"/>
              <w:right w:val="single" w:sz="2" w:space="0" w:color="000000"/>
            </w:tcBorders>
          </w:tcPr>
          <w:p>
            <w:pPr>
              <w:pStyle w:val="TableParagraph"/>
              <w:spacing w:line="314" w:lineRule="auto" w:before="51"/>
              <w:ind w:left="124" w:right="102"/>
              <w:jc w:val="left"/>
              <w:rPr>
                <w:rFonts w:ascii="宋体" w:hAnsi="宋体" w:cs="宋体" w:eastAsia="宋体" w:hint="default"/>
                <w:sz w:val="18"/>
                <w:szCs w:val="18"/>
              </w:rPr>
            </w:pPr>
            <w:r>
              <w:rPr>
                <w:rFonts w:ascii="宋体" w:hAnsi="宋体" w:cs="宋体" w:eastAsia="宋体" w:hint="default"/>
                <w:spacing w:val="4"/>
                <w:sz w:val="18"/>
                <w:szCs w:val="18"/>
              </w:rPr>
              <w:t>智慧航运关键技术研究与创新运</w:t>
            </w:r>
            <w:r>
              <w:rPr>
                <w:rFonts w:ascii="宋体" w:hAnsi="宋体" w:cs="宋体" w:eastAsia="宋体" w:hint="default"/>
                <w:sz w:val="18"/>
                <w:szCs w:val="18"/>
              </w:rPr>
              <w:t> 用</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5"/>
              <w:jc w:val="right"/>
              <w:rPr>
                <w:rFonts w:ascii="Arial" w:hAnsi="Arial" w:cs="Arial" w:eastAsia="Arial" w:hint="default"/>
                <w:sz w:val="18"/>
                <w:szCs w:val="18"/>
              </w:rPr>
            </w:pPr>
            <w:r>
              <w:rPr>
                <w:rFonts w:ascii="Arial"/>
                <w:spacing w:val="-1"/>
                <w:sz w:val="18"/>
              </w:rPr>
              <w:t>74,929.35</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1,200,000.00</w:t>
            </w:r>
          </w:p>
        </w:tc>
        <w:tc>
          <w:tcPr>
            <w:tcW w:w="1418" w:type="dxa"/>
            <w:tcBorders>
              <w:top w:val="single" w:sz="2" w:space="0" w:color="000000"/>
              <w:left w:val="single" w:sz="2" w:space="0" w:color="000000"/>
              <w:bottom w:val="single" w:sz="2" w:space="0" w:color="000000"/>
              <w:right w:val="single" w:sz="2" w:space="0" w:color="000000"/>
            </w:tcBorders>
          </w:tcPr>
          <w:p>
            <w:pPr/>
          </w:p>
        </w:tc>
        <w:tc>
          <w:tcPr>
            <w:tcW w:w="15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1,274,929.35</w:t>
            </w:r>
          </w:p>
        </w:tc>
      </w:tr>
      <w:tr>
        <w:trPr>
          <w:trHeight w:val="485" w:hRule="exact"/>
        </w:trPr>
        <w:tc>
          <w:tcPr>
            <w:tcW w:w="28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2"/>
              <w:ind w:left="124"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5"/>
                <w:sz w:val="18"/>
                <w:szCs w:val="18"/>
              </w:rPr>
              <w:t> </w:t>
            </w:r>
            <w:r>
              <w:rPr>
                <w:rFonts w:ascii="宋体" w:hAnsi="宋体" w:cs="宋体" w:eastAsia="宋体" w:hint="default"/>
                <w:sz w:val="18"/>
                <w:szCs w:val="18"/>
              </w:rPr>
              <w:t>第一批信息化专项拨款</w:t>
            </w:r>
          </w:p>
        </w:tc>
        <w:tc>
          <w:tcPr>
            <w:tcW w:w="1416"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300,000.00</w:t>
            </w:r>
          </w:p>
        </w:tc>
        <w:tc>
          <w:tcPr>
            <w:tcW w:w="1418" w:type="dxa"/>
            <w:tcBorders>
              <w:top w:val="single" w:sz="2" w:space="0" w:color="000000"/>
              <w:left w:val="single" w:sz="2" w:space="0" w:color="000000"/>
              <w:bottom w:val="single" w:sz="2" w:space="0" w:color="000000"/>
              <w:right w:val="single" w:sz="2" w:space="0" w:color="000000"/>
            </w:tcBorders>
          </w:tcPr>
          <w:p>
            <w:pPr/>
          </w:p>
        </w:tc>
        <w:tc>
          <w:tcPr>
            <w:tcW w:w="1527"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28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2"/>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第三批信息化专项拨款</w:t>
            </w:r>
          </w:p>
        </w:tc>
        <w:tc>
          <w:tcPr>
            <w:tcW w:w="1416"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845,000.00</w:t>
            </w:r>
          </w:p>
        </w:tc>
        <w:tc>
          <w:tcPr>
            <w:tcW w:w="1418" w:type="dxa"/>
            <w:tcBorders>
              <w:top w:val="single" w:sz="2" w:space="0" w:color="000000"/>
              <w:left w:val="single" w:sz="2" w:space="0" w:color="000000"/>
              <w:bottom w:val="single" w:sz="2" w:space="0" w:color="000000"/>
              <w:right w:val="single" w:sz="2" w:space="0" w:color="000000"/>
            </w:tcBorders>
          </w:tcPr>
          <w:p>
            <w:pPr/>
          </w:p>
        </w:tc>
        <w:tc>
          <w:tcPr>
            <w:tcW w:w="1527"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28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2"/>
              <w:ind w:left="124" w:right="0"/>
              <w:jc w:val="left"/>
              <w:rPr>
                <w:rFonts w:ascii="宋体" w:hAnsi="宋体" w:cs="宋体" w:eastAsia="宋体" w:hint="default"/>
                <w:sz w:val="18"/>
                <w:szCs w:val="18"/>
              </w:rPr>
            </w:pPr>
            <w:r>
              <w:rPr>
                <w:rFonts w:ascii="宋体" w:hAnsi="宋体" w:cs="宋体" w:eastAsia="宋体" w:hint="default"/>
                <w:sz w:val="18"/>
                <w:szCs w:val="18"/>
              </w:rPr>
              <w:t>航运互联网综合服务平台项目</w:t>
            </w:r>
          </w:p>
        </w:tc>
        <w:tc>
          <w:tcPr>
            <w:tcW w:w="1416"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8,001,200.00</w:t>
            </w:r>
          </w:p>
        </w:tc>
        <w:tc>
          <w:tcPr>
            <w:tcW w:w="1418" w:type="dxa"/>
            <w:tcBorders>
              <w:top w:val="single" w:sz="2" w:space="0" w:color="000000"/>
              <w:left w:val="single" w:sz="2" w:space="0" w:color="000000"/>
              <w:bottom w:val="single" w:sz="2" w:space="0" w:color="000000"/>
              <w:right w:val="single" w:sz="2" w:space="0" w:color="000000"/>
            </w:tcBorders>
          </w:tcPr>
          <w:p>
            <w:pPr/>
          </w:p>
        </w:tc>
        <w:tc>
          <w:tcPr>
            <w:tcW w:w="15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8,001,200.00</w:t>
            </w:r>
          </w:p>
        </w:tc>
      </w:tr>
      <w:tr>
        <w:trPr>
          <w:trHeight w:val="499" w:hRule="exact"/>
        </w:trPr>
        <w:tc>
          <w:tcPr>
            <w:tcW w:w="281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8,221,729.35</w:t>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10,346,200.00</w:t>
            </w:r>
          </w:p>
        </w:tc>
        <w:tc>
          <w:tcPr>
            <w:tcW w:w="1418" w:type="dxa"/>
            <w:tcBorders>
              <w:top w:val="single" w:sz="2" w:space="0" w:color="000000"/>
              <w:left w:val="single" w:sz="2" w:space="0" w:color="000000"/>
              <w:bottom w:val="single" w:sz="12" w:space="0" w:color="000000"/>
              <w:right w:val="single" w:sz="2" w:space="0" w:color="000000"/>
            </w:tcBorders>
          </w:tcPr>
          <w:p>
            <w:pPr/>
          </w:p>
        </w:tc>
        <w:tc>
          <w:tcPr>
            <w:tcW w:w="152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10,592,929.35</w:t>
            </w:r>
          </w:p>
        </w:tc>
      </w:tr>
    </w:tbl>
    <w:p>
      <w:pPr>
        <w:spacing w:line="240" w:lineRule="auto" w:before="5"/>
        <w:rPr>
          <w:rFonts w:ascii="宋体" w:hAnsi="宋体" w:cs="宋体" w:eastAsia="宋体" w:hint="default"/>
          <w:sz w:val="5"/>
          <w:szCs w:val="5"/>
        </w:rPr>
      </w:pPr>
    </w:p>
    <w:p>
      <w:pPr>
        <w:pStyle w:val="BodyText"/>
        <w:spacing w:line="240" w:lineRule="auto" w:before="32"/>
        <w:ind w:left="592" w:right="1133"/>
        <w:jc w:val="left"/>
      </w:pPr>
      <w:r>
        <w:rPr/>
        <w:t>（续）</w:t>
      </w:r>
    </w:p>
    <w:p>
      <w:pPr>
        <w:spacing w:line="240" w:lineRule="auto" w:before="11"/>
        <w:rPr>
          <w:rFonts w:ascii="宋体" w:hAnsi="宋体" w:cs="宋体" w:eastAsia="宋体" w:hint="default"/>
          <w:sz w:val="6"/>
          <w:szCs w:val="6"/>
        </w:rPr>
      </w:pPr>
    </w:p>
    <w:tbl>
      <w:tblPr>
        <w:tblW w:w="0" w:type="auto"/>
        <w:jc w:val="left"/>
        <w:tblInd w:w="580" w:type="dxa"/>
        <w:tblLayout w:type="fixed"/>
        <w:tblCellMar>
          <w:top w:w="0" w:type="dxa"/>
          <w:left w:w="0" w:type="dxa"/>
          <w:bottom w:w="0" w:type="dxa"/>
          <w:right w:w="0" w:type="dxa"/>
        </w:tblCellMar>
        <w:tblLook w:val="01E0"/>
      </w:tblPr>
      <w:tblGrid>
        <w:gridCol w:w="3526"/>
        <w:gridCol w:w="1277"/>
        <w:gridCol w:w="1133"/>
        <w:gridCol w:w="1419"/>
        <w:gridCol w:w="1385"/>
      </w:tblGrid>
      <w:tr>
        <w:trPr>
          <w:trHeight w:val="898" w:hRule="exact"/>
        </w:trPr>
        <w:tc>
          <w:tcPr>
            <w:tcW w:w="352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政府补助项目</w:t>
            </w:r>
          </w:p>
        </w:tc>
        <w:tc>
          <w:tcPr>
            <w:tcW w:w="1277" w:type="dxa"/>
            <w:tcBorders>
              <w:top w:val="single" w:sz="12" w:space="0" w:color="000000"/>
              <w:left w:val="single" w:sz="2" w:space="0" w:color="000000"/>
              <w:bottom w:val="single" w:sz="2" w:space="0" w:color="000000"/>
              <w:right w:val="single" w:sz="2" w:space="0" w:color="000000"/>
            </w:tcBorders>
          </w:tcPr>
          <w:p>
            <w:pPr>
              <w:pStyle w:val="TableParagraph"/>
              <w:spacing w:line="400" w:lineRule="exact" w:before="40"/>
              <w:ind w:left="184" w:right="185"/>
              <w:jc w:val="left"/>
              <w:rPr>
                <w:rFonts w:ascii="宋体" w:hAnsi="宋体" w:cs="宋体" w:eastAsia="宋体" w:hint="default"/>
                <w:sz w:val="18"/>
                <w:szCs w:val="18"/>
              </w:rPr>
            </w:pPr>
            <w:r>
              <w:rPr>
                <w:rFonts w:ascii="宋体" w:hAnsi="宋体" w:cs="宋体" w:eastAsia="宋体" w:hint="default"/>
                <w:sz w:val="18"/>
                <w:szCs w:val="18"/>
              </w:rPr>
              <w:t>本年冲减成 本费用金额</w:t>
            </w:r>
          </w:p>
        </w:tc>
        <w:tc>
          <w:tcPr>
            <w:tcW w:w="113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4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385" w:type="dxa"/>
            <w:tcBorders>
              <w:top w:val="single" w:sz="12" w:space="0" w:color="000000"/>
              <w:left w:val="single" w:sz="2" w:space="0" w:color="000000"/>
              <w:bottom w:val="single" w:sz="2" w:space="0" w:color="000000"/>
              <w:right w:val="nil" w:sz="6" w:space="0" w:color="auto"/>
            </w:tcBorders>
          </w:tcPr>
          <w:p>
            <w:pPr>
              <w:pStyle w:val="TableParagraph"/>
              <w:spacing w:line="386" w:lineRule="auto" w:before="149"/>
              <w:ind w:left="328" w:right="125" w:hanging="20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Arial" w:hAnsi="Arial" w:cs="Arial" w:eastAsia="Arial" w:hint="default"/>
                <w:sz w:val="18"/>
                <w:szCs w:val="18"/>
              </w:rPr>
              <w:t>/</w:t>
            </w:r>
            <w:r>
              <w:rPr>
                <w:rFonts w:ascii="宋体" w:hAnsi="宋体" w:cs="宋体" w:eastAsia="宋体" w:hint="default"/>
                <w:sz w:val="18"/>
                <w:szCs w:val="18"/>
              </w:rPr>
              <w:t>与 收益相关</w:t>
            </w:r>
          </w:p>
        </w:tc>
      </w:tr>
      <w:tr>
        <w:trPr>
          <w:trHeight w:val="708" w:hRule="exact"/>
        </w:trPr>
        <w:tc>
          <w:tcPr>
            <w:tcW w:w="3526" w:type="dxa"/>
            <w:tcBorders>
              <w:top w:val="single" w:sz="2" w:space="0" w:color="000000"/>
              <w:left w:val="nil" w:sz="6" w:space="0" w:color="auto"/>
              <w:bottom w:val="single" w:sz="2" w:space="0" w:color="000000"/>
              <w:right w:val="single" w:sz="2" w:space="0" w:color="000000"/>
            </w:tcBorders>
          </w:tcPr>
          <w:p>
            <w:pPr>
              <w:pStyle w:val="TableParagraph"/>
              <w:spacing w:line="316" w:lineRule="auto" w:before="49"/>
              <w:ind w:left="124" w:right="110"/>
              <w:jc w:val="left"/>
              <w:rPr>
                <w:rFonts w:ascii="宋体" w:hAnsi="宋体" w:cs="宋体" w:eastAsia="宋体" w:hint="default"/>
                <w:sz w:val="18"/>
                <w:szCs w:val="18"/>
              </w:rPr>
            </w:pPr>
            <w:r>
              <w:rPr>
                <w:rFonts w:ascii="宋体" w:hAnsi="宋体" w:cs="宋体" w:eastAsia="宋体" w:hint="default"/>
                <w:spacing w:val="2"/>
                <w:sz w:val="18"/>
                <w:szCs w:val="18"/>
              </w:rPr>
              <w:t>研发中心综合楼（技术中心与集团数据中</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心）项目</w:t>
            </w:r>
          </w:p>
        </w:tc>
        <w:tc>
          <w:tcPr>
            <w:tcW w:w="1277" w:type="dxa"/>
            <w:tcBorders>
              <w:top w:val="single" w:sz="2" w:space="0" w:color="000000"/>
              <w:left w:val="single" w:sz="2" w:space="0" w:color="000000"/>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1"/>
              <w:jc w:val="right"/>
              <w:rPr>
                <w:rFonts w:ascii="Arial" w:hAnsi="Arial" w:cs="Arial" w:eastAsia="Arial" w:hint="default"/>
                <w:sz w:val="18"/>
                <w:szCs w:val="18"/>
              </w:rPr>
            </w:pPr>
            <w:r>
              <w:rPr>
                <w:rFonts w:ascii="Arial"/>
                <w:spacing w:val="-1"/>
                <w:sz w:val="18"/>
              </w:rPr>
              <w:t>6,830,000.00</w:t>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20"/>
                <w:szCs w:val="20"/>
              </w:rPr>
            </w:pPr>
            <w:r>
              <w:rPr>
                <w:rFonts w:ascii="宋体" w:hAnsi="宋体" w:cs="宋体" w:eastAsia="宋体" w:hint="default"/>
                <w:sz w:val="20"/>
                <w:szCs w:val="20"/>
              </w:rPr>
              <w:t>与资产相关</w:t>
            </w:r>
          </w:p>
        </w:tc>
      </w:tr>
      <w:tr>
        <w:trPr>
          <w:trHeight w:val="485" w:hRule="exact"/>
        </w:trPr>
        <w:tc>
          <w:tcPr>
            <w:tcW w:w="3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4" w:right="0"/>
              <w:jc w:val="left"/>
              <w:rPr>
                <w:rFonts w:ascii="宋体" w:hAnsi="宋体" w:cs="宋体" w:eastAsia="宋体" w:hint="default"/>
                <w:sz w:val="18"/>
                <w:szCs w:val="18"/>
              </w:rPr>
            </w:pPr>
            <w:r>
              <w:rPr>
                <w:rFonts w:ascii="宋体" w:hAnsi="宋体" w:cs="宋体" w:eastAsia="宋体" w:hint="default"/>
                <w:sz w:val="18"/>
                <w:szCs w:val="18"/>
              </w:rPr>
              <w:t>基于航运物流产业的区块链技术研究项目</w:t>
            </w:r>
          </w:p>
        </w:tc>
        <w:tc>
          <w:tcPr>
            <w:tcW w:w="1277" w:type="dxa"/>
            <w:tcBorders>
              <w:top w:val="single" w:sz="2" w:space="0" w:color="000000"/>
              <w:left w:val="single" w:sz="2" w:space="0" w:color="000000"/>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85" w:hRule="exact"/>
        </w:trPr>
        <w:tc>
          <w:tcPr>
            <w:tcW w:w="3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4" w:right="0"/>
              <w:jc w:val="left"/>
              <w:rPr>
                <w:rFonts w:ascii="宋体" w:hAnsi="宋体" w:cs="宋体" w:eastAsia="宋体" w:hint="default"/>
                <w:sz w:val="18"/>
                <w:szCs w:val="18"/>
              </w:rPr>
            </w:pPr>
            <w:r>
              <w:rPr>
                <w:rFonts w:ascii="宋体" w:hAnsi="宋体" w:cs="宋体" w:eastAsia="宋体" w:hint="default"/>
                <w:sz w:val="18"/>
                <w:szCs w:val="18"/>
              </w:rPr>
              <w:t>智慧航运关键技术研究与创新运用</w:t>
            </w:r>
          </w:p>
        </w:tc>
        <w:tc>
          <w:tcPr>
            <w:tcW w:w="1277" w:type="dxa"/>
            <w:tcBorders>
              <w:top w:val="single" w:sz="2" w:space="0" w:color="000000"/>
              <w:left w:val="single" w:sz="2" w:space="0" w:color="000000"/>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87" w:hRule="exact"/>
        </w:trPr>
        <w:tc>
          <w:tcPr>
            <w:tcW w:w="3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4"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5"/>
                <w:sz w:val="18"/>
                <w:szCs w:val="18"/>
              </w:rPr>
              <w:t> </w:t>
            </w:r>
            <w:r>
              <w:rPr>
                <w:rFonts w:ascii="宋体" w:hAnsi="宋体" w:cs="宋体" w:eastAsia="宋体" w:hint="default"/>
                <w:sz w:val="18"/>
                <w:szCs w:val="18"/>
              </w:rPr>
              <w:t>第一批信息化专项拨款</w:t>
            </w:r>
          </w:p>
        </w:tc>
        <w:tc>
          <w:tcPr>
            <w:tcW w:w="1277" w:type="dxa"/>
            <w:tcBorders>
              <w:top w:val="single" w:sz="2" w:space="0" w:color="000000"/>
              <w:left w:val="single" w:sz="2" w:space="0" w:color="000000"/>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300,000.00</w:t>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85" w:hRule="exact"/>
        </w:trPr>
        <w:tc>
          <w:tcPr>
            <w:tcW w:w="3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2"/>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第三批信息化专项拨款</w:t>
            </w:r>
          </w:p>
        </w:tc>
        <w:tc>
          <w:tcPr>
            <w:tcW w:w="1277" w:type="dxa"/>
            <w:tcBorders>
              <w:top w:val="single" w:sz="2" w:space="0" w:color="000000"/>
              <w:left w:val="single" w:sz="2" w:space="0" w:color="000000"/>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845,000.00</w:t>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85" w:hRule="exact"/>
        </w:trPr>
        <w:tc>
          <w:tcPr>
            <w:tcW w:w="3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2"/>
              <w:ind w:left="124" w:right="0"/>
              <w:jc w:val="left"/>
              <w:rPr>
                <w:rFonts w:ascii="宋体" w:hAnsi="宋体" w:cs="宋体" w:eastAsia="宋体" w:hint="default"/>
                <w:sz w:val="18"/>
                <w:szCs w:val="18"/>
              </w:rPr>
            </w:pPr>
            <w:r>
              <w:rPr>
                <w:rFonts w:ascii="宋体" w:hAnsi="宋体" w:cs="宋体" w:eastAsia="宋体" w:hint="default"/>
                <w:sz w:val="18"/>
                <w:szCs w:val="18"/>
              </w:rPr>
              <w:t>航运互联网综合服务平台项目</w:t>
            </w:r>
          </w:p>
        </w:tc>
        <w:tc>
          <w:tcPr>
            <w:tcW w:w="1277" w:type="dxa"/>
            <w:tcBorders>
              <w:top w:val="single" w:sz="2" w:space="0" w:color="000000"/>
              <w:left w:val="single" w:sz="2" w:space="0" w:color="000000"/>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97" w:hRule="exact"/>
        </w:trPr>
        <w:tc>
          <w:tcPr>
            <w:tcW w:w="35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2" w:space="0" w:color="000000"/>
              <w:left w:val="single" w:sz="2" w:space="0" w:color="000000"/>
              <w:bottom w:val="single" w:sz="12" w:space="0" w:color="000000"/>
              <w:right w:val="single" w:sz="2" w:space="0" w:color="000000"/>
            </w:tcBorders>
          </w:tcPr>
          <w:p>
            <w:pPr/>
          </w:p>
        </w:tc>
        <w:tc>
          <w:tcPr>
            <w:tcW w:w="1133" w:type="dxa"/>
            <w:tcBorders>
              <w:top w:val="single" w:sz="2" w:space="0" w:color="000000"/>
              <w:left w:val="single" w:sz="2" w:space="0" w:color="000000"/>
              <w:bottom w:val="single" w:sz="12" w:space="0" w:color="000000"/>
              <w:right w:val="single" w:sz="2" w:space="0" w:color="000000"/>
            </w:tcBorders>
          </w:tcPr>
          <w:p>
            <w:pPr/>
          </w:p>
        </w:tc>
        <w:tc>
          <w:tcPr>
            <w:tcW w:w="14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7,975,000.00</w:t>
            </w:r>
          </w:p>
        </w:tc>
        <w:tc>
          <w:tcPr>
            <w:tcW w:w="1385" w:type="dxa"/>
            <w:tcBorders>
              <w:top w:val="single" w:sz="2" w:space="0" w:color="000000"/>
              <w:left w:val="single" w:sz="2" w:space="0" w:color="000000"/>
              <w:bottom w:val="single" w:sz="12" w:space="0" w:color="000000"/>
              <w:right w:val="nil" w:sz="6" w:space="0" w:color="auto"/>
            </w:tcBorders>
          </w:tcPr>
          <w:p>
            <w:pPr/>
          </w:p>
        </w:tc>
      </w:tr>
    </w:tbl>
    <w:p>
      <w:pPr>
        <w:spacing w:line="240" w:lineRule="auto" w:before="5"/>
        <w:rPr>
          <w:rFonts w:ascii="宋体" w:hAnsi="宋体" w:cs="宋体" w:eastAsia="宋体" w:hint="default"/>
          <w:sz w:val="5"/>
          <w:szCs w:val="5"/>
        </w:rPr>
      </w:pPr>
    </w:p>
    <w:p>
      <w:pPr>
        <w:pStyle w:val="BodyText"/>
        <w:spacing w:line="316" w:lineRule="auto" w:before="32"/>
        <w:ind w:right="1130" w:firstLine="439"/>
        <w:jc w:val="both"/>
      </w:pPr>
      <w:r>
        <w:rPr>
          <w:spacing w:val="-5"/>
          <w:w w:val="100"/>
        </w:rPr>
        <w:t>注：（</w:t>
      </w:r>
      <w:r>
        <w:rPr>
          <w:rFonts w:ascii="Arial" w:hAnsi="Arial" w:cs="Arial" w:eastAsia="Arial" w:hint="default"/>
          <w:spacing w:val="-5"/>
          <w:w w:val="100"/>
        </w:rPr>
        <w:t>1</w:t>
      </w:r>
      <w:r>
        <w:rPr>
          <w:spacing w:val="-5"/>
          <w:w w:val="100"/>
        </w:rPr>
        <w:t>）研发中心综合楼（技术中心与集团数据中心）项目。根据上海市经济信息化委、上海市</w:t>
      </w:r>
      <w:r>
        <w:rPr>
          <w:w w:val="100"/>
        </w:rPr>
        <w:t> </w:t>
      </w:r>
      <w:r>
        <w:rPr/>
        <w:t>财政局关于下达 </w:t>
      </w:r>
      <w:r>
        <w:rPr>
          <w:rFonts w:ascii="Arial" w:hAnsi="Arial" w:cs="Arial" w:eastAsia="Arial" w:hint="default"/>
        </w:rPr>
        <w:t>2014 </w:t>
      </w:r>
      <w:r>
        <w:rPr/>
        <w:t>年第二批上海市重点技术改造项目计划的通知，本公司享受政府补助</w:t>
      </w:r>
      <w:r>
        <w:rPr>
          <w:spacing w:val="-14"/>
        </w:rPr>
        <w:t> </w:t>
      </w:r>
      <w:r>
        <w:rPr>
          <w:rFonts w:ascii="Arial" w:hAnsi="Arial" w:cs="Arial" w:eastAsia="Arial" w:hint="default"/>
        </w:rPr>
        <w:t>683.00</w:t>
      </w:r>
      <w:r>
        <w:rPr>
          <w:rFonts w:ascii="Arial" w:hAnsi="Arial" w:cs="Arial" w:eastAsia="Arial" w:hint="default"/>
          <w:w w:val="100"/>
        </w:rPr>
        <w:t> </w:t>
      </w:r>
      <w:r>
        <w:rPr>
          <w:spacing w:val="-4"/>
        </w:rPr>
        <w:t>万元，</w:t>
      </w:r>
      <w:r>
        <w:rPr>
          <w:rFonts w:ascii="Arial" w:hAnsi="Arial" w:cs="Arial" w:eastAsia="Arial" w:hint="default"/>
          <w:spacing w:val="-4"/>
        </w:rPr>
        <w:t>2014</w:t>
      </w:r>
      <w:r>
        <w:rPr>
          <w:rFonts w:ascii="Arial" w:hAnsi="Arial" w:cs="Arial" w:eastAsia="Arial" w:hint="default"/>
          <w:spacing w:val="-1"/>
        </w:rPr>
        <w:t> </w:t>
      </w:r>
      <w:r>
        <w:rPr/>
        <w:t>年收到补助款</w:t>
      </w:r>
      <w:r>
        <w:rPr>
          <w:spacing w:val="-48"/>
        </w:rPr>
        <w:t> </w:t>
      </w:r>
      <w:r>
        <w:rPr>
          <w:rFonts w:ascii="Arial" w:hAnsi="Arial" w:cs="Arial" w:eastAsia="Arial" w:hint="default"/>
        </w:rPr>
        <w:t>478.00</w:t>
      </w:r>
      <w:r>
        <w:rPr>
          <w:rFonts w:ascii="Arial" w:hAnsi="Arial" w:cs="Arial" w:eastAsia="Arial" w:hint="default"/>
          <w:spacing w:val="1"/>
        </w:rPr>
        <w:t> </w:t>
      </w:r>
      <w:r>
        <w:rPr>
          <w:spacing w:val="-4"/>
        </w:rPr>
        <w:t>万元，</w:t>
      </w:r>
      <w:r>
        <w:rPr>
          <w:rFonts w:ascii="Arial" w:hAnsi="Arial" w:cs="Arial" w:eastAsia="Arial" w:hint="default"/>
          <w:spacing w:val="-4"/>
        </w:rPr>
        <w:t>2017</w:t>
      </w:r>
      <w:r>
        <w:rPr>
          <w:rFonts w:ascii="Arial" w:hAnsi="Arial" w:cs="Arial" w:eastAsia="Arial" w:hint="default"/>
          <w:spacing w:val="-1"/>
        </w:rPr>
        <w:t> </w:t>
      </w:r>
      <w:r>
        <w:rPr/>
        <w:t>年收到</w:t>
      </w:r>
      <w:r>
        <w:rPr>
          <w:spacing w:val="-48"/>
        </w:rPr>
        <w:t> </w:t>
      </w:r>
      <w:r>
        <w:rPr>
          <w:rFonts w:ascii="Arial" w:hAnsi="Arial" w:cs="Arial" w:eastAsia="Arial" w:hint="default"/>
        </w:rPr>
        <w:t>205.00</w:t>
      </w:r>
      <w:r>
        <w:rPr>
          <w:rFonts w:ascii="Arial" w:hAnsi="Arial" w:cs="Arial" w:eastAsia="Arial" w:hint="default"/>
          <w:spacing w:val="-3"/>
        </w:rPr>
        <w:t> </w:t>
      </w:r>
      <w:r>
        <w:rPr>
          <w:spacing w:val="-3"/>
        </w:rPr>
        <w:t>万元，项目整体尚未达到预定可使用状</w:t>
      </w:r>
    </w:p>
    <w:p>
      <w:pPr>
        <w:spacing w:after="0" w:line="316"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3"/>
        <w:ind w:right="1133"/>
        <w:jc w:val="left"/>
      </w:pPr>
      <w:r>
        <w:rPr/>
        <w:t>态。</w:t>
      </w:r>
    </w:p>
    <w:p>
      <w:pPr>
        <w:pStyle w:val="BodyText"/>
        <w:spacing w:line="316" w:lineRule="auto" w:before="151"/>
        <w:ind w:right="1127" w:firstLine="439"/>
        <w:jc w:val="both"/>
      </w:pPr>
      <w:r>
        <w:rPr/>
        <w:t>（</w:t>
      </w:r>
      <w:r>
        <w:rPr>
          <w:rFonts w:ascii="Arial" w:hAnsi="Arial" w:cs="Arial" w:eastAsia="Arial" w:hint="default"/>
        </w:rPr>
        <w:t>2</w:t>
      </w:r>
      <w:r>
        <w:rPr/>
        <w:t>）智慧航运关键技术研究与创新运用。根据科技部关于国家科技支撑计划信息产业与现代服</w:t>
      </w:r>
      <w:r>
        <w:rPr>
          <w:w w:val="100"/>
        </w:rPr>
        <w:t> </w:t>
      </w:r>
      <w:r>
        <w:rPr/>
        <w:t>务业领域</w:t>
      </w:r>
      <w:r>
        <w:rPr>
          <w:spacing w:val="-50"/>
        </w:rPr>
        <w:t> </w:t>
      </w:r>
      <w:r>
        <w:rPr>
          <w:rFonts w:ascii="Arial" w:hAnsi="Arial" w:cs="Arial" w:eastAsia="Arial" w:hint="default"/>
        </w:rPr>
        <w:t>2014</w:t>
      </w:r>
      <w:r>
        <w:rPr>
          <w:rFonts w:ascii="Arial" w:hAnsi="Arial" w:cs="Arial" w:eastAsia="Arial" w:hint="default"/>
          <w:spacing w:val="-2"/>
        </w:rPr>
        <w:t> </w:t>
      </w:r>
      <w:r>
        <w:rPr/>
        <w:t>年项目立项的通知及财务验收意见，快消品行业供应链第三方物流服务平台研发与应</w:t>
      </w:r>
      <w:r>
        <w:rPr>
          <w:w w:val="100"/>
        </w:rPr>
        <w:t> </w:t>
      </w:r>
      <w:r>
        <w:rPr/>
        <w:t>用示范</w:t>
      </w:r>
      <w:r>
        <w:rPr>
          <w:rFonts w:ascii="Arial" w:hAnsi="Arial" w:cs="Arial" w:eastAsia="Arial" w:hint="default"/>
        </w:rPr>
        <w:t>(2014BAH23F03) </w:t>
      </w:r>
      <w:r>
        <w:rPr/>
        <w:t>项目结余资金 </w:t>
      </w:r>
      <w:r>
        <w:rPr>
          <w:rFonts w:ascii="Arial" w:hAnsi="Arial" w:cs="Arial" w:eastAsia="Arial" w:hint="default"/>
        </w:rPr>
        <w:t>131.02</w:t>
      </w:r>
      <w:r>
        <w:rPr>
          <w:rFonts w:ascii="Arial" w:hAnsi="Arial" w:cs="Arial" w:eastAsia="Arial" w:hint="default"/>
          <w:spacing w:val="-27"/>
        </w:rPr>
        <w:t> </w:t>
      </w:r>
      <w:r>
        <w:rPr/>
        <w:t>万元。该项目资金使用上述结余资金。本年收到补助</w:t>
      </w:r>
      <w:r>
        <w:rPr>
          <w:w w:val="100"/>
        </w:rPr>
        <w:t> </w:t>
      </w:r>
      <w:r>
        <w:rPr/>
        <w:t>款</w:t>
      </w:r>
      <w:r>
        <w:rPr>
          <w:spacing w:val="-57"/>
        </w:rPr>
        <w:t> </w:t>
      </w:r>
      <w:r>
        <w:rPr>
          <w:rFonts w:ascii="Arial" w:hAnsi="Arial" w:cs="Arial" w:eastAsia="Arial" w:hint="default"/>
        </w:rPr>
        <w:t>120.00</w:t>
      </w:r>
      <w:r>
        <w:rPr>
          <w:rFonts w:ascii="Arial" w:hAnsi="Arial" w:cs="Arial" w:eastAsia="Arial" w:hint="default"/>
          <w:spacing w:val="-9"/>
        </w:rPr>
        <w:t> </w:t>
      </w:r>
      <w:r>
        <w:rPr/>
        <w:t>万元，在研发期内分期确认其他收益。</w:t>
      </w:r>
    </w:p>
    <w:p>
      <w:pPr>
        <w:pStyle w:val="Heading4"/>
        <w:tabs>
          <w:tab w:pos="1413" w:val="left" w:leader="none"/>
        </w:tabs>
        <w:spacing w:line="240" w:lineRule="auto" w:before="59"/>
        <w:ind w:right="1133"/>
        <w:jc w:val="left"/>
        <w:rPr>
          <w:b w:val="0"/>
          <w:bCs w:val="0"/>
        </w:rPr>
      </w:pPr>
      <w:r>
        <w:rPr>
          <w:rFonts w:ascii="Arial" w:hAnsi="Arial" w:cs="Arial" w:eastAsia="Arial" w:hint="default"/>
          <w:spacing w:val="-1"/>
        </w:rPr>
        <w:t>25</w:t>
      </w:r>
      <w:r>
        <w:rPr>
          <w:spacing w:val="-1"/>
        </w:rPr>
        <w:t>、</w:t>
        <w:tab/>
      </w:r>
      <w:r>
        <w:rPr/>
        <w:t>股本</w:t>
      </w:r>
      <w:r>
        <w:rPr>
          <w:b w:val="0"/>
          <w:bCs w:val="0"/>
        </w:rPr>
      </w:r>
    </w:p>
    <w:p>
      <w:pPr>
        <w:spacing w:line="240" w:lineRule="auto" w:before="6"/>
        <w:rPr>
          <w:rFonts w:ascii="宋体" w:hAnsi="宋体" w:cs="宋体" w:eastAsia="宋体" w:hint="default"/>
          <w:b/>
          <w:bCs/>
          <w:sz w:val="2"/>
          <w:szCs w:val="2"/>
        </w:rPr>
      </w:pPr>
    </w:p>
    <w:tbl>
      <w:tblPr>
        <w:tblW w:w="0" w:type="auto"/>
        <w:jc w:val="left"/>
        <w:tblInd w:w="580" w:type="dxa"/>
        <w:tblLayout w:type="fixed"/>
        <w:tblCellMar>
          <w:top w:w="0" w:type="dxa"/>
          <w:left w:w="0" w:type="dxa"/>
          <w:bottom w:w="0" w:type="dxa"/>
          <w:right w:w="0" w:type="dxa"/>
        </w:tblCellMar>
        <w:tblLook w:val="01E0"/>
      </w:tblPr>
      <w:tblGrid>
        <w:gridCol w:w="1042"/>
        <w:gridCol w:w="1609"/>
        <w:gridCol w:w="1020"/>
        <w:gridCol w:w="708"/>
        <w:gridCol w:w="1275"/>
        <w:gridCol w:w="823"/>
        <w:gridCol w:w="655"/>
        <w:gridCol w:w="1608"/>
      </w:tblGrid>
      <w:tr>
        <w:trPr>
          <w:trHeight w:val="499" w:hRule="exact"/>
        </w:trPr>
        <w:tc>
          <w:tcPr>
            <w:tcW w:w="1042"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9"/>
              <w:ind w:left="35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609"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9"/>
              <w:ind w:left="441"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4481" w:type="dxa"/>
            <w:gridSpan w:val="5"/>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left="1346" w:right="0"/>
              <w:jc w:val="left"/>
              <w:rPr>
                <w:rFonts w:ascii="宋体" w:hAnsi="宋体" w:cs="宋体" w:eastAsia="宋体" w:hint="default"/>
                <w:sz w:val="18"/>
                <w:szCs w:val="18"/>
              </w:rPr>
            </w:pPr>
            <w:r>
              <w:rPr>
                <w:rFonts w:ascii="宋体" w:hAnsi="宋体" w:cs="宋体" w:eastAsia="宋体" w:hint="default"/>
                <w:sz w:val="18"/>
                <w:szCs w:val="18"/>
              </w:rPr>
              <w:t>本年变动增减（</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608" w:type="dxa"/>
            <w:vMerge w:val="restart"/>
            <w:tcBorders>
              <w:top w:val="single" w:sz="1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9"/>
              <w:ind w:left="444"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485" w:hRule="exact"/>
        </w:trPr>
        <w:tc>
          <w:tcPr>
            <w:tcW w:w="1042" w:type="dxa"/>
            <w:vMerge/>
            <w:tcBorders>
              <w:left w:val="nil" w:sz="6" w:space="0" w:color="auto"/>
              <w:bottom w:val="single" w:sz="2" w:space="0" w:color="000000"/>
              <w:right w:val="single" w:sz="2" w:space="0" w:color="000000"/>
            </w:tcBorders>
          </w:tcPr>
          <w:p>
            <w:pPr/>
          </w:p>
        </w:tc>
        <w:tc>
          <w:tcPr>
            <w:tcW w:w="1609" w:type="dxa"/>
            <w:vMerge/>
            <w:tcBorders>
              <w:left w:val="single" w:sz="2" w:space="0" w:color="000000"/>
              <w:bottom w:val="single" w:sz="2" w:space="0" w:color="000000"/>
              <w:right w:val="single" w:sz="2" w:space="0" w:color="000000"/>
            </w:tcBorders>
          </w:tcPr>
          <w:p>
            <w:pPr/>
          </w:p>
        </w:tc>
        <w:tc>
          <w:tcPr>
            <w:tcW w:w="10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146"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17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184"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8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2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14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608" w:type="dxa"/>
            <w:vMerge/>
            <w:tcBorders>
              <w:left w:val="single" w:sz="2" w:space="0" w:color="000000"/>
              <w:bottom w:val="single" w:sz="2" w:space="0" w:color="000000"/>
              <w:right w:val="nil" w:sz="6" w:space="0" w:color="auto"/>
            </w:tcBorders>
          </w:tcPr>
          <w:p>
            <w:pPr/>
          </w:p>
        </w:tc>
      </w:tr>
      <w:tr>
        <w:trPr>
          <w:trHeight w:val="499" w:hRule="exact"/>
        </w:trPr>
        <w:tc>
          <w:tcPr>
            <w:tcW w:w="104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股份总额</w:t>
            </w:r>
          </w:p>
        </w:tc>
        <w:tc>
          <w:tcPr>
            <w:tcW w:w="160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247" w:right="0"/>
              <w:jc w:val="left"/>
              <w:rPr>
                <w:rFonts w:ascii="Arial" w:hAnsi="Arial" w:cs="Arial" w:eastAsia="Arial" w:hint="default"/>
                <w:sz w:val="18"/>
                <w:szCs w:val="18"/>
              </w:rPr>
            </w:pPr>
            <w:r>
              <w:rPr>
                <w:rFonts w:ascii="Arial"/>
                <w:sz w:val="18"/>
              </w:rPr>
              <w:t>303,240,000.00</w:t>
            </w:r>
          </w:p>
        </w:tc>
        <w:tc>
          <w:tcPr>
            <w:tcW w:w="1020" w:type="dxa"/>
            <w:tcBorders>
              <w:top w:val="single" w:sz="2" w:space="0" w:color="000000"/>
              <w:left w:val="single" w:sz="2" w:space="0" w:color="000000"/>
              <w:bottom w:val="single" w:sz="12" w:space="0" w:color="000000"/>
              <w:right w:val="single" w:sz="2" w:space="0" w:color="000000"/>
            </w:tcBorders>
          </w:tcPr>
          <w:p>
            <w:pPr/>
          </w:p>
        </w:tc>
        <w:tc>
          <w:tcPr>
            <w:tcW w:w="708" w:type="dxa"/>
            <w:tcBorders>
              <w:top w:val="single" w:sz="2" w:space="0" w:color="000000"/>
              <w:left w:val="single" w:sz="2" w:space="0" w:color="000000"/>
              <w:bottom w:val="single" w:sz="12" w:space="0" w:color="000000"/>
              <w:right w:val="single" w:sz="2" w:space="0" w:color="000000"/>
            </w:tcBorders>
          </w:tcPr>
          <w:p>
            <w:pPr/>
          </w:p>
        </w:tc>
        <w:tc>
          <w:tcPr>
            <w:tcW w:w="1275" w:type="dxa"/>
            <w:tcBorders>
              <w:top w:val="single" w:sz="2" w:space="0" w:color="000000"/>
              <w:left w:val="single" w:sz="2" w:space="0" w:color="000000"/>
              <w:bottom w:val="single" w:sz="12" w:space="0" w:color="000000"/>
              <w:right w:val="single" w:sz="2" w:space="0" w:color="000000"/>
            </w:tcBorders>
          </w:tcPr>
          <w:p>
            <w:pPr/>
          </w:p>
        </w:tc>
        <w:tc>
          <w:tcPr>
            <w:tcW w:w="823" w:type="dxa"/>
            <w:tcBorders>
              <w:top w:val="single" w:sz="2" w:space="0" w:color="000000"/>
              <w:left w:val="single" w:sz="2" w:space="0" w:color="000000"/>
              <w:bottom w:val="single" w:sz="12" w:space="0" w:color="000000"/>
              <w:right w:val="single" w:sz="2" w:space="0" w:color="000000"/>
            </w:tcBorders>
          </w:tcPr>
          <w:p>
            <w:pPr/>
          </w:p>
        </w:tc>
        <w:tc>
          <w:tcPr>
            <w:tcW w:w="655" w:type="dxa"/>
            <w:tcBorders>
              <w:top w:val="single" w:sz="2" w:space="0" w:color="000000"/>
              <w:left w:val="single" w:sz="2" w:space="0" w:color="000000"/>
              <w:bottom w:val="single" w:sz="12" w:space="0" w:color="000000"/>
              <w:right w:val="single" w:sz="2" w:space="0" w:color="000000"/>
            </w:tcBorders>
          </w:tcPr>
          <w:p>
            <w:pPr/>
          </w:p>
        </w:tc>
        <w:tc>
          <w:tcPr>
            <w:tcW w:w="160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250" w:right="0"/>
              <w:jc w:val="left"/>
              <w:rPr>
                <w:rFonts w:ascii="Arial" w:hAnsi="Arial" w:cs="Arial" w:eastAsia="Arial" w:hint="default"/>
                <w:sz w:val="18"/>
                <w:szCs w:val="18"/>
              </w:rPr>
            </w:pPr>
            <w:r>
              <w:rPr>
                <w:rFonts w:ascii="Arial"/>
                <w:sz w:val="18"/>
              </w:rPr>
              <w:t>303,240,000.00</w:t>
            </w:r>
          </w:p>
        </w:tc>
      </w:tr>
    </w:tbl>
    <w:p>
      <w:pPr>
        <w:pStyle w:val="Heading4"/>
        <w:tabs>
          <w:tab w:pos="1413" w:val="left" w:leader="none"/>
        </w:tabs>
        <w:spacing w:line="240" w:lineRule="auto"/>
        <w:ind w:right="1133"/>
        <w:jc w:val="left"/>
        <w:rPr>
          <w:b w:val="0"/>
          <w:bCs w:val="0"/>
        </w:rPr>
      </w:pPr>
      <w:r>
        <w:rPr>
          <w:rFonts w:ascii="Arial" w:hAnsi="Arial" w:cs="Arial" w:eastAsia="Arial" w:hint="default"/>
          <w:spacing w:val="-1"/>
        </w:rPr>
        <w:t>26</w:t>
      </w:r>
      <w:r>
        <w:rPr>
          <w:spacing w:val="-1"/>
        </w:rPr>
        <w:t>、</w:t>
        <w:tab/>
      </w:r>
      <w:r>
        <w:rPr/>
        <w:t>资本公积</w:t>
      </w:r>
      <w:r>
        <w:rPr>
          <w:b w:val="0"/>
          <w:bCs w:val="0"/>
        </w:rPr>
      </w:r>
    </w:p>
    <w:p>
      <w:pPr>
        <w:spacing w:line="240" w:lineRule="auto" w:before="6"/>
        <w:rPr>
          <w:rFonts w:ascii="宋体" w:hAnsi="宋体" w:cs="宋体" w:eastAsia="宋体" w:hint="default"/>
          <w:b/>
          <w:bCs/>
          <w:sz w:val="2"/>
          <w:szCs w:val="2"/>
        </w:rPr>
      </w:pPr>
    </w:p>
    <w:tbl>
      <w:tblPr>
        <w:tblW w:w="0" w:type="auto"/>
        <w:jc w:val="left"/>
        <w:tblInd w:w="580" w:type="dxa"/>
        <w:tblLayout w:type="fixed"/>
        <w:tblCellMar>
          <w:top w:w="0" w:type="dxa"/>
          <w:left w:w="0" w:type="dxa"/>
          <w:bottom w:w="0" w:type="dxa"/>
          <w:right w:w="0" w:type="dxa"/>
        </w:tblCellMar>
        <w:tblLook w:val="01E0"/>
      </w:tblPr>
      <w:tblGrid>
        <w:gridCol w:w="2425"/>
        <w:gridCol w:w="1606"/>
        <w:gridCol w:w="1527"/>
        <w:gridCol w:w="1582"/>
        <w:gridCol w:w="1601"/>
      </w:tblGrid>
      <w:tr>
        <w:trPr>
          <w:trHeight w:val="499" w:hRule="exact"/>
        </w:trPr>
        <w:tc>
          <w:tcPr>
            <w:tcW w:w="242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2"/>
              <w:ind w:right="1022"/>
              <w:jc w:val="right"/>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left="439"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52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left="400"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5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left="427"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60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left="439"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485" w:hRule="exact"/>
        </w:trPr>
        <w:tc>
          <w:tcPr>
            <w:tcW w:w="24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38,186,010.52</w:t>
            </w:r>
          </w:p>
        </w:tc>
        <w:tc>
          <w:tcPr>
            <w:tcW w:w="1527" w:type="dxa"/>
            <w:tcBorders>
              <w:top w:val="single" w:sz="2" w:space="0" w:color="000000"/>
              <w:left w:val="single" w:sz="2" w:space="0" w:color="000000"/>
              <w:bottom w:val="single" w:sz="2" w:space="0" w:color="000000"/>
              <w:right w:val="single" w:sz="2" w:space="0" w:color="000000"/>
            </w:tcBorders>
          </w:tcPr>
          <w:p>
            <w:pPr/>
          </w:p>
        </w:tc>
        <w:tc>
          <w:tcPr>
            <w:tcW w:w="1582" w:type="dxa"/>
            <w:tcBorders>
              <w:top w:val="single" w:sz="2" w:space="0" w:color="000000"/>
              <w:left w:val="single" w:sz="2" w:space="0" w:color="000000"/>
              <w:bottom w:val="single" w:sz="2" w:space="0" w:color="000000"/>
              <w:right w:val="single" w:sz="2" w:space="0" w:color="000000"/>
            </w:tcBorders>
          </w:tcPr>
          <w:p>
            <w:pPr/>
          </w:p>
        </w:tc>
        <w:tc>
          <w:tcPr>
            <w:tcW w:w="16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38,186,010.52</w:t>
            </w:r>
          </w:p>
        </w:tc>
      </w:tr>
      <w:tr>
        <w:trPr>
          <w:trHeight w:val="485" w:hRule="exact"/>
        </w:trPr>
        <w:tc>
          <w:tcPr>
            <w:tcW w:w="24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5,731,090.64</w:t>
            </w:r>
          </w:p>
        </w:tc>
        <w:tc>
          <w:tcPr>
            <w:tcW w:w="15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319,157.49</w:t>
            </w:r>
          </w:p>
        </w:tc>
        <w:tc>
          <w:tcPr>
            <w:tcW w:w="1582" w:type="dxa"/>
            <w:tcBorders>
              <w:top w:val="single" w:sz="2" w:space="0" w:color="000000"/>
              <w:left w:val="single" w:sz="2" w:space="0" w:color="000000"/>
              <w:bottom w:val="single" w:sz="2" w:space="0" w:color="000000"/>
              <w:right w:val="single" w:sz="2" w:space="0" w:color="000000"/>
            </w:tcBorders>
          </w:tcPr>
          <w:p>
            <w:pPr/>
          </w:p>
        </w:tc>
        <w:tc>
          <w:tcPr>
            <w:tcW w:w="16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6,050,248.13</w:t>
            </w:r>
          </w:p>
        </w:tc>
      </w:tr>
      <w:tr>
        <w:trPr>
          <w:trHeight w:val="497" w:hRule="exact"/>
        </w:trPr>
        <w:tc>
          <w:tcPr>
            <w:tcW w:w="242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right="1022"/>
              <w:jc w:val="right"/>
              <w:rPr>
                <w:rFonts w:ascii="宋体" w:hAnsi="宋体" w:cs="宋体" w:eastAsia="宋体" w:hint="default"/>
                <w:sz w:val="18"/>
                <w:szCs w:val="18"/>
              </w:rPr>
            </w:pPr>
            <w:r>
              <w:rPr>
                <w:rFonts w:ascii="宋体" w:hAnsi="宋体" w:cs="宋体" w:eastAsia="宋体" w:hint="default"/>
                <w:sz w:val="18"/>
                <w:szCs w:val="18"/>
              </w:rPr>
              <w:t>合计</w:t>
            </w:r>
          </w:p>
        </w:tc>
        <w:tc>
          <w:tcPr>
            <w:tcW w:w="16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43,917,101.16</w:t>
            </w:r>
          </w:p>
        </w:tc>
        <w:tc>
          <w:tcPr>
            <w:tcW w:w="152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319,157.49</w:t>
            </w:r>
          </w:p>
        </w:tc>
        <w:tc>
          <w:tcPr>
            <w:tcW w:w="1582" w:type="dxa"/>
            <w:tcBorders>
              <w:top w:val="single" w:sz="2" w:space="0" w:color="000000"/>
              <w:left w:val="single" w:sz="2" w:space="0" w:color="000000"/>
              <w:bottom w:val="single" w:sz="12" w:space="0" w:color="000000"/>
              <w:right w:val="single" w:sz="2" w:space="0" w:color="000000"/>
            </w:tcBorders>
          </w:tcPr>
          <w:p>
            <w:pPr/>
          </w:p>
        </w:tc>
        <w:tc>
          <w:tcPr>
            <w:tcW w:w="160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44,236,258.65</w:t>
            </w:r>
          </w:p>
        </w:tc>
      </w:tr>
    </w:tbl>
    <w:p>
      <w:pPr>
        <w:pStyle w:val="Heading4"/>
        <w:tabs>
          <w:tab w:pos="1413" w:val="left" w:leader="none"/>
        </w:tabs>
        <w:spacing w:line="240" w:lineRule="auto"/>
        <w:ind w:right="1133"/>
        <w:jc w:val="left"/>
        <w:rPr>
          <w:b w:val="0"/>
          <w:bCs w:val="0"/>
        </w:rPr>
      </w:pPr>
      <w:r>
        <w:rPr>
          <w:rFonts w:ascii="Arial" w:hAnsi="Arial" w:cs="Arial" w:eastAsia="Arial" w:hint="default"/>
          <w:spacing w:val="-1"/>
        </w:rPr>
        <w:t>27</w:t>
      </w:r>
      <w:r>
        <w:rPr>
          <w:spacing w:val="-1"/>
        </w:rPr>
        <w:t>、</w:t>
        <w:tab/>
      </w:r>
      <w:r>
        <w:rPr/>
        <w:t>盈余公积</w:t>
      </w:r>
      <w:r>
        <w:rPr>
          <w:b w:val="0"/>
          <w:bCs w:val="0"/>
        </w:rPr>
      </w:r>
    </w:p>
    <w:p>
      <w:pPr>
        <w:spacing w:line="240" w:lineRule="auto" w:before="9"/>
        <w:rPr>
          <w:rFonts w:ascii="宋体" w:hAnsi="宋体" w:cs="宋体" w:eastAsia="宋体" w:hint="default"/>
          <w:b/>
          <w:bCs/>
          <w:sz w:val="2"/>
          <w:szCs w:val="2"/>
        </w:rPr>
      </w:pPr>
    </w:p>
    <w:tbl>
      <w:tblPr>
        <w:tblW w:w="0" w:type="auto"/>
        <w:jc w:val="left"/>
        <w:tblInd w:w="580" w:type="dxa"/>
        <w:tblLayout w:type="fixed"/>
        <w:tblCellMar>
          <w:top w:w="0" w:type="dxa"/>
          <w:left w:w="0" w:type="dxa"/>
          <w:bottom w:w="0" w:type="dxa"/>
          <w:right w:w="0" w:type="dxa"/>
        </w:tblCellMar>
        <w:tblLook w:val="01E0"/>
      </w:tblPr>
      <w:tblGrid>
        <w:gridCol w:w="2425"/>
        <w:gridCol w:w="1606"/>
        <w:gridCol w:w="1527"/>
        <w:gridCol w:w="1582"/>
        <w:gridCol w:w="1601"/>
      </w:tblGrid>
      <w:tr>
        <w:trPr>
          <w:trHeight w:val="499" w:hRule="exact"/>
        </w:trPr>
        <w:tc>
          <w:tcPr>
            <w:tcW w:w="242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2"/>
              <w:ind w:right="1022"/>
              <w:jc w:val="right"/>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left="439"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52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left="400"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5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left="427"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60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left="439"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485" w:hRule="exact"/>
        </w:trPr>
        <w:tc>
          <w:tcPr>
            <w:tcW w:w="24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60,094,837.83</w:t>
            </w:r>
          </w:p>
        </w:tc>
        <w:tc>
          <w:tcPr>
            <w:tcW w:w="15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364" w:right="0"/>
              <w:jc w:val="left"/>
              <w:rPr>
                <w:rFonts w:ascii="Arial" w:hAnsi="Arial" w:cs="Arial" w:eastAsia="Arial" w:hint="default"/>
                <w:sz w:val="18"/>
                <w:szCs w:val="18"/>
              </w:rPr>
            </w:pPr>
            <w:r>
              <w:rPr>
                <w:rFonts w:ascii="Arial"/>
                <w:sz w:val="18"/>
              </w:rPr>
              <w:t>7,956,593.61</w:t>
            </w:r>
          </w:p>
        </w:tc>
        <w:tc>
          <w:tcPr>
            <w:tcW w:w="1582" w:type="dxa"/>
            <w:tcBorders>
              <w:top w:val="single" w:sz="2" w:space="0" w:color="000000"/>
              <w:left w:val="single" w:sz="2" w:space="0" w:color="000000"/>
              <w:bottom w:val="single" w:sz="2" w:space="0" w:color="000000"/>
              <w:right w:val="single" w:sz="2" w:space="0" w:color="000000"/>
            </w:tcBorders>
          </w:tcPr>
          <w:p>
            <w:pPr/>
          </w:p>
        </w:tc>
        <w:tc>
          <w:tcPr>
            <w:tcW w:w="16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68,051,431.44</w:t>
            </w:r>
          </w:p>
        </w:tc>
      </w:tr>
      <w:tr>
        <w:trPr>
          <w:trHeight w:val="497" w:hRule="exact"/>
        </w:trPr>
        <w:tc>
          <w:tcPr>
            <w:tcW w:w="242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right="1022"/>
              <w:jc w:val="right"/>
              <w:rPr>
                <w:rFonts w:ascii="宋体" w:hAnsi="宋体" w:cs="宋体" w:eastAsia="宋体" w:hint="default"/>
                <w:sz w:val="18"/>
                <w:szCs w:val="18"/>
              </w:rPr>
            </w:pPr>
            <w:r>
              <w:rPr>
                <w:rFonts w:ascii="宋体" w:hAnsi="宋体" w:cs="宋体" w:eastAsia="宋体" w:hint="default"/>
                <w:sz w:val="18"/>
                <w:szCs w:val="18"/>
              </w:rPr>
              <w:t>合计</w:t>
            </w:r>
          </w:p>
        </w:tc>
        <w:tc>
          <w:tcPr>
            <w:tcW w:w="16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60,094,837.83</w:t>
            </w:r>
          </w:p>
        </w:tc>
        <w:tc>
          <w:tcPr>
            <w:tcW w:w="152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364" w:right="0"/>
              <w:jc w:val="left"/>
              <w:rPr>
                <w:rFonts w:ascii="Arial" w:hAnsi="Arial" w:cs="Arial" w:eastAsia="Arial" w:hint="default"/>
                <w:sz w:val="18"/>
                <w:szCs w:val="18"/>
              </w:rPr>
            </w:pPr>
            <w:r>
              <w:rPr>
                <w:rFonts w:ascii="Arial"/>
                <w:sz w:val="18"/>
              </w:rPr>
              <w:t>7,956,593.61</w:t>
            </w:r>
          </w:p>
        </w:tc>
        <w:tc>
          <w:tcPr>
            <w:tcW w:w="1582" w:type="dxa"/>
            <w:tcBorders>
              <w:top w:val="single" w:sz="2" w:space="0" w:color="000000"/>
              <w:left w:val="single" w:sz="2" w:space="0" w:color="000000"/>
              <w:bottom w:val="single" w:sz="12" w:space="0" w:color="000000"/>
              <w:right w:val="single" w:sz="2" w:space="0" w:color="000000"/>
            </w:tcBorders>
          </w:tcPr>
          <w:p>
            <w:pPr/>
          </w:p>
        </w:tc>
        <w:tc>
          <w:tcPr>
            <w:tcW w:w="160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68,051,431.44</w:t>
            </w:r>
          </w:p>
        </w:tc>
      </w:tr>
    </w:tbl>
    <w:p>
      <w:pPr>
        <w:pStyle w:val="Heading4"/>
        <w:tabs>
          <w:tab w:pos="1413" w:val="left" w:leader="none"/>
        </w:tabs>
        <w:spacing w:line="240" w:lineRule="auto"/>
        <w:ind w:right="1133"/>
        <w:jc w:val="left"/>
        <w:rPr>
          <w:b w:val="0"/>
          <w:bCs w:val="0"/>
        </w:rPr>
      </w:pPr>
      <w:r>
        <w:rPr>
          <w:rFonts w:ascii="Arial" w:hAnsi="Arial" w:cs="Arial" w:eastAsia="Arial" w:hint="default"/>
          <w:spacing w:val="-1"/>
        </w:rPr>
        <w:t>28</w:t>
      </w:r>
      <w:r>
        <w:rPr>
          <w:spacing w:val="-1"/>
        </w:rPr>
        <w:t>、</w:t>
        <w:tab/>
      </w:r>
      <w:r>
        <w:rPr/>
        <w:t>未分配利润</w:t>
      </w:r>
      <w:r>
        <w:rPr>
          <w:b w:val="0"/>
          <w:bCs w:val="0"/>
        </w:rPr>
      </w:r>
    </w:p>
    <w:p>
      <w:pPr>
        <w:spacing w:line="240" w:lineRule="auto" w:before="9"/>
        <w:rPr>
          <w:rFonts w:ascii="宋体" w:hAnsi="宋体" w:cs="宋体" w:eastAsia="宋体" w:hint="default"/>
          <w:b/>
          <w:bCs/>
          <w:sz w:val="2"/>
          <w:szCs w:val="2"/>
        </w:rPr>
      </w:pPr>
    </w:p>
    <w:tbl>
      <w:tblPr>
        <w:tblW w:w="0" w:type="auto"/>
        <w:jc w:val="left"/>
        <w:tblInd w:w="580" w:type="dxa"/>
        <w:tblLayout w:type="fixed"/>
        <w:tblCellMar>
          <w:top w:w="0" w:type="dxa"/>
          <w:left w:w="0" w:type="dxa"/>
          <w:bottom w:w="0" w:type="dxa"/>
          <w:right w:w="0" w:type="dxa"/>
        </w:tblCellMar>
        <w:tblLook w:val="01E0"/>
      </w:tblPr>
      <w:tblGrid>
        <w:gridCol w:w="4957"/>
        <w:gridCol w:w="1891"/>
        <w:gridCol w:w="1892"/>
      </w:tblGrid>
      <w:tr>
        <w:trPr>
          <w:trHeight w:val="497" w:hRule="exact"/>
        </w:trPr>
        <w:tc>
          <w:tcPr>
            <w:tcW w:w="495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49"/>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9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9"/>
              <w:ind w:left="4" w:right="0"/>
              <w:jc w:val="center"/>
              <w:rPr>
                <w:rFonts w:ascii="宋体" w:hAnsi="宋体" w:cs="宋体" w:eastAsia="宋体" w:hint="default"/>
                <w:sz w:val="18"/>
                <w:szCs w:val="18"/>
              </w:rPr>
            </w:pPr>
            <w:r>
              <w:rPr>
                <w:rFonts w:ascii="宋体" w:hAnsi="宋体" w:cs="宋体" w:eastAsia="宋体" w:hint="default"/>
                <w:sz w:val="18"/>
                <w:szCs w:val="18"/>
              </w:rPr>
              <w:t>本年</w:t>
            </w:r>
          </w:p>
        </w:tc>
        <w:tc>
          <w:tcPr>
            <w:tcW w:w="189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49"/>
              <w:ind w:left="3" w:right="0"/>
              <w:jc w:val="center"/>
              <w:rPr>
                <w:rFonts w:ascii="宋体" w:hAnsi="宋体" w:cs="宋体" w:eastAsia="宋体" w:hint="default"/>
                <w:sz w:val="18"/>
                <w:szCs w:val="18"/>
              </w:rPr>
            </w:pPr>
            <w:r>
              <w:rPr>
                <w:rFonts w:ascii="宋体" w:hAnsi="宋体" w:cs="宋体" w:eastAsia="宋体" w:hint="default"/>
                <w:sz w:val="18"/>
                <w:szCs w:val="18"/>
              </w:rPr>
              <w:t>上年</w:t>
            </w:r>
          </w:p>
        </w:tc>
      </w:tr>
      <w:tr>
        <w:trPr>
          <w:trHeight w:val="487" w:hRule="exact"/>
        </w:trPr>
        <w:tc>
          <w:tcPr>
            <w:tcW w:w="49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2"/>
              <w:ind w:left="124" w:right="0"/>
              <w:jc w:val="left"/>
              <w:rPr>
                <w:rFonts w:ascii="宋体" w:hAnsi="宋体" w:cs="宋体" w:eastAsia="宋体" w:hint="default"/>
                <w:sz w:val="18"/>
                <w:szCs w:val="18"/>
              </w:rPr>
            </w:pPr>
            <w:r>
              <w:rPr>
                <w:rFonts w:ascii="宋体" w:hAnsi="宋体" w:cs="宋体" w:eastAsia="宋体" w:hint="default"/>
                <w:sz w:val="18"/>
                <w:szCs w:val="18"/>
              </w:rPr>
              <w:t>上年年末余额</w:t>
            </w:r>
          </w:p>
        </w:tc>
        <w:tc>
          <w:tcPr>
            <w:tcW w:w="18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466,175,233.09</w:t>
            </w:r>
          </w:p>
        </w:tc>
        <w:tc>
          <w:tcPr>
            <w:tcW w:w="18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404,156,546.27</w:t>
            </w:r>
          </w:p>
        </w:tc>
      </w:tr>
      <w:tr>
        <w:trPr>
          <w:trHeight w:val="485" w:hRule="exact"/>
        </w:trPr>
        <w:tc>
          <w:tcPr>
            <w:tcW w:w="49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0"/>
              <w:ind w:left="124" w:right="0"/>
              <w:jc w:val="left"/>
              <w:rPr>
                <w:rFonts w:ascii="宋体" w:hAnsi="宋体" w:cs="宋体" w:eastAsia="宋体" w:hint="default"/>
                <w:sz w:val="18"/>
                <w:szCs w:val="18"/>
              </w:rPr>
            </w:pPr>
            <w:r>
              <w:rPr>
                <w:rFonts w:ascii="宋体" w:hAnsi="宋体" w:cs="宋体" w:eastAsia="宋体" w:hint="default"/>
                <w:sz w:val="18"/>
                <w:szCs w:val="18"/>
              </w:rPr>
              <w:t>加：年初未分配利润调整数</w:t>
            </w:r>
          </w:p>
        </w:tc>
        <w:tc>
          <w:tcPr>
            <w:tcW w:w="1891" w:type="dxa"/>
            <w:tcBorders>
              <w:top w:val="single" w:sz="2" w:space="0" w:color="000000"/>
              <w:left w:val="single" w:sz="2" w:space="0" w:color="000000"/>
              <w:bottom w:val="single" w:sz="2" w:space="0" w:color="000000"/>
              <w:right w:val="single" w:sz="2" w:space="0" w:color="000000"/>
            </w:tcBorders>
          </w:tcPr>
          <w:p>
            <w:pPr/>
          </w:p>
        </w:tc>
        <w:tc>
          <w:tcPr>
            <w:tcW w:w="1892"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49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92"/>
                <w:sz w:val="18"/>
                <w:szCs w:val="18"/>
              </w:rPr>
              <w:t>：</w:t>
            </w:r>
            <w:r>
              <w:rPr>
                <w:rFonts w:ascii="宋体" w:hAnsi="宋体" w:cs="宋体" w:eastAsia="宋体" w:hint="default"/>
                <w:sz w:val="18"/>
                <w:szCs w:val="18"/>
              </w:rPr>
              <w:t>《企业会计准则》新规</w:t>
            </w:r>
            <w:r>
              <w:rPr>
                <w:rFonts w:ascii="宋体" w:hAnsi="宋体" w:cs="宋体" w:eastAsia="宋体" w:hint="default"/>
                <w:spacing w:val="2"/>
                <w:sz w:val="18"/>
                <w:szCs w:val="18"/>
              </w:rPr>
              <w:t>定</w:t>
            </w:r>
            <w:r>
              <w:rPr>
                <w:rFonts w:ascii="宋体" w:hAnsi="宋体" w:cs="宋体" w:eastAsia="宋体" w:hint="default"/>
                <w:sz w:val="18"/>
                <w:szCs w:val="18"/>
              </w:rPr>
              <w:t>追溯调整</w:t>
            </w:r>
          </w:p>
        </w:tc>
        <w:tc>
          <w:tcPr>
            <w:tcW w:w="1891" w:type="dxa"/>
            <w:tcBorders>
              <w:top w:val="single" w:sz="2" w:space="0" w:color="000000"/>
              <w:left w:val="single" w:sz="2" w:space="0" w:color="000000"/>
              <w:bottom w:val="single" w:sz="2" w:space="0" w:color="000000"/>
              <w:right w:val="single" w:sz="2" w:space="0" w:color="000000"/>
            </w:tcBorders>
          </w:tcPr>
          <w:p>
            <w:pPr/>
          </w:p>
        </w:tc>
        <w:tc>
          <w:tcPr>
            <w:tcW w:w="1892"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49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会计政策变更</w:t>
            </w:r>
          </w:p>
        </w:tc>
        <w:tc>
          <w:tcPr>
            <w:tcW w:w="1891" w:type="dxa"/>
            <w:tcBorders>
              <w:top w:val="single" w:sz="2" w:space="0" w:color="000000"/>
              <w:left w:val="single" w:sz="2" w:space="0" w:color="000000"/>
              <w:bottom w:val="single" w:sz="2" w:space="0" w:color="000000"/>
              <w:right w:val="single" w:sz="2" w:space="0" w:color="000000"/>
            </w:tcBorders>
          </w:tcPr>
          <w:p>
            <w:pPr/>
          </w:p>
        </w:tc>
        <w:tc>
          <w:tcPr>
            <w:tcW w:w="1892"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49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重要前期差错更正</w:t>
            </w:r>
          </w:p>
        </w:tc>
        <w:tc>
          <w:tcPr>
            <w:tcW w:w="1891" w:type="dxa"/>
            <w:tcBorders>
              <w:top w:val="single" w:sz="2" w:space="0" w:color="000000"/>
              <w:left w:val="single" w:sz="2" w:space="0" w:color="000000"/>
              <w:bottom w:val="single" w:sz="2" w:space="0" w:color="000000"/>
              <w:right w:val="single" w:sz="2" w:space="0" w:color="000000"/>
            </w:tcBorders>
          </w:tcPr>
          <w:p>
            <w:pPr/>
          </w:p>
        </w:tc>
        <w:tc>
          <w:tcPr>
            <w:tcW w:w="1892"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49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同一控制合并范围变更</w:t>
            </w:r>
          </w:p>
        </w:tc>
        <w:tc>
          <w:tcPr>
            <w:tcW w:w="1891" w:type="dxa"/>
            <w:tcBorders>
              <w:top w:val="single" w:sz="2" w:space="0" w:color="000000"/>
              <w:left w:val="single" w:sz="2" w:space="0" w:color="000000"/>
              <w:bottom w:val="single" w:sz="2" w:space="0" w:color="000000"/>
              <w:right w:val="single" w:sz="2" w:space="0" w:color="000000"/>
            </w:tcBorders>
          </w:tcPr>
          <w:p>
            <w:pPr/>
          </w:p>
        </w:tc>
        <w:tc>
          <w:tcPr>
            <w:tcW w:w="1892"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49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其他调整因素</w:t>
            </w:r>
          </w:p>
        </w:tc>
        <w:tc>
          <w:tcPr>
            <w:tcW w:w="1891" w:type="dxa"/>
            <w:tcBorders>
              <w:top w:val="single" w:sz="2" w:space="0" w:color="000000"/>
              <w:left w:val="single" w:sz="2" w:space="0" w:color="000000"/>
              <w:bottom w:val="single" w:sz="2" w:space="0" w:color="000000"/>
              <w:right w:val="single" w:sz="2" w:space="0" w:color="000000"/>
            </w:tcBorders>
          </w:tcPr>
          <w:p>
            <w:pPr/>
          </w:p>
        </w:tc>
        <w:tc>
          <w:tcPr>
            <w:tcW w:w="1892"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49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本年年初余额</w:t>
            </w:r>
          </w:p>
        </w:tc>
        <w:tc>
          <w:tcPr>
            <w:tcW w:w="18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466,175,233.09</w:t>
            </w:r>
          </w:p>
        </w:tc>
        <w:tc>
          <w:tcPr>
            <w:tcW w:w="18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404,156,546.27</w:t>
            </w:r>
          </w:p>
        </w:tc>
      </w:tr>
      <w:tr>
        <w:trPr>
          <w:trHeight w:val="500" w:hRule="exact"/>
        </w:trPr>
        <w:tc>
          <w:tcPr>
            <w:tcW w:w="495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50"/>
              <w:ind w:left="124" w:right="0"/>
              <w:jc w:val="left"/>
              <w:rPr>
                <w:rFonts w:ascii="宋体" w:hAnsi="宋体" w:cs="宋体" w:eastAsia="宋体" w:hint="default"/>
                <w:sz w:val="18"/>
                <w:szCs w:val="18"/>
              </w:rPr>
            </w:pPr>
            <w:r>
              <w:rPr>
                <w:rFonts w:ascii="宋体" w:hAnsi="宋体" w:cs="宋体" w:eastAsia="宋体" w:hint="default"/>
                <w:sz w:val="18"/>
                <w:szCs w:val="18"/>
              </w:rPr>
              <w:t>加：本年归属于母公司所有者的净利润</w:t>
            </w:r>
          </w:p>
        </w:tc>
        <w:tc>
          <w:tcPr>
            <w:tcW w:w="189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96,640,953.70</w:t>
            </w:r>
          </w:p>
        </w:tc>
        <w:tc>
          <w:tcPr>
            <w:tcW w:w="189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83,190,054.62</w:t>
            </w:r>
          </w:p>
        </w:tc>
      </w:tr>
    </w:tbl>
    <w:p>
      <w:pPr>
        <w:spacing w:after="0" w:line="240" w:lineRule="auto"/>
        <w:jc w:val="right"/>
        <w:rPr>
          <w:rFonts w:ascii="Arial" w:hAnsi="Arial" w:cs="Arial" w:eastAsia="Arial"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580" w:type="dxa"/>
        <w:tblLayout w:type="fixed"/>
        <w:tblCellMar>
          <w:top w:w="0" w:type="dxa"/>
          <w:left w:w="0" w:type="dxa"/>
          <w:bottom w:w="0" w:type="dxa"/>
          <w:right w:w="0" w:type="dxa"/>
        </w:tblCellMar>
        <w:tblLook w:val="01E0"/>
      </w:tblPr>
      <w:tblGrid>
        <w:gridCol w:w="4957"/>
        <w:gridCol w:w="1891"/>
        <w:gridCol w:w="1892"/>
      </w:tblGrid>
      <w:tr>
        <w:trPr>
          <w:trHeight w:val="500" w:hRule="exact"/>
        </w:trPr>
        <w:tc>
          <w:tcPr>
            <w:tcW w:w="495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2"/>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9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left="4" w:right="0"/>
              <w:jc w:val="center"/>
              <w:rPr>
                <w:rFonts w:ascii="宋体" w:hAnsi="宋体" w:cs="宋体" w:eastAsia="宋体" w:hint="default"/>
                <w:sz w:val="18"/>
                <w:szCs w:val="18"/>
              </w:rPr>
            </w:pPr>
            <w:r>
              <w:rPr>
                <w:rFonts w:ascii="宋体" w:hAnsi="宋体" w:cs="宋体" w:eastAsia="宋体" w:hint="default"/>
                <w:sz w:val="18"/>
                <w:szCs w:val="18"/>
              </w:rPr>
              <w:t>本年</w:t>
            </w:r>
          </w:p>
        </w:tc>
        <w:tc>
          <w:tcPr>
            <w:tcW w:w="189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left="3" w:right="0"/>
              <w:jc w:val="center"/>
              <w:rPr>
                <w:rFonts w:ascii="宋体" w:hAnsi="宋体" w:cs="宋体" w:eastAsia="宋体" w:hint="default"/>
                <w:sz w:val="18"/>
                <w:szCs w:val="18"/>
              </w:rPr>
            </w:pPr>
            <w:r>
              <w:rPr>
                <w:rFonts w:ascii="宋体" w:hAnsi="宋体" w:cs="宋体" w:eastAsia="宋体" w:hint="default"/>
                <w:sz w:val="18"/>
                <w:szCs w:val="18"/>
              </w:rPr>
              <w:t>上年</w:t>
            </w:r>
          </w:p>
        </w:tc>
      </w:tr>
      <w:tr>
        <w:trPr>
          <w:trHeight w:val="485" w:hRule="exact"/>
        </w:trPr>
        <w:tc>
          <w:tcPr>
            <w:tcW w:w="49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18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7,956,593.61</w:t>
            </w:r>
          </w:p>
        </w:tc>
        <w:tc>
          <w:tcPr>
            <w:tcW w:w="18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6,009,367.80</w:t>
            </w:r>
          </w:p>
        </w:tc>
      </w:tr>
      <w:tr>
        <w:trPr>
          <w:trHeight w:val="485" w:hRule="exact"/>
        </w:trPr>
        <w:tc>
          <w:tcPr>
            <w:tcW w:w="49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1891" w:type="dxa"/>
            <w:tcBorders>
              <w:top w:val="single" w:sz="2" w:space="0" w:color="000000"/>
              <w:left w:val="single" w:sz="2" w:space="0" w:color="000000"/>
              <w:bottom w:val="single" w:sz="2" w:space="0" w:color="000000"/>
              <w:right w:val="single" w:sz="2" w:space="0" w:color="000000"/>
            </w:tcBorders>
          </w:tcPr>
          <w:p>
            <w:pPr/>
          </w:p>
        </w:tc>
        <w:tc>
          <w:tcPr>
            <w:tcW w:w="1892"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49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1891" w:type="dxa"/>
            <w:tcBorders>
              <w:top w:val="single" w:sz="2" w:space="0" w:color="000000"/>
              <w:left w:val="single" w:sz="2" w:space="0" w:color="000000"/>
              <w:bottom w:val="single" w:sz="2" w:space="0" w:color="000000"/>
              <w:right w:val="single" w:sz="2" w:space="0" w:color="000000"/>
            </w:tcBorders>
          </w:tcPr>
          <w:p>
            <w:pPr/>
          </w:p>
        </w:tc>
        <w:tc>
          <w:tcPr>
            <w:tcW w:w="1892"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49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18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15,162,000.00</w:t>
            </w:r>
          </w:p>
        </w:tc>
        <w:tc>
          <w:tcPr>
            <w:tcW w:w="18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15,162,000.00</w:t>
            </w:r>
          </w:p>
        </w:tc>
      </w:tr>
      <w:tr>
        <w:trPr>
          <w:trHeight w:val="485" w:hRule="exact"/>
        </w:trPr>
        <w:tc>
          <w:tcPr>
            <w:tcW w:w="49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1891" w:type="dxa"/>
            <w:tcBorders>
              <w:top w:val="single" w:sz="2" w:space="0" w:color="000000"/>
              <w:left w:val="single" w:sz="2" w:space="0" w:color="000000"/>
              <w:bottom w:val="single" w:sz="2" w:space="0" w:color="000000"/>
              <w:right w:val="single" w:sz="2" w:space="0" w:color="000000"/>
            </w:tcBorders>
          </w:tcPr>
          <w:p>
            <w:pPr/>
          </w:p>
        </w:tc>
        <w:tc>
          <w:tcPr>
            <w:tcW w:w="1892" w:type="dxa"/>
            <w:tcBorders>
              <w:top w:val="single" w:sz="2" w:space="0" w:color="000000"/>
              <w:left w:val="single" w:sz="2" w:space="0" w:color="000000"/>
              <w:bottom w:val="single" w:sz="2" w:space="0" w:color="000000"/>
              <w:right w:val="nil" w:sz="6" w:space="0" w:color="auto"/>
            </w:tcBorders>
          </w:tcPr>
          <w:p>
            <w:pPr/>
          </w:p>
        </w:tc>
      </w:tr>
      <w:tr>
        <w:trPr>
          <w:trHeight w:val="500" w:hRule="exact"/>
        </w:trPr>
        <w:tc>
          <w:tcPr>
            <w:tcW w:w="495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本年年末余额</w:t>
            </w:r>
          </w:p>
        </w:tc>
        <w:tc>
          <w:tcPr>
            <w:tcW w:w="189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539,697,593.18</w:t>
            </w:r>
          </w:p>
        </w:tc>
        <w:tc>
          <w:tcPr>
            <w:tcW w:w="189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466,175,233.09</w:t>
            </w:r>
          </w:p>
        </w:tc>
      </w:tr>
    </w:tbl>
    <w:p>
      <w:pPr>
        <w:spacing w:line="240" w:lineRule="auto" w:before="5"/>
        <w:rPr>
          <w:rFonts w:ascii="宋体" w:hAnsi="宋体" w:cs="宋体" w:eastAsia="宋体" w:hint="default"/>
          <w:b/>
          <w:bCs/>
          <w:sz w:val="5"/>
          <w:szCs w:val="5"/>
        </w:rPr>
      </w:pPr>
    </w:p>
    <w:p>
      <w:pPr>
        <w:pStyle w:val="BodyText"/>
        <w:spacing w:line="240" w:lineRule="auto" w:before="32"/>
        <w:ind w:left="592" w:right="0"/>
        <w:jc w:val="left"/>
      </w:pPr>
      <w:r>
        <w:rPr>
          <w:spacing w:val="-11"/>
        </w:rPr>
        <w:t>注：</w:t>
      </w:r>
      <w:r>
        <w:rPr>
          <w:rFonts w:ascii="Arial" w:hAnsi="Arial" w:cs="Arial" w:eastAsia="Arial" w:hint="default"/>
          <w:spacing w:val="-11"/>
        </w:rPr>
        <w:t>2019</w:t>
      </w:r>
      <w:r>
        <w:rPr>
          <w:rFonts w:ascii="Arial" w:hAnsi="Arial" w:cs="Arial" w:eastAsia="Arial" w:hint="default"/>
          <w:spacing w:val="-4"/>
        </w:rPr>
        <w:t> </w:t>
      </w:r>
      <w:r>
        <w:rPr/>
        <w:t>年</w:t>
      </w:r>
      <w:r>
        <w:rPr>
          <w:spacing w:val="-52"/>
        </w:rPr>
        <w:t> </w:t>
      </w:r>
      <w:r>
        <w:rPr>
          <w:rFonts w:ascii="Arial" w:hAnsi="Arial" w:cs="Arial" w:eastAsia="Arial" w:hint="default"/>
        </w:rPr>
        <w:t>3</w:t>
      </w:r>
      <w:r>
        <w:rPr>
          <w:rFonts w:ascii="Arial" w:hAnsi="Arial" w:cs="Arial" w:eastAsia="Arial" w:hint="default"/>
          <w:spacing w:val="-4"/>
        </w:rPr>
        <w:t> </w:t>
      </w:r>
      <w:r>
        <w:rPr/>
        <w:t>月</w:t>
      </w:r>
      <w:r>
        <w:rPr>
          <w:spacing w:val="-52"/>
        </w:rPr>
        <w:t> </w:t>
      </w:r>
      <w:r>
        <w:rPr>
          <w:rFonts w:ascii="Arial" w:hAnsi="Arial" w:cs="Arial" w:eastAsia="Arial" w:hint="default"/>
        </w:rPr>
        <w:t>28</w:t>
      </w:r>
      <w:r>
        <w:rPr>
          <w:rFonts w:ascii="Arial" w:hAnsi="Arial" w:cs="Arial" w:eastAsia="Arial" w:hint="default"/>
          <w:spacing w:val="-6"/>
        </w:rPr>
        <w:t> </w:t>
      </w:r>
      <w:r>
        <w:rPr>
          <w:spacing w:val="-4"/>
        </w:rPr>
        <w:t>日，根据公司第六届董事会第八次会议审议通过的</w:t>
      </w:r>
      <w:r>
        <w:rPr>
          <w:spacing w:val="-51"/>
        </w:rPr>
        <w:t> </w:t>
      </w:r>
      <w:r>
        <w:rPr>
          <w:rFonts w:ascii="Arial" w:hAnsi="Arial" w:cs="Arial" w:eastAsia="Arial" w:hint="default"/>
        </w:rPr>
        <w:t>2018</w:t>
      </w:r>
      <w:r>
        <w:rPr>
          <w:rFonts w:ascii="Arial" w:hAnsi="Arial" w:cs="Arial" w:eastAsia="Arial" w:hint="default"/>
          <w:spacing w:val="-3"/>
        </w:rPr>
        <w:t> </w:t>
      </w:r>
      <w:r>
        <w:rPr/>
        <w:t>年度利润分配预案，</w:t>
      </w:r>
    </w:p>
    <w:p>
      <w:pPr>
        <w:pStyle w:val="BodyText"/>
        <w:spacing w:line="240" w:lineRule="auto" w:before="95"/>
        <w:ind w:right="0"/>
        <w:jc w:val="left"/>
      </w:pPr>
      <w:r>
        <w:rPr>
          <w:w w:val="100"/>
        </w:rPr>
        <w:t>以公司</w:t>
      </w:r>
      <w:r>
        <w:rPr>
          <w:spacing w:val="-60"/>
        </w:rPr>
        <w:t> </w:t>
      </w:r>
      <w:r>
        <w:rPr>
          <w:rFonts w:ascii="Arial" w:hAnsi="Arial" w:cs="Arial" w:eastAsia="Arial" w:hint="default"/>
          <w:spacing w:val="-1"/>
          <w:w w:val="100"/>
        </w:rPr>
        <w:t>201</w:t>
      </w:r>
      <w:r>
        <w:rPr>
          <w:rFonts w:ascii="Arial" w:hAnsi="Arial" w:cs="Arial" w:eastAsia="Arial" w:hint="default"/>
          <w:w w:val="100"/>
        </w:rPr>
        <w:t>8</w:t>
      </w:r>
      <w:r>
        <w:rPr>
          <w:rFonts w:ascii="Arial" w:hAnsi="Arial" w:cs="Arial" w:eastAsia="Arial" w:hint="default"/>
          <w:spacing w:val="-12"/>
        </w:rPr>
        <w:t> </w:t>
      </w:r>
      <w:r>
        <w:rPr>
          <w:w w:val="100"/>
        </w:rPr>
        <w:t>年</w:t>
      </w:r>
      <w:r>
        <w:rPr>
          <w:spacing w:val="-3"/>
          <w:w w:val="100"/>
        </w:rPr>
        <w:t>末</w:t>
      </w:r>
      <w:r>
        <w:rPr>
          <w:w w:val="100"/>
        </w:rPr>
        <w:t>总股本</w:t>
      </w:r>
      <w:r>
        <w:rPr>
          <w:spacing w:val="-62"/>
        </w:rPr>
        <w:t> </w:t>
      </w:r>
      <w:r>
        <w:rPr>
          <w:rFonts w:ascii="Arial" w:hAnsi="Arial" w:cs="Arial" w:eastAsia="Arial" w:hint="default"/>
          <w:w w:val="100"/>
        </w:rPr>
        <w:t>3</w:t>
      </w:r>
      <w:r>
        <w:rPr>
          <w:rFonts w:ascii="Arial" w:hAnsi="Arial" w:cs="Arial" w:eastAsia="Arial" w:hint="default"/>
          <w:spacing w:val="-1"/>
          <w:w w:val="100"/>
        </w:rPr>
        <w:t>0</w:t>
      </w:r>
      <w:r>
        <w:rPr>
          <w:rFonts w:ascii="Arial" w:hAnsi="Arial" w:cs="Arial" w:eastAsia="Arial" w:hint="default"/>
          <w:w w:val="100"/>
        </w:rPr>
        <w:t>3,240,00</w:t>
      </w:r>
      <w:r>
        <w:rPr>
          <w:rFonts w:ascii="Arial" w:hAnsi="Arial" w:cs="Arial" w:eastAsia="Arial" w:hint="default"/>
          <w:spacing w:val="-3"/>
          <w:w w:val="100"/>
        </w:rPr>
        <w:t>0</w:t>
      </w:r>
      <w:r>
        <w:rPr>
          <w:rFonts w:ascii="Arial" w:hAnsi="Arial" w:cs="Arial" w:eastAsia="Arial" w:hint="default"/>
          <w:w w:val="100"/>
        </w:rPr>
        <w:t>.</w:t>
      </w:r>
      <w:r>
        <w:rPr>
          <w:rFonts w:ascii="Arial" w:hAnsi="Arial" w:cs="Arial" w:eastAsia="Arial" w:hint="default"/>
          <w:w w:val="100"/>
        </w:rPr>
        <w:t>00</w:t>
      </w:r>
      <w:r>
        <w:rPr>
          <w:rFonts w:ascii="Arial" w:hAnsi="Arial" w:cs="Arial" w:eastAsia="Arial" w:hint="default"/>
          <w:spacing w:val="-11"/>
        </w:rPr>
        <w:t> </w:t>
      </w:r>
      <w:r>
        <w:rPr>
          <w:w w:val="100"/>
        </w:rPr>
        <w:t>股</w:t>
      </w:r>
      <w:r>
        <w:rPr>
          <w:spacing w:val="-3"/>
          <w:w w:val="100"/>
        </w:rPr>
        <w:t>为基</w:t>
      </w:r>
      <w:r>
        <w:rPr>
          <w:w w:val="100"/>
        </w:rPr>
        <w:t>数</w:t>
      </w:r>
      <w:r>
        <w:rPr>
          <w:rFonts w:ascii="Arial" w:hAnsi="Arial" w:cs="Arial" w:eastAsia="Arial" w:hint="default"/>
          <w:w w:val="100"/>
        </w:rPr>
        <w:t>,</w:t>
      </w:r>
      <w:r>
        <w:rPr>
          <w:rFonts w:ascii="Arial" w:hAnsi="Arial" w:cs="Arial" w:eastAsia="Arial" w:hint="default"/>
        </w:rPr>
        <w:t> </w:t>
      </w:r>
      <w:r>
        <w:rPr>
          <w:rFonts w:ascii="Arial" w:hAnsi="Arial" w:cs="Arial" w:eastAsia="Arial" w:hint="default"/>
          <w:spacing w:val="-11"/>
        </w:rPr>
        <w:t> </w:t>
      </w:r>
      <w:r>
        <w:rPr>
          <w:spacing w:val="-3"/>
          <w:w w:val="100"/>
        </w:rPr>
        <w:t>向</w:t>
      </w:r>
      <w:r>
        <w:rPr>
          <w:w w:val="100"/>
        </w:rPr>
        <w:t>全体</w:t>
      </w:r>
      <w:r>
        <w:rPr>
          <w:spacing w:val="-3"/>
          <w:w w:val="100"/>
        </w:rPr>
        <w:t>股</w:t>
      </w:r>
      <w:r>
        <w:rPr>
          <w:w w:val="100"/>
        </w:rPr>
        <w:t>东每</w:t>
      </w:r>
      <w:r>
        <w:rPr>
          <w:spacing w:val="-60"/>
        </w:rPr>
        <w:t> </w:t>
      </w:r>
      <w:r>
        <w:rPr>
          <w:rFonts w:ascii="Arial" w:hAnsi="Arial" w:cs="Arial" w:eastAsia="Arial" w:hint="default"/>
          <w:spacing w:val="-1"/>
          <w:w w:val="100"/>
        </w:rPr>
        <w:t>1</w:t>
      </w:r>
      <w:r>
        <w:rPr>
          <w:rFonts w:ascii="Arial" w:hAnsi="Arial" w:cs="Arial" w:eastAsia="Arial" w:hint="default"/>
          <w:w w:val="100"/>
        </w:rPr>
        <w:t>0</w:t>
      </w:r>
      <w:r>
        <w:rPr>
          <w:rFonts w:ascii="Arial" w:hAnsi="Arial" w:cs="Arial" w:eastAsia="Arial" w:hint="default"/>
          <w:spacing w:val="-12"/>
        </w:rPr>
        <w:t> </w:t>
      </w:r>
      <w:r>
        <w:rPr>
          <w:spacing w:val="-3"/>
          <w:w w:val="100"/>
        </w:rPr>
        <w:t>股</w:t>
      </w:r>
      <w:r>
        <w:rPr>
          <w:w w:val="100"/>
        </w:rPr>
        <w:t>派发现</w:t>
      </w:r>
      <w:r>
        <w:rPr>
          <w:spacing w:val="-3"/>
          <w:w w:val="100"/>
        </w:rPr>
        <w:t>金</w:t>
      </w:r>
      <w:r>
        <w:rPr>
          <w:w w:val="100"/>
        </w:rPr>
        <w:t>红利</w:t>
      </w:r>
      <w:r>
        <w:rPr>
          <w:spacing w:val="-59"/>
        </w:rPr>
        <w:t> </w:t>
      </w:r>
      <w:r>
        <w:rPr>
          <w:rFonts w:ascii="Arial" w:hAnsi="Arial" w:cs="Arial" w:eastAsia="Arial" w:hint="default"/>
          <w:w w:val="100"/>
        </w:rPr>
        <w:t>0.5</w:t>
      </w:r>
      <w:r>
        <w:rPr>
          <w:rFonts w:ascii="Arial" w:hAnsi="Arial" w:cs="Arial" w:eastAsia="Arial" w:hint="default"/>
          <w:spacing w:val="-11"/>
        </w:rPr>
        <w:t> </w:t>
      </w:r>
      <w:r>
        <w:rPr>
          <w:spacing w:val="-113"/>
          <w:w w:val="100"/>
        </w:rPr>
        <w:t>元</w:t>
      </w:r>
      <w:r>
        <w:rPr>
          <w:w w:val="100"/>
        </w:rPr>
        <w:t>（</w:t>
      </w:r>
      <w:r>
        <w:rPr>
          <w:spacing w:val="-3"/>
          <w:w w:val="100"/>
        </w:rPr>
        <w:t>含</w:t>
      </w:r>
      <w:r>
        <w:rPr>
          <w:w w:val="100"/>
        </w:rPr>
        <w:t>税</w:t>
      </w:r>
      <w:r>
        <w:rPr>
          <w:spacing w:val="-111"/>
          <w:w w:val="100"/>
        </w:rPr>
        <w:t>）</w:t>
      </w:r>
      <w:r>
        <w:rPr>
          <w:w w:val="100"/>
        </w:rPr>
        <w:t>，</w:t>
      </w:r>
    </w:p>
    <w:p>
      <w:pPr>
        <w:pStyle w:val="BodyText"/>
        <w:spacing w:line="240" w:lineRule="auto" w:before="97"/>
        <w:ind w:right="0"/>
        <w:jc w:val="left"/>
        <w:rPr>
          <w:rFonts w:ascii="Arial" w:hAnsi="Arial" w:cs="Arial" w:eastAsia="Arial" w:hint="default"/>
        </w:rPr>
      </w:pPr>
      <w:r>
        <w:rPr>
          <w:w w:val="100"/>
        </w:rPr>
        <w:t>共计派</w:t>
      </w:r>
      <w:r>
        <w:rPr>
          <w:spacing w:val="-3"/>
          <w:w w:val="100"/>
        </w:rPr>
        <w:t>发</w:t>
      </w:r>
      <w:r>
        <w:rPr>
          <w:w w:val="100"/>
        </w:rPr>
        <w:t>现金</w:t>
      </w:r>
      <w:r>
        <w:rPr>
          <w:spacing w:val="-3"/>
          <w:w w:val="100"/>
        </w:rPr>
        <w:t>股</w:t>
      </w:r>
      <w:r>
        <w:rPr>
          <w:w w:val="100"/>
        </w:rPr>
        <w:t>利</w:t>
      </w:r>
      <w:r>
        <w:rPr>
          <w:spacing w:val="-55"/>
        </w:rPr>
        <w:t> </w:t>
      </w:r>
      <w:r>
        <w:rPr>
          <w:rFonts w:ascii="Arial" w:hAnsi="Arial" w:cs="Arial" w:eastAsia="Arial" w:hint="default"/>
          <w:w w:val="100"/>
        </w:rPr>
        <w:t>1</w:t>
      </w:r>
      <w:r>
        <w:rPr>
          <w:rFonts w:ascii="Arial" w:hAnsi="Arial" w:cs="Arial" w:eastAsia="Arial" w:hint="default"/>
          <w:spacing w:val="-1"/>
          <w:w w:val="100"/>
        </w:rPr>
        <w:t>5</w:t>
      </w:r>
      <w:r>
        <w:rPr>
          <w:rFonts w:ascii="Arial" w:hAnsi="Arial" w:cs="Arial" w:eastAsia="Arial" w:hint="default"/>
          <w:w w:val="100"/>
        </w:rPr>
        <w:t>,</w:t>
      </w:r>
      <w:r>
        <w:rPr>
          <w:rFonts w:ascii="Arial" w:hAnsi="Arial" w:cs="Arial" w:eastAsia="Arial" w:hint="default"/>
          <w:w w:val="100"/>
        </w:rPr>
        <w:t>1</w:t>
      </w:r>
      <w:r>
        <w:rPr>
          <w:rFonts w:ascii="Arial" w:hAnsi="Arial" w:cs="Arial" w:eastAsia="Arial" w:hint="default"/>
          <w:spacing w:val="-4"/>
          <w:w w:val="100"/>
        </w:rPr>
        <w:t>6</w:t>
      </w:r>
      <w:r>
        <w:rPr>
          <w:rFonts w:ascii="Arial" w:hAnsi="Arial" w:cs="Arial" w:eastAsia="Arial" w:hint="default"/>
          <w:w w:val="100"/>
        </w:rPr>
        <w:t>2,000.00</w:t>
      </w:r>
      <w:r>
        <w:rPr>
          <w:rFonts w:ascii="Arial" w:hAnsi="Arial" w:cs="Arial" w:eastAsia="Arial" w:hint="default"/>
          <w:spacing w:val="-8"/>
        </w:rPr>
        <w:t> </w:t>
      </w:r>
      <w:r>
        <w:rPr>
          <w:w w:val="100"/>
        </w:rPr>
        <w:t>元</w:t>
      </w:r>
      <w:r>
        <w:rPr>
          <w:spacing w:val="-92"/>
          <w:w w:val="100"/>
        </w:rPr>
        <w:t>，</w:t>
      </w:r>
      <w:r>
        <w:rPr>
          <w:w w:val="100"/>
        </w:rPr>
        <w:t>不送</w:t>
      </w:r>
      <w:r>
        <w:rPr>
          <w:spacing w:val="-3"/>
          <w:w w:val="100"/>
        </w:rPr>
        <w:t>红</w:t>
      </w:r>
      <w:r>
        <w:rPr>
          <w:w w:val="100"/>
        </w:rPr>
        <w:t>股</w:t>
      </w:r>
      <w:r>
        <w:rPr>
          <w:spacing w:val="-94"/>
          <w:w w:val="100"/>
        </w:rPr>
        <w:t>，</w:t>
      </w:r>
      <w:r>
        <w:rPr>
          <w:w w:val="100"/>
        </w:rPr>
        <w:t>不以公</w:t>
      </w:r>
      <w:r>
        <w:rPr>
          <w:spacing w:val="-3"/>
          <w:w w:val="100"/>
        </w:rPr>
        <w:t>积</w:t>
      </w:r>
      <w:r>
        <w:rPr>
          <w:w w:val="100"/>
        </w:rPr>
        <w:t>金转</w:t>
      </w:r>
      <w:r>
        <w:rPr>
          <w:spacing w:val="-3"/>
          <w:w w:val="100"/>
        </w:rPr>
        <w:t>增</w:t>
      </w:r>
      <w:r>
        <w:rPr>
          <w:w w:val="100"/>
        </w:rPr>
        <w:t>股本</w:t>
      </w:r>
      <w:r>
        <w:rPr>
          <w:spacing w:val="-92"/>
          <w:w w:val="100"/>
        </w:rPr>
        <w:t>。</w:t>
      </w:r>
      <w:r>
        <w:rPr>
          <w:spacing w:val="-3"/>
          <w:w w:val="100"/>
        </w:rPr>
        <w:t>该</w:t>
      </w:r>
      <w:r>
        <w:rPr>
          <w:w w:val="100"/>
        </w:rPr>
        <w:t>议案已于</w:t>
      </w:r>
      <w:r>
        <w:rPr>
          <w:spacing w:val="1"/>
        </w:rPr>
        <w:t> </w:t>
      </w:r>
      <w:r>
        <w:rPr>
          <w:rFonts w:ascii="Arial" w:hAnsi="Arial" w:cs="Arial" w:eastAsia="Arial" w:hint="default"/>
          <w:w w:val="100"/>
        </w:rPr>
        <w:t>2</w:t>
      </w:r>
      <w:r>
        <w:rPr>
          <w:rFonts w:ascii="Arial" w:hAnsi="Arial" w:cs="Arial" w:eastAsia="Arial" w:hint="default"/>
          <w:spacing w:val="-4"/>
          <w:w w:val="100"/>
        </w:rPr>
        <w:t>0</w:t>
      </w:r>
      <w:r>
        <w:rPr>
          <w:rFonts w:ascii="Arial" w:hAnsi="Arial" w:cs="Arial" w:eastAsia="Arial" w:hint="default"/>
          <w:w w:val="100"/>
        </w:rPr>
        <w:t>19</w:t>
      </w:r>
      <w:r>
        <w:rPr>
          <w:rFonts w:ascii="Arial" w:hAnsi="Arial" w:cs="Arial" w:eastAsia="Arial" w:hint="default"/>
          <w:spacing w:val="-7"/>
        </w:rPr>
        <w:t> </w:t>
      </w:r>
      <w:r>
        <w:rPr>
          <w:w w:val="100"/>
        </w:rPr>
        <w:t>年</w:t>
      </w:r>
      <w:r>
        <w:rPr/>
        <w:t> </w:t>
      </w:r>
      <w:r>
        <w:rPr>
          <w:rFonts w:ascii="Arial" w:hAnsi="Arial" w:cs="Arial" w:eastAsia="Arial" w:hint="default"/>
          <w:w w:val="100"/>
        </w:rPr>
        <w:t>6</w:t>
      </w:r>
      <w:r>
        <w:rPr>
          <w:rFonts w:ascii="Arial" w:hAnsi="Arial" w:cs="Arial" w:eastAsia="Arial" w:hint="default"/>
        </w:rPr>
        <w:t> </w:t>
      </w:r>
      <w:r>
        <w:rPr>
          <w:rFonts w:ascii="Arial" w:hAnsi="Arial" w:cs="Arial" w:eastAsia="Arial" w:hint="default"/>
          <w:spacing w:val="-15"/>
        </w:rPr>
        <w:t> </w:t>
      </w:r>
      <w:r>
        <w:rPr>
          <w:w w:val="100"/>
        </w:rPr>
        <w:t>月</w:t>
      </w:r>
      <w:r>
        <w:rPr>
          <w:spacing w:val="-2"/>
        </w:rPr>
        <w:t> </w:t>
      </w:r>
      <w:r>
        <w:rPr>
          <w:rFonts w:ascii="Arial" w:hAnsi="Arial" w:cs="Arial" w:eastAsia="Arial" w:hint="default"/>
          <w:spacing w:val="-1"/>
          <w:w w:val="100"/>
        </w:rPr>
        <w:t>26</w:t>
      </w:r>
      <w:r>
        <w:rPr>
          <w:rFonts w:ascii="Arial" w:hAnsi="Arial" w:cs="Arial" w:eastAsia="Arial" w:hint="default"/>
          <w:w w:val="100"/>
        </w:rPr>
      </w:r>
    </w:p>
    <w:p>
      <w:pPr>
        <w:pStyle w:val="BodyText"/>
        <w:spacing w:line="240" w:lineRule="auto" w:before="95"/>
        <w:ind w:right="1133"/>
        <w:jc w:val="left"/>
      </w:pPr>
      <w:r>
        <w:rPr/>
        <w:t>日提交 </w:t>
      </w:r>
      <w:r>
        <w:rPr>
          <w:rFonts w:ascii="Arial" w:hAnsi="Arial" w:cs="Arial" w:eastAsia="Arial" w:hint="default"/>
        </w:rPr>
        <w:t>2018</w:t>
      </w:r>
      <w:r>
        <w:rPr>
          <w:rFonts w:ascii="Arial" w:hAnsi="Arial" w:cs="Arial" w:eastAsia="Arial" w:hint="default"/>
          <w:spacing w:val="-9"/>
        </w:rPr>
        <w:t> </w:t>
      </w:r>
      <w:r>
        <w:rPr/>
        <w:t>年度股东大会审议通过。</w:t>
      </w:r>
    </w:p>
    <w:p>
      <w:pPr>
        <w:pStyle w:val="Heading4"/>
        <w:tabs>
          <w:tab w:pos="1413" w:val="left" w:leader="none"/>
        </w:tabs>
        <w:spacing w:line="240" w:lineRule="auto" w:before="138"/>
        <w:ind w:right="1133"/>
        <w:jc w:val="left"/>
        <w:rPr>
          <w:b w:val="0"/>
          <w:bCs w:val="0"/>
        </w:rPr>
      </w:pPr>
      <w:r>
        <w:rPr>
          <w:rFonts w:ascii="Arial" w:hAnsi="Arial" w:cs="Arial" w:eastAsia="Arial" w:hint="default"/>
          <w:spacing w:val="-1"/>
        </w:rPr>
        <w:t>29</w:t>
      </w:r>
      <w:r>
        <w:rPr>
          <w:spacing w:val="-1"/>
        </w:rPr>
        <w:t>、</w:t>
        <w:tab/>
      </w:r>
      <w:r>
        <w:rPr/>
        <w:t>营业收入、营业成本</w:t>
      </w:r>
      <w:r>
        <w:rPr>
          <w:b w:val="0"/>
          <w:bCs w:val="0"/>
        </w:rPr>
      </w:r>
    </w:p>
    <w:p>
      <w:pPr>
        <w:spacing w:line="240" w:lineRule="auto" w:before="6"/>
        <w:rPr>
          <w:rFonts w:ascii="宋体" w:hAnsi="宋体" w:cs="宋体" w:eastAsia="宋体" w:hint="default"/>
          <w:b/>
          <w:bCs/>
          <w:sz w:val="2"/>
          <w:szCs w:val="2"/>
        </w:rPr>
      </w:pPr>
    </w:p>
    <w:tbl>
      <w:tblPr>
        <w:tblW w:w="0" w:type="auto"/>
        <w:jc w:val="left"/>
        <w:tblInd w:w="580" w:type="dxa"/>
        <w:tblLayout w:type="fixed"/>
        <w:tblCellMar>
          <w:top w:w="0" w:type="dxa"/>
          <w:left w:w="0" w:type="dxa"/>
          <w:bottom w:w="0" w:type="dxa"/>
          <w:right w:w="0" w:type="dxa"/>
        </w:tblCellMar>
        <w:tblLook w:val="01E0"/>
      </w:tblPr>
      <w:tblGrid>
        <w:gridCol w:w="1543"/>
        <w:gridCol w:w="1841"/>
        <w:gridCol w:w="1844"/>
        <w:gridCol w:w="1702"/>
        <w:gridCol w:w="1810"/>
      </w:tblGrid>
      <w:tr>
        <w:trPr>
          <w:trHeight w:val="499" w:hRule="exact"/>
        </w:trPr>
        <w:tc>
          <w:tcPr>
            <w:tcW w:w="1543"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9"/>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85"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3512"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485" w:hRule="exact"/>
        </w:trPr>
        <w:tc>
          <w:tcPr>
            <w:tcW w:w="1543" w:type="dxa"/>
            <w:vMerge/>
            <w:tcBorders>
              <w:left w:val="nil" w:sz="6" w:space="0" w:color="auto"/>
              <w:bottom w:val="single" w:sz="2" w:space="0" w:color="000000"/>
              <w:right w:val="single" w:sz="2" w:space="0" w:color="000000"/>
            </w:tcBorders>
          </w:tcPr>
          <w:p>
            <w:pP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8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left="3"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85" w:hRule="exact"/>
        </w:trPr>
        <w:tc>
          <w:tcPr>
            <w:tcW w:w="15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0"/>
              <w:ind w:left="1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1,174,974,035.12</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928,940,480.65</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954,250,733.75</w:t>
            </w:r>
          </w:p>
        </w:tc>
        <w:tc>
          <w:tcPr>
            <w:tcW w:w="18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764,565,192.29</w:t>
            </w:r>
          </w:p>
        </w:tc>
      </w:tr>
      <w:tr>
        <w:trPr>
          <w:trHeight w:val="485" w:hRule="exact"/>
        </w:trPr>
        <w:tc>
          <w:tcPr>
            <w:tcW w:w="15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28,738,066.59</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4,437,068.47</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25,803,273.73</w:t>
            </w:r>
          </w:p>
        </w:tc>
        <w:tc>
          <w:tcPr>
            <w:tcW w:w="18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3,631,221.04</w:t>
            </w:r>
          </w:p>
        </w:tc>
      </w:tr>
      <w:tr>
        <w:trPr>
          <w:trHeight w:val="499" w:hRule="exact"/>
        </w:trPr>
        <w:tc>
          <w:tcPr>
            <w:tcW w:w="154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1,203,712,101.71</w:t>
            </w:r>
          </w:p>
        </w:tc>
        <w:tc>
          <w:tcPr>
            <w:tcW w:w="18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933,377,549.12</w:t>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980,054,007.48</w:t>
            </w:r>
          </w:p>
        </w:tc>
        <w:tc>
          <w:tcPr>
            <w:tcW w:w="181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768,196,413.33</w:t>
            </w:r>
          </w:p>
        </w:tc>
      </w:tr>
    </w:tbl>
    <w:p>
      <w:pPr>
        <w:pStyle w:val="Heading4"/>
        <w:tabs>
          <w:tab w:pos="1413" w:val="left" w:leader="none"/>
        </w:tabs>
        <w:spacing w:line="240" w:lineRule="auto"/>
        <w:ind w:right="1133"/>
        <w:jc w:val="left"/>
        <w:rPr>
          <w:b w:val="0"/>
          <w:bCs w:val="0"/>
        </w:rPr>
      </w:pPr>
      <w:r>
        <w:rPr>
          <w:rFonts w:ascii="Arial" w:hAnsi="Arial" w:cs="Arial" w:eastAsia="Arial" w:hint="default"/>
          <w:spacing w:val="-1"/>
        </w:rPr>
        <w:t>30</w:t>
      </w:r>
      <w:r>
        <w:rPr>
          <w:spacing w:val="-1"/>
        </w:rPr>
        <w:t>、</w:t>
        <w:tab/>
      </w:r>
      <w:r>
        <w:rPr/>
        <w:t>税金及附加</w:t>
      </w:r>
      <w:r>
        <w:rPr>
          <w:b w:val="0"/>
          <w:bCs w:val="0"/>
        </w:rPr>
      </w:r>
    </w:p>
    <w:p>
      <w:pPr>
        <w:spacing w:line="240" w:lineRule="auto" w:before="6"/>
        <w:rPr>
          <w:rFonts w:ascii="宋体" w:hAnsi="宋体" w:cs="宋体" w:eastAsia="宋体" w:hint="default"/>
          <w:b/>
          <w:bCs/>
          <w:sz w:val="2"/>
          <w:szCs w:val="2"/>
        </w:rPr>
      </w:pPr>
    </w:p>
    <w:tbl>
      <w:tblPr>
        <w:tblW w:w="0" w:type="auto"/>
        <w:jc w:val="left"/>
        <w:tblInd w:w="580" w:type="dxa"/>
        <w:tblLayout w:type="fixed"/>
        <w:tblCellMar>
          <w:top w:w="0" w:type="dxa"/>
          <w:left w:w="0" w:type="dxa"/>
          <w:bottom w:w="0" w:type="dxa"/>
          <w:right w:w="0" w:type="dxa"/>
        </w:tblCellMar>
        <w:tblLook w:val="01E0"/>
      </w:tblPr>
      <w:tblGrid>
        <w:gridCol w:w="3385"/>
        <w:gridCol w:w="2676"/>
        <w:gridCol w:w="2679"/>
      </w:tblGrid>
      <w:tr>
        <w:trPr>
          <w:trHeight w:val="499" w:hRule="exact"/>
        </w:trPr>
        <w:tc>
          <w:tcPr>
            <w:tcW w:w="338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2"/>
              <w:ind w:right="1498"/>
              <w:jc w:val="right"/>
              <w:rPr>
                <w:rFonts w:ascii="宋体" w:hAnsi="宋体" w:cs="宋体" w:eastAsia="宋体" w:hint="default"/>
                <w:sz w:val="18"/>
                <w:szCs w:val="18"/>
              </w:rPr>
            </w:pPr>
            <w:r>
              <w:rPr>
                <w:rFonts w:ascii="宋体" w:hAnsi="宋体" w:cs="宋体" w:eastAsia="宋体" w:hint="default"/>
                <w:sz w:val="18"/>
                <w:szCs w:val="18"/>
              </w:rPr>
              <w:t>项目</w:t>
            </w:r>
          </w:p>
        </w:tc>
        <w:tc>
          <w:tcPr>
            <w:tcW w:w="26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left="888"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67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left="887"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485" w:hRule="exact"/>
        </w:trPr>
        <w:tc>
          <w:tcPr>
            <w:tcW w:w="33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2,033,682.73</w:t>
            </w:r>
          </w:p>
        </w:tc>
        <w:tc>
          <w:tcPr>
            <w:tcW w:w="26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2"/>
                <w:sz w:val="18"/>
              </w:rPr>
              <w:t>2,119,084.45</w:t>
            </w:r>
          </w:p>
        </w:tc>
      </w:tr>
      <w:tr>
        <w:trPr>
          <w:trHeight w:val="485" w:hRule="exact"/>
        </w:trPr>
        <w:tc>
          <w:tcPr>
            <w:tcW w:w="33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1,640,956.63</w:t>
            </w:r>
          </w:p>
        </w:tc>
        <w:tc>
          <w:tcPr>
            <w:tcW w:w="26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2,849,229.26</w:t>
            </w:r>
          </w:p>
        </w:tc>
      </w:tr>
      <w:tr>
        <w:trPr>
          <w:trHeight w:val="485" w:hRule="exact"/>
        </w:trPr>
        <w:tc>
          <w:tcPr>
            <w:tcW w:w="33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676" w:type="dxa"/>
            <w:tcBorders>
              <w:top w:val="single" w:sz="2" w:space="0" w:color="000000"/>
              <w:left w:val="single" w:sz="2" w:space="0" w:color="000000"/>
              <w:bottom w:val="single" w:sz="2" w:space="0" w:color="000000"/>
              <w:right w:val="single" w:sz="2" w:space="0" w:color="000000"/>
            </w:tcBorders>
          </w:tcPr>
          <w:p>
            <w:pPr/>
          </w:p>
        </w:tc>
        <w:tc>
          <w:tcPr>
            <w:tcW w:w="26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699,092.91</w:t>
            </w:r>
          </w:p>
        </w:tc>
      </w:tr>
      <w:tr>
        <w:trPr>
          <w:trHeight w:val="485" w:hRule="exact"/>
        </w:trPr>
        <w:tc>
          <w:tcPr>
            <w:tcW w:w="33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1,210,789.41</w:t>
            </w:r>
          </w:p>
        </w:tc>
        <w:tc>
          <w:tcPr>
            <w:tcW w:w="26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2,328,078.52</w:t>
            </w:r>
          </w:p>
        </w:tc>
      </w:tr>
      <w:tr>
        <w:trPr>
          <w:trHeight w:val="485" w:hRule="exact"/>
        </w:trPr>
        <w:tc>
          <w:tcPr>
            <w:tcW w:w="33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65,330.62</w:t>
            </w:r>
          </w:p>
        </w:tc>
        <w:tc>
          <w:tcPr>
            <w:tcW w:w="26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131,343.54</w:t>
            </w:r>
          </w:p>
        </w:tc>
      </w:tr>
      <w:tr>
        <w:trPr>
          <w:trHeight w:val="485" w:hRule="exact"/>
        </w:trPr>
        <w:tc>
          <w:tcPr>
            <w:tcW w:w="33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675,191.00</w:t>
            </w:r>
          </w:p>
        </w:tc>
        <w:tc>
          <w:tcPr>
            <w:tcW w:w="26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702,346.04</w:t>
            </w:r>
          </w:p>
        </w:tc>
      </w:tr>
      <w:tr>
        <w:trPr>
          <w:trHeight w:val="485" w:hRule="exact"/>
        </w:trPr>
        <w:tc>
          <w:tcPr>
            <w:tcW w:w="33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46,255.46</w:t>
            </w:r>
          </w:p>
        </w:tc>
        <w:tc>
          <w:tcPr>
            <w:tcW w:w="26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32,862.93</w:t>
            </w:r>
          </w:p>
        </w:tc>
      </w:tr>
      <w:tr>
        <w:trPr>
          <w:trHeight w:val="485" w:hRule="exact"/>
        </w:trPr>
        <w:tc>
          <w:tcPr>
            <w:tcW w:w="33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8,087.27</w:t>
            </w:r>
          </w:p>
        </w:tc>
        <w:tc>
          <w:tcPr>
            <w:tcW w:w="26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479,876.67</w:t>
            </w:r>
          </w:p>
        </w:tc>
      </w:tr>
      <w:tr>
        <w:trPr>
          <w:trHeight w:val="500" w:hRule="exact"/>
        </w:trPr>
        <w:tc>
          <w:tcPr>
            <w:tcW w:w="338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50"/>
              <w:ind w:right="1498"/>
              <w:jc w:val="right"/>
              <w:rPr>
                <w:rFonts w:ascii="宋体" w:hAnsi="宋体" w:cs="宋体" w:eastAsia="宋体" w:hint="default"/>
                <w:sz w:val="18"/>
                <w:szCs w:val="18"/>
              </w:rPr>
            </w:pPr>
            <w:r>
              <w:rPr>
                <w:rFonts w:ascii="宋体" w:hAnsi="宋体" w:cs="宋体" w:eastAsia="宋体" w:hint="default"/>
                <w:sz w:val="18"/>
                <w:szCs w:val="18"/>
              </w:rPr>
              <w:t>合计</w:t>
            </w:r>
          </w:p>
        </w:tc>
        <w:tc>
          <w:tcPr>
            <w:tcW w:w="26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5,680,293.12</w:t>
            </w:r>
          </w:p>
        </w:tc>
        <w:tc>
          <w:tcPr>
            <w:tcW w:w="267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9,341,914.32</w:t>
            </w:r>
          </w:p>
        </w:tc>
      </w:tr>
    </w:tbl>
    <w:p>
      <w:pPr>
        <w:pStyle w:val="Heading4"/>
        <w:tabs>
          <w:tab w:pos="1413" w:val="left" w:leader="none"/>
        </w:tabs>
        <w:spacing w:line="240" w:lineRule="auto"/>
        <w:ind w:right="1133"/>
        <w:jc w:val="left"/>
        <w:rPr>
          <w:b w:val="0"/>
          <w:bCs w:val="0"/>
        </w:rPr>
      </w:pPr>
      <w:r>
        <w:rPr>
          <w:rFonts w:ascii="Arial" w:hAnsi="Arial" w:cs="Arial" w:eastAsia="Arial" w:hint="default"/>
          <w:spacing w:val="-1"/>
        </w:rPr>
        <w:t>31</w:t>
      </w:r>
      <w:r>
        <w:rPr>
          <w:spacing w:val="-1"/>
        </w:rPr>
        <w:t>、</w:t>
        <w:tab/>
      </w:r>
      <w:r>
        <w:rPr/>
        <w:t>销售费用</w:t>
      </w:r>
      <w:r>
        <w:rPr>
          <w:b w:val="0"/>
          <w:bCs w:val="0"/>
        </w:rPr>
      </w:r>
    </w:p>
    <w:p>
      <w:pPr>
        <w:spacing w:after="0" w:line="240" w:lineRule="auto"/>
        <w:jc w:val="left"/>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580" w:type="dxa"/>
        <w:tblLayout w:type="fixed"/>
        <w:tblCellMar>
          <w:top w:w="0" w:type="dxa"/>
          <w:left w:w="0" w:type="dxa"/>
          <w:bottom w:w="0" w:type="dxa"/>
          <w:right w:w="0" w:type="dxa"/>
        </w:tblCellMar>
        <w:tblLook w:val="01E0"/>
      </w:tblPr>
      <w:tblGrid>
        <w:gridCol w:w="3387"/>
        <w:gridCol w:w="2676"/>
        <w:gridCol w:w="2676"/>
      </w:tblGrid>
      <w:tr>
        <w:trPr>
          <w:trHeight w:val="500" w:hRule="exact"/>
        </w:trPr>
        <w:tc>
          <w:tcPr>
            <w:tcW w:w="338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2"/>
              <w:ind w:right="1502"/>
              <w:jc w:val="right"/>
              <w:rPr>
                <w:rFonts w:ascii="宋体" w:hAnsi="宋体" w:cs="宋体" w:eastAsia="宋体" w:hint="default"/>
                <w:sz w:val="18"/>
                <w:szCs w:val="18"/>
              </w:rPr>
            </w:pPr>
            <w:r>
              <w:rPr>
                <w:rFonts w:ascii="宋体" w:hAnsi="宋体" w:cs="宋体" w:eastAsia="宋体" w:hint="default"/>
                <w:sz w:val="18"/>
                <w:szCs w:val="18"/>
              </w:rPr>
              <w:t>项目</w:t>
            </w:r>
          </w:p>
        </w:tc>
        <w:tc>
          <w:tcPr>
            <w:tcW w:w="26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left="887"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67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left="887"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485" w:hRule="exact"/>
        </w:trPr>
        <w:tc>
          <w:tcPr>
            <w:tcW w:w="338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26,417,031.03</w:t>
            </w:r>
          </w:p>
        </w:tc>
        <w:tc>
          <w:tcPr>
            <w:tcW w:w="26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26,269,474.74</w:t>
            </w:r>
          </w:p>
        </w:tc>
      </w:tr>
      <w:tr>
        <w:trPr>
          <w:trHeight w:val="485" w:hRule="exact"/>
        </w:trPr>
        <w:tc>
          <w:tcPr>
            <w:tcW w:w="338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办公及其他行政费用</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1,277,064.80</w:t>
            </w:r>
          </w:p>
        </w:tc>
        <w:tc>
          <w:tcPr>
            <w:tcW w:w="26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1,884,538.31</w:t>
            </w:r>
          </w:p>
        </w:tc>
      </w:tr>
      <w:tr>
        <w:trPr>
          <w:trHeight w:val="485" w:hRule="exact"/>
        </w:trPr>
        <w:tc>
          <w:tcPr>
            <w:tcW w:w="338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214,103.78</w:t>
            </w:r>
          </w:p>
        </w:tc>
        <w:tc>
          <w:tcPr>
            <w:tcW w:w="2676"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338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146,570.62</w:t>
            </w:r>
          </w:p>
        </w:tc>
        <w:tc>
          <w:tcPr>
            <w:tcW w:w="26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2"/>
                <w:sz w:val="18"/>
              </w:rPr>
              <w:t>311,461.58</w:t>
            </w:r>
          </w:p>
        </w:tc>
      </w:tr>
      <w:tr>
        <w:trPr>
          <w:trHeight w:val="485" w:hRule="exact"/>
        </w:trPr>
        <w:tc>
          <w:tcPr>
            <w:tcW w:w="338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聘请中介机构费</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74,397.19</w:t>
            </w:r>
          </w:p>
        </w:tc>
        <w:tc>
          <w:tcPr>
            <w:tcW w:w="26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56,969.01</w:t>
            </w:r>
          </w:p>
        </w:tc>
      </w:tr>
      <w:tr>
        <w:trPr>
          <w:trHeight w:val="485" w:hRule="exact"/>
        </w:trPr>
        <w:tc>
          <w:tcPr>
            <w:tcW w:w="338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676" w:type="dxa"/>
            <w:tcBorders>
              <w:top w:val="single" w:sz="2" w:space="0" w:color="000000"/>
              <w:left w:val="single" w:sz="2" w:space="0" w:color="000000"/>
              <w:bottom w:val="single" w:sz="2" w:space="0" w:color="000000"/>
              <w:right w:val="single" w:sz="2" w:space="0" w:color="000000"/>
            </w:tcBorders>
          </w:tcPr>
          <w:p>
            <w:pPr/>
          </w:p>
        </w:tc>
        <w:tc>
          <w:tcPr>
            <w:tcW w:w="26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26,918.35</w:t>
            </w:r>
          </w:p>
        </w:tc>
      </w:tr>
      <w:tr>
        <w:trPr>
          <w:trHeight w:val="485" w:hRule="exact"/>
        </w:trPr>
        <w:tc>
          <w:tcPr>
            <w:tcW w:w="338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2676" w:type="dxa"/>
            <w:tcBorders>
              <w:top w:val="single" w:sz="2" w:space="0" w:color="000000"/>
              <w:left w:val="single" w:sz="2" w:space="0" w:color="000000"/>
              <w:bottom w:val="single" w:sz="2" w:space="0" w:color="000000"/>
              <w:right w:val="single" w:sz="2" w:space="0" w:color="000000"/>
            </w:tcBorders>
          </w:tcPr>
          <w:p>
            <w:pPr/>
          </w:p>
        </w:tc>
        <w:tc>
          <w:tcPr>
            <w:tcW w:w="26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4"/>
              <w:jc w:val="right"/>
              <w:rPr>
                <w:rFonts w:ascii="Arial" w:hAnsi="Arial" w:cs="Arial" w:eastAsia="Arial" w:hint="default"/>
                <w:sz w:val="18"/>
                <w:szCs w:val="18"/>
              </w:rPr>
            </w:pPr>
            <w:r>
              <w:rPr>
                <w:rFonts w:ascii="Arial"/>
                <w:spacing w:val="-1"/>
                <w:sz w:val="18"/>
              </w:rPr>
              <w:t>133,946.52</w:t>
            </w:r>
          </w:p>
        </w:tc>
      </w:tr>
      <w:tr>
        <w:trPr>
          <w:trHeight w:val="485" w:hRule="exact"/>
        </w:trPr>
        <w:tc>
          <w:tcPr>
            <w:tcW w:w="338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9,363.32</w:t>
            </w:r>
          </w:p>
        </w:tc>
        <w:tc>
          <w:tcPr>
            <w:tcW w:w="26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14,601.32</w:t>
            </w:r>
          </w:p>
        </w:tc>
      </w:tr>
      <w:tr>
        <w:trPr>
          <w:trHeight w:val="511" w:hRule="exact"/>
        </w:trPr>
        <w:tc>
          <w:tcPr>
            <w:tcW w:w="338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57"/>
              <w:ind w:right="1502"/>
              <w:jc w:val="right"/>
              <w:rPr>
                <w:rFonts w:ascii="宋体" w:hAnsi="宋体" w:cs="宋体" w:eastAsia="宋体" w:hint="default"/>
                <w:sz w:val="18"/>
                <w:szCs w:val="18"/>
              </w:rPr>
            </w:pPr>
            <w:r>
              <w:rPr>
                <w:rFonts w:ascii="宋体" w:hAnsi="宋体" w:cs="宋体" w:eastAsia="宋体" w:hint="default"/>
                <w:sz w:val="18"/>
                <w:szCs w:val="18"/>
              </w:rPr>
              <w:t>合计</w:t>
            </w:r>
          </w:p>
        </w:tc>
        <w:tc>
          <w:tcPr>
            <w:tcW w:w="26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28,138,530.74</w:t>
            </w:r>
          </w:p>
        </w:tc>
        <w:tc>
          <w:tcPr>
            <w:tcW w:w="267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28,697,909.83</w:t>
            </w:r>
          </w:p>
        </w:tc>
      </w:tr>
    </w:tbl>
    <w:p>
      <w:pPr>
        <w:pStyle w:val="Heading4"/>
        <w:tabs>
          <w:tab w:pos="1413" w:val="left" w:leader="none"/>
        </w:tabs>
        <w:spacing w:line="240" w:lineRule="auto"/>
        <w:ind w:right="1133"/>
        <w:jc w:val="left"/>
        <w:rPr>
          <w:b w:val="0"/>
          <w:bCs w:val="0"/>
        </w:rPr>
      </w:pPr>
      <w:r>
        <w:rPr>
          <w:rFonts w:ascii="Arial" w:hAnsi="Arial" w:cs="Arial" w:eastAsia="Arial" w:hint="default"/>
          <w:spacing w:val="-1"/>
        </w:rPr>
        <w:t>32</w:t>
      </w:r>
      <w:r>
        <w:rPr>
          <w:spacing w:val="-1"/>
        </w:rPr>
        <w:t>、</w:t>
        <w:tab/>
      </w:r>
      <w:r>
        <w:rPr/>
        <w:t>管理费用</w:t>
      </w:r>
      <w:r>
        <w:rPr>
          <w:b w:val="0"/>
          <w:bCs w:val="0"/>
        </w:rPr>
      </w:r>
    </w:p>
    <w:p>
      <w:pPr>
        <w:spacing w:line="240" w:lineRule="auto" w:before="6"/>
        <w:rPr>
          <w:rFonts w:ascii="宋体" w:hAnsi="宋体" w:cs="宋体" w:eastAsia="宋体" w:hint="default"/>
          <w:b/>
          <w:bCs/>
          <w:sz w:val="2"/>
          <w:szCs w:val="2"/>
        </w:rPr>
      </w:pPr>
    </w:p>
    <w:tbl>
      <w:tblPr>
        <w:tblW w:w="0" w:type="auto"/>
        <w:jc w:val="left"/>
        <w:tblInd w:w="592" w:type="dxa"/>
        <w:tblLayout w:type="fixed"/>
        <w:tblCellMar>
          <w:top w:w="0" w:type="dxa"/>
          <w:left w:w="0" w:type="dxa"/>
          <w:bottom w:w="0" w:type="dxa"/>
          <w:right w:w="0" w:type="dxa"/>
        </w:tblCellMar>
        <w:tblLook w:val="01E0"/>
      </w:tblPr>
      <w:tblGrid>
        <w:gridCol w:w="3368"/>
        <w:gridCol w:w="2674"/>
        <w:gridCol w:w="2674"/>
      </w:tblGrid>
      <w:tr>
        <w:trPr>
          <w:trHeight w:val="499" w:hRule="exact"/>
        </w:trPr>
        <w:tc>
          <w:tcPr>
            <w:tcW w:w="336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2"/>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7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left="885"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67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left="885"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485" w:hRule="exact"/>
        </w:trPr>
        <w:tc>
          <w:tcPr>
            <w:tcW w:w="33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26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59,725,300.26</w:t>
            </w:r>
          </w:p>
        </w:tc>
        <w:tc>
          <w:tcPr>
            <w:tcW w:w="26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42,874,771.69</w:t>
            </w:r>
          </w:p>
        </w:tc>
      </w:tr>
      <w:tr>
        <w:trPr>
          <w:trHeight w:val="485" w:hRule="exact"/>
        </w:trPr>
        <w:tc>
          <w:tcPr>
            <w:tcW w:w="33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0"/>
              <w:ind w:left="1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26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9,566,400.14</w:t>
            </w:r>
          </w:p>
        </w:tc>
        <w:tc>
          <w:tcPr>
            <w:tcW w:w="26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9,663,503.80</w:t>
            </w:r>
          </w:p>
        </w:tc>
      </w:tr>
      <w:tr>
        <w:trPr>
          <w:trHeight w:val="485" w:hRule="exact"/>
        </w:trPr>
        <w:tc>
          <w:tcPr>
            <w:tcW w:w="33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办公费用及其他行政费用</w:t>
            </w:r>
          </w:p>
        </w:tc>
        <w:tc>
          <w:tcPr>
            <w:tcW w:w="26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7,145,107.33</w:t>
            </w:r>
          </w:p>
        </w:tc>
        <w:tc>
          <w:tcPr>
            <w:tcW w:w="26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9,644,323.09</w:t>
            </w:r>
          </w:p>
        </w:tc>
      </w:tr>
      <w:tr>
        <w:trPr>
          <w:trHeight w:val="485" w:hRule="exact"/>
        </w:trPr>
        <w:tc>
          <w:tcPr>
            <w:tcW w:w="33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其中：业务招待费</w:t>
            </w:r>
          </w:p>
        </w:tc>
        <w:tc>
          <w:tcPr>
            <w:tcW w:w="26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3,431,723.12</w:t>
            </w:r>
          </w:p>
        </w:tc>
        <w:tc>
          <w:tcPr>
            <w:tcW w:w="26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4,054,437.70</w:t>
            </w:r>
          </w:p>
        </w:tc>
      </w:tr>
      <w:tr>
        <w:trPr>
          <w:trHeight w:val="485" w:hRule="exact"/>
        </w:trPr>
        <w:tc>
          <w:tcPr>
            <w:tcW w:w="33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26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3,267,554.84</w:t>
            </w:r>
          </w:p>
        </w:tc>
        <w:tc>
          <w:tcPr>
            <w:tcW w:w="26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2,833,266.90</w:t>
            </w:r>
          </w:p>
        </w:tc>
      </w:tr>
      <w:tr>
        <w:trPr>
          <w:trHeight w:val="485" w:hRule="exact"/>
        </w:trPr>
        <w:tc>
          <w:tcPr>
            <w:tcW w:w="33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26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1,647,330.47</w:t>
            </w:r>
          </w:p>
        </w:tc>
        <w:tc>
          <w:tcPr>
            <w:tcW w:w="26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3,412,726.10</w:t>
            </w:r>
          </w:p>
        </w:tc>
      </w:tr>
      <w:tr>
        <w:trPr>
          <w:trHeight w:val="487" w:hRule="exact"/>
        </w:trPr>
        <w:tc>
          <w:tcPr>
            <w:tcW w:w="33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2"/>
              <w:ind w:left="124"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26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803,082.62</w:t>
            </w:r>
          </w:p>
        </w:tc>
        <w:tc>
          <w:tcPr>
            <w:tcW w:w="26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1,238,026.34</w:t>
            </w:r>
          </w:p>
        </w:tc>
      </w:tr>
      <w:tr>
        <w:trPr>
          <w:trHeight w:val="485" w:hRule="exact"/>
        </w:trPr>
        <w:tc>
          <w:tcPr>
            <w:tcW w:w="33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物料消耗费</w:t>
            </w:r>
          </w:p>
        </w:tc>
        <w:tc>
          <w:tcPr>
            <w:tcW w:w="26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559,591.04</w:t>
            </w:r>
          </w:p>
        </w:tc>
        <w:tc>
          <w:tcPr>
            <w:tcW w:w="26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180,162.30</w:t>
            </w:r>
          </w:p>
        </w:tc>
      </w:tr>
      <w:tr>
        <w:trPr>
          <w:trHeight w:val="485" w:hRule="exact"/>
        </w:trPr>
        <w:tc>
          <w:tcPr>
            <w:tcW w:w="33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0"/>
              <w:ind w:left="1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2,009,704.93</w:t>
            </w:r>
          </w:p>
        </w:tc>
        <w:tc>
          <w:tcPr>
            <w:tcW w:w="26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1,763,296.14</w:t>
            </w:r>
          </w:p>
        </w:tc>
      </w:tr>
      <w:tr>
        <w:trPr>
          <w:trHeight w:val="562" w:hRule="exact"/>
        </w:trPr>
        <w:tc>
          <w:tcPr>
            <w:tcW w:w="336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0"/>
              <w:jc w:val="right"/>
              <w:rPr>
                <w:rFonts w:ascii="Arial" w:hAnsi="Arial" w:cs="Arial" w:eastAsia="Arial" w:hint="default"/>
                <w:sz w:val="18"/>
                <w:szCs w:val="18"/>
              </w:rPr>
            </w:pPr>
            <w:r>
              <w:rPr>
                <w:rFonts w:ascii="Arial"/>
                <w:spacing w:val="-1"/>
                <w:sz w:val="18"/>
              </w:rPr>
              <w:t>84,724,071.63</w:t>
            </w:r>
          </w:p>
        </w:tc>
        <w:tc>
          <w:tcPr>
            <w:tcW w:w="267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2"/>
              <w:jc w:val="right"/>
              <w:rPr>
                <w:rFonts w:ascii="Arial" w:hAnsi="Arial" w:cs="Arial" w:eastAsia="Arial" w:hint="default"/>
                <w:sz w:val="18"/>
                <w:szCs w:val="18"/>
              </w:rPr>
            </w:pPr>
            <w:r>
              <w:rPr>
                <w:rFonts w:ascii="Arial"/>
                <w:spacing w:val="-1"/>
                <w:sz w:val="18"/>
              </w:rPr>
              <w:t>71,610,076.36</w:t>
            </w:r>
          </w:p>
        </w:tc>
      </w:tr>
    </w:tbl>
    <w:p>
      <w:pPr>
        <w:pStyle w:val="Heading4"/>
        <w:tabs>
          <w:tab w:pos="1413" w:val="left" w:leader="none"/>
        </w:tabs>
        <w:spacing w:line="240" w:lineRule="auto"/>
        <w:ind w:right="1133"/>
        <w:jc w:val="left"/>
        <w:rPr>
          <w:b w:val="0"/>
          <w:bCs w:val="0"/>
        </w:rPr>
      </w:pPr>
      <w:r>
        <w:rPr>
          <w:rFonts w:ascii="Arial" w:hAnsi="Arial" w:cs="Arial" w:eastAsia="Arial" w:hint="default"/>
          <w:spacing w:val="-1"/>
        </w:rPr>
        <w:t>33</w:t>
      </w:r>
      <w:r>
        <w:rPr>
          <w:spacing w:val="-1"/>
        </w:rPr>
        <w:t>、</w:t>
        <w:tab/>
      </w:r>
      <w:r>
        <w:rPr/>
        <w:t>研发费用</w:t>
      </w:r>
      <w:r>
        <w:rPr>
          <w:b w:val="0"/>
          <w:bCs w:val="0"/>
        </w:rPr>
      </w:r>
    </w:p>
    <w:p>
      <w:pPr>
        <w:spacing w:line="240" w:lineRule="auto" w:before="9"/>
        <w:rPr>
          <w:rFonts w:ascii="宋体" w:hAnsi="宋体" w:cs="宋体" w:eastAsia="宋体" w:hint="default"/>
          <w:b/>
          <w:bCs/>
          <w:sz w:val="2"/>
          <w:szCs w:val="2"/>
        </w:rPr>
      </w:pPr>
    </w:p>
    <w:tbl>
      <w:tblPr>
        <w:tblW w:w="0" w:type="auto"/>
        <w:jc w:val="left"/>
        <w:tblInd w:w="580" w:type="dxa"/>
        <w:tblLayout w:type="fixed"/>
        <w:tblCellMar>
          <w:top w:w="0" w:type="dxa"/>
          <w:left w:w="0" w:type="dxa"/>
          <w:bottom w:w="0" w:type="dxa"/>
          <w:right w:w="0" w:type="dxa"/>
        </w:tblCellMar>
        <w:tblLook w:val="01E0"/>
      </w:tblPr>
      <w:tblGrid>
        <w:gridCol w:w="3404"/>
        <w:gridCol w:w="2667"/>
        <w:gridCol w:w="2669"/>
      </w:tblGrid>
      <w:tr>
        <w:trPr>
          <w:trHeight w:val="497" w:hRule="exact"/>
        </w:trPr>
        <w:tc>
          <w:tcPr>
            <w:tcW w:w="340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49"/>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6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9"/>
              <w:ind w:left="880"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66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49"/>
              <w:ind w:left="883"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485" w:hRule="exact"/>
        </w:trPr>
        <w:tc>
          <w:tcPr>
            <w:tcW w:w="34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26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43,654,869.78</w:t>
            </w:r>
          </w:p>
        </w:tc>
        <w:tc>
          <w:tcPr>
            <w:tcW w:w="26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30,262,785.77</w:t>
            </w:r>
          </w:p>
        </w:tc>
      </w:tr>
      <w:tr>
        <w:trPr>
          <w:trHeight w:val="485" w:hRule="exact"/>
        </w:trPr>
        <w:tc>
          <w:tcPr>
            <w:tcW w:w="34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项目外包</w:t>
            </w:r>
          </w:p>
        </w:tc>
        <w:tc>
          <w:tcPr>
            <w:tcW w:w="26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3,216,642.46</w:t>
            </w:r>
          </w:p>
        </w:tc>
        <w:tc>
          <w:tcPr>
            <w:tcW w:w="26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4"/>
              <w:jc w:val="right"/>
              <w:rPr>
                <w:rFonts w:ascii="Arial" w:hAnsi="Arial" w:cs="Arial" w:eastAsia="Arial" w:hint="default"/>
                <w:sz w:val="18"/>
                <w:szCs w:val="18"/>
              </w:rPr>
            </w:pPr>
            <w:r>
              <w:rPr>
                <w:rFonts w:ascii="Arial"/>
                <w:spacing w:val="-1"/>
                <w:sz w:val="18"/>
              </w:rPr>
              <w:t>941,230.40</w:t>
            </w:r>
          </w:p>
        </w:tc>
      </w:tr>
      <w:tr>
        <w:trPr>
          <w:trHeight w:val="485" w:hRule="exact"/>
        </w:trPr>
        <w:tc>
          <w:tcPr>
            <w:tcW w:w="34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燃物料消耗</w:t>
            </w:r>
          </w:p>
        </w:tc>
        <w:tc>
          <w:tcPr>
            <w:tcW w:w="26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2,991,583.42</w:t>
            </w:r>
          </w:p>
        </w:tc>
        <w:tc>
          <w:tcPr>
            <w:tcW w:w="26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4"/>
              <w:jc w:val="right"/>
              <w:rPr>
                <w:rFonts w:ascii="Arial" w:hAnsi="Arial" w:cs="Arial" w:eastAsia="Arial" w:hint="default"/>
                <w:sz w:val="18"/>
                <w:szCs w:val="18"/>
              </w:rPr>
            </w:pPr>
            <w:r>
              <w:rPr>
                <w:rFonts w:ascii="Arial"/>
                <w:spacing w:val="-1"/>
                <w:sz w:val="18"/>
              </w:rPr>
              <w:t>887,012.55</w:t>
            </w:r>
          </w:p>
        </w:tc>
      </w:tr>
      <w:tr>
        <w:trPr>
          <w:trHeight w:val="500" w:hRule="exact"/>
        </w:trPr>
        <w:tc>
          <w:tcPr>
            <w:tcW w:w="340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50"/>
              <w:ind w:left="1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6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1,322,790.12</w:t>
            </w:r>
          </w:p>
        </w:tc>
        <w:tc>
          <w:tcPr>
            <w:tcW w:w="2669"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580" w:type="dxa"/>
        <w:tblLayout w:type="fixed"/>
        <w:tblCellMar>
          <w:top w:w="0" w:type="dxa"/>
          <w:left w:w="0" w:type="dxa"/>
          <w:bottom w:w="0" w:type="dxa"/>
          <w:right w:w="0" w:type="dxa"/>
        </w:tblCellMar>
        <w:tblLook w:val="01E0"/>
      </w:tblPr>
      <w:tblGrid>
        <w:gridCol w:w="3404"/>
        <w:gridCol w:w="2667"/>
        <w:gridCol w:w="2669"/>
      </w:tblGrid>
      <w:tr>
        <w:trPr>
          <w:trHeight w:val="500" w:hRule="exact"/>
        </w:trPr>
        <w:tc>
          <w:tcPr>
            <w:tcW w:w="340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2"/>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6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left="880"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66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left="883"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485" w:hRule="exact"/>
        </w:trPr>
        <w:tc>
          <w:tcPr>
            <w:tcW w:w="34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办公费用及其他行政费用</w:t>
            </w:r>
          </w:p>
        </w:tc>
        <w:tc>
          <w:tcPr>
            <w:tcW w:w="26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2"/>
                <w:sz w:val="18"/>
              </w:rPr>
              <w:t>1,071,228.11</w:t>
            </w:r>
          </w:p>
        </w:tc>
        <w:tc>
          <w:tcPr>
            <w:tcW w:w="26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4"/>
              <w:jc w:val="right"/>
              <w:rPr>
                <w:rFonts w:ascii="Arial" w:hAnsi="Arial" w:cs="Arial" w:eastAsia="Arial" w:hint="default"/>
                <w:sz w:val="18"/>
                <w:szCs w:val="18"/>
              </w:rPr>
            </w:pPr>
            <w:r>
              <w:rPr>
                <w:rFonts w:ascii="Arial"/>
                <w:spacing w:val="-1"/>
                <w:sz w:val="18"/>
              </w:rPr>
              <w:t>368,285.16</w:t>
            </w:r>
          </w:p>
        </w:tc>
      </w:tr>
      <w:tr>
        <w:trPr>
          <w:trHeight w:val="485" w:hRule="exact"/>
        </w:trPr>
        <w:tc>
          <w:tcPr>
            <w:tcW w:w="34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26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285,264.34</w:t>
            </w:r>
          </w:p>
        </w:tc>
        <w:tc>
          <w:tcPr>
            <w:tcW w:w="26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81,475.56</w:t>
            </w:r>
          </w:p>
        </w:tc>
      </w:tr>
      <w:tr>
        <w:trPr>
          <w:trHeight w:val="485" w:hRule="exact"/>
        </w:trPr>
        <w:tc>
          <w:tcPr>
            <w:tcW w:w="34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试制费用</w:t>
            </w:r>
          </w:p>
        </w:tc>
        <w:tc>
          <w:tcPr>
            <w:tcW w:w="26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37,735.85</w:t>
            </w:r>
          </w:p>
        </w:tc>
        <w:tc>
          <w:tcPr>
            <w:tcW w:w="26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4"/>
              <w:jc w:val="right"/>
              <w:rPr>
                <w:rFonts w:ascii="Arial" w:hAnsi="Arial" w:cs="Arial" w:eastAsia="Arial" w:hint="default"/>
                <w:sz w:val="18"/>
                <w:szCs w:val="18"/>
              </w:rPr>
            </w:pPr>
            <w:r>
              <w:rPr>
                <w:rFonts w:ascii="Arial"/>
                <w:spacing w:val="-1"/>
                <w:sz w:val="18"/>
              </w:rPr>
              <w:t>216,450.94</w:t>
            </w:r>
          </w:p>
        </w:tc>
      </w:tr>
      <w:tr>
        <w:trPr>
          <w:trHeight w:val="485" w:hRule="exact"/>
        </w:trPr>
        <w:tc>
          <w:tcPr>
            <w:tcW w:w="34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293,861.04</w:t>
            </w:r>
          </w:p>
        </w:tc>
        <w:tc>
          <w:tcPr>
            <w:tcW w:w="26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4"/>
              <w:jc w:val="right"/>
              <w:rPr>
                <w:rFonts w:ascii="Arial" w:hAnsi="Arial" w:cs="Arial" w:eastAsia="Arial" w:hint="default"/>
                <w:sz w:val="18"/>
                <w:szCs w:val="18"/>
              </w:rPr>
            </w:pPr>
            <w:r>
              <w:rPr>
                <w:rFonts w:ascii="Arial"/>
                <w:spacing w:val="-1"/>
                <w:sz w:val="18"/>
              </w:rPr>
              <w:t>420,685.88</w:t>
            </w:r>
          </w:p>
        </w:tc>
      </w:tr>
      <w:tr>
        <w:trPr>
          <w:trHeight w:val="497" w:hRule="exact"/>
        </w:trPr>
        <w:tc>
          <w:tcPr>
            <w:tcW w:w="340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52,873,975.12</w:t>
            </w:r>
          </w:p>
        </w:tc>
        <w:tc>
          <w:tcPr>
            <w:tcW w:w="266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33,177,926.26</w:t>
            </w:r>
          </w:p>
        </w:tc>
      </w:tr>
    </w:tbl>
    <w:p>
      <w:pPr>
        <w:pStyle w:val="Heading4"/>
        <w:tabs>
          <w:tab w:pos="1413" w:val="left" w:leader="none"/>
        </w:tabs>
        <w:spacing w:line="240" w:lineRule="auto"/>
        <w:ind w:right="1133"/>
        <w:jc w:val="left"/>
        <w:rPr>
          <w:b w:val="0"/>
          <w:bCs w:val="0"/>
        </w:rPr>
      </w:pPr>
      <w:r>
        <w:rPr>
          <w:rFonts w:ascii="Arial" w:hAnsi="Arial" w:cs="Arial" w:eastAsia="Arial" w:hint="default"/>
          <w:spacing w:val="-1"/>
        </w:rPr>
        <w:t>34</w:t>
      </w:r>
      <w:r>
        <w:rPr>
          <w:spacing w:val="-1"/>
        </w:rPr>
        <w:t>、</w:t>
        <w:tab/>
      </w:r>
      <w:r>
        <w:rPr/>
        <w:t>财务费用</w:t>
      </w:r>
      <w:r>
        <w:rPr>
          <w:b w:val="0"/>
          <w:bCs w:val="0"/>
        </w:rPr>
      </w:r>
    </w:p>
    <w:p>
      <w:pPr>
        <w:spacing w:line="240" w:lineRule="auto" w:before="9"/>
        <w:rPr>
          <w:rFonts w:ascii="宋体" w:hAnsi="宋体" w:cs="宋体" w:eastAsia="宋体" w:hint="default"/>
          <w:b/>
          <w:bCs/>
          <w:sz w:val="2"/>
          <w:szCs w:val="2"/>
        </w:rPr>
      </w:pPr>
    </w:p>
    <w:tbl>
      <w:tblPr>
        <w:tblW w:w="0" w:type="auto"/>
        <w:jc w:val="left"/>
        <w:tblInd w:w="580" w:type="dxa"/>
        <w:tblLayout w:type="fixed"/>
        <w:tblCellMar>
          <w:top w:w="0" w:type="dxa"/>
          <w:left w:w="0" w:type="dxa"/>
          <w:bottom w:w="0" w:type="dxa"/>
          <w:right w:w="0" w:type="dxa"/>
        </w:tblCellMar>
        <w:tblLook w:val="01E0"/>
      </w:tblPr>
      <w:tblGrid>
        <w:gridCol w:w="3404"/>
        <w:gridCol w:w="2667"/>
        <w:gridCol w:w="2669"/>
      </w:tblGrid>
      <w:tr>
        <w:trPr>
          <w:trHeight w:val="499" w:hRule="exact"/>
        </w:trPr>
        <w:tc>
          <w:tcPr>
            <w:tcW w:w="340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2"/>
              <w:ind w:right="1510"/>
              <w:jc w:val="right"/>
              <w:rPr>
                <w:rFonts w:ascii="宋体" w:hAnsi="宋体" w:cs="宋体" w:eastAsia="宋体" w:hint="default"/>
                <w:sz w:val="18"/>
                <w:szCs w:val="18"/>
              </w:rPr>
            </w:pPr>
            <w:r>
              <w:rPr>
                <w:rFonts w:ascii="宋体" w:hAnsi="宋体" w:cs="宋体" w:eastAsia="宋体" w:hint="default"/>
                <w:sz w:val="18"/>
                <w:szCs w:val="18"/>
              </w:rPr>
              <w:t>项目</w:t>
            </w:r>
          </w:p>
        </w:tc>
        <w:tc>
          <w:tcPr>
            <w:tcW w:w="266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left="880"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66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left="883"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485" w:hRule="exact"/>
        </w:trPr>
        <w:tc>
          <w:tcPr>
            <w:tcW w:w="34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667" w:type="dxa"/>
            <w:tcBorders>
              <w:top w:val="single" w:sz="2" w:space="0" w:color="000000"/>
              <w:left w:val="single" w:sz="2" w:space="0" w:color="000000"/>
              <w:bottom w:val="single" w:sz="2" w:space="0" w:color="000000"/>
              <w:right w:val="single" w:sz="2" w:space="0" w:color="000000"/>
            </w:tcBorders>
          </w:tcPr>
          <w:p>
            <w:pPr/>
          </w:p>
        </w:tc>
        <w:tc>
          <w:tcPr>
            <w:tcW w:w="2669"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34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减：利息资本化金额</w:t>
            </w:r>
          </w:p>
        </w:tc>
        <w:tc>
          <w:tcPr>
            <w:tcW w:w="26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1"/>
              <w:jc w:val="right"/>
              <w:rPr>
                <w:rFonts w:ascii="宋体" w:hAnsi="宋体" w:cs="宋体" w:eastAsia="宋体" w:hint="default"/>
                <w:sz w:val="18"/>
                <w:szCs w:val="18"/>
              </w:rPr>
            </w:pPr>
            <w:r>
              <w:rPr>
                <w:rFonts w:ascii="宋体"/>
                <w:sz w:val="18"/>
              </w:rPr>
              <w:t> </w:t>
            </w:r>
          </w:p>
        </w:tc>
        <w:tc>
          <w:tcPr>
            <w:tcW w:w="26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3"/>
              <w:jc w:val="right"/>
              <w:rPr>
                <w:rFonts w:ascii="宋体" w:hAnsi="宋体" w:cs="宋体" w:eastAsia="宋体" w:hint="default"/>
                <w:sz w:val="18"/>
                <w:szCs w:val="18"/>
              </w:rPr>
            </w:pPr>
            <w:r>
              <w:rPr>
                <w:rFonts w:ascii="宋体"/>
                <w:sz w:val="18"/>
              </w:rPr>
              <w:t> </w:t>
            </w:r>
          </w:p>
        </w:tc>
      </w:tr>
      <w:tr>
        <w:trPr>
          <w:trHeight w:val="485" w:hRule="exact"/>
        </w:trPr>
        <w:tc>
          <w:tcPr>
            <w:tcW w:w="34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6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13,616,868.79</w:t>
            </w:r>
          </w:p>
        </w:tc>
        <w:tc>
          <w:tcPr>
            <w:tcW w:w="26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12,608,452.73</w:t>
            </w:r>
          </w:p>
        </w:tc>
      </w:tr>
      <w:tr>
        <w:trPr>
          <w:trHeight w:val="485" w:hRule="exact"/>
        </w:trPr>
        <w:tc>
          <w:tcPr>
            <w:tcW w:w="34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加：汇兑损失</w:t>
            </w:r>
          </w:p>
        </w:tc>
        <w:tc>
          <w:tcPr>
            <w:tcW w:w="26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174,466.42</w:t>
            </w:r>
          </w:p>
        </w:tc>
        <w:tc>
          <w:tcPr>
            <w:tcW w:w="26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69,048.38</w:t>
            </w:r>
          </w:p>
        </w:tc>
      </w:tr>
      <w:tr>
        <w:trPr>
          <w:trHeight w:val="485" w:hRule="exact"/>
        </w:trPr>
        <w:tc>
          <w:tcPr>
            <w:tcW w:w="34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26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12,978.56</w:t>
            </w:r>
          </w:p>
        </w:tc>
        <w:tc>
          <w:tcPr>
            <w:tcW w:w="26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43,355.35</w:t>
            </w:r>
          </w:p>
        </w:tc>
      </w:tr>
      <w:tr>
        <w:trPr>
          <w:trHeight w:val="485" w:hRule="exact"/>
        </w:trPr>
        <w:tc>
          <w:tcPr>
            <w:tcW w:w="34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0"/>
              <w:ind w:left="124" w:right="0"/>
              <w:jc w:val="left"/>
              <w:rPr>
                <w:rFonts w:ascii="宋体" w:hAnsi="宋体" w:cs="宋体" w:eastAsia="宋体" w:hint="default"/>
                <w:sz w:val="18"/>
                <w:szCs w:val="18"/>
              </w:rPr>
            </w:pPr>
            <w:r>
              <w:rPr>
                <w:rFonts w:ascii="宋体" w:hAnsi="宋体" w:cs="宋体" w:eastAsia="宋体" w:hint="default"/>
                <w:sz w:val="18"/>
                <w:szCs w:val="18"/>
              </w:rPr>
              <w:t>加：银行手续费</w:t>
            </w:r>
          </w:p>
        </w:tc>
        <w:tc>
          <w:tcPr>
            <w:tcW w:w="26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765,318.58</w:t>
            </w:r>
          </w:p>
        </w:tc>
        <w:tc>
          <w:tcPr>
            <w:tcW w:w="26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87,800.65</w:t>
            </w:r>
          </w:p>
        </w:tc>
      </w:tr>
      <w:tr>
        <w:trPr>
          <w:trHeight w:val="485" w:hRule="exact"/>
        </w:trPr>
        <w:tc>
          <w:tcPr>
            <w:tcW w:w="34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加：其他支出</w:t>
            </w:r>
          </w:p>
        </w:tc>
        <w:tc>
          <w:tcPr>
            <w:tcW w:w="26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1,257,601.72</w:t>
            </w:r>
          </w:p>
        </w:tc>
        <w:tc>
          <w:tcPr>
            <w:tcW w:w="26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4"/>
              <w:jc w:val="right"/>
              <w:rPr>
                <w:rFonts w:ascii="Arial" w:hAnsi="Arial" w:cs="Arial" w:eastAsia="Arial" w:hint="default"/>
                <w:sz w:val="18"/>
                <w:szCs w:val="18"/>
              </w:rPr>
            </w:pPr>
            <w:r>
              <w:rPr>
                <w:rFonts w:ascii="Arial"/>
                <w:spacing w:val="-1"/>
                <w:sz w:val="18"/>
              </w:rPr>
              <w:t>443,372.69</w:t>
            </w:r>
          </w:p>
        </w:tc>
      </w:tr>
      <w:tr>
        <w:trPr>
          <w:trHeight w:val="542" w:hRule="exact"/>
        </w:trPr>
        <w:tc>
          <w:tcPr>
            <w:tcW w:w="340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510"/>
              <w:jc w:val="right"/>
              <w:rPr>
                <w:rFonts w:ascii="宋体" w:hAnsi="宋体" w:cs="宋体" w:eastAsia="宋体" w:hint="default"/>
                <w:sz w:val="18"/>
                <w:szCs w:val="18"/>
              </w:rPr>
            </w:pPr>
            <w:r>
              <w:rPr>
                <w:rFonts w:ascii="宋体" w:hAnsi="宋体" w:cs="宋体" w:eastAsia="宋体" w:hint="default"/>
                <w:sz w:val="18"/>
                <w:szCs w:val="18"/>
              </w:rPr>
              <w:t>合计</w:t>
            </w:r>
          </w:p>
        </w:tc>
        <w:tc>
          <w:tcPr>
            <w:tcW w:w="26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3"/>
              <w:jc w:val="right"/>
              <w:rPr>
                <w:rFonts w:ascii="Arial" w:hAnsi="Arial" w:cs="Arial" w:eastAsia="Arial" w:hint="default"/>
                <w:sz w:val="18"/>
                <w:szCs w:val="18"/>
              </w:rPr>
            </w:pPr>
            <w:r>
              <w:rPr>
                <w:rFonts w:ascii="Arial"/>
                <w:spacing w:val="-2"/>
                <w:sz w:val="18"/>
              </w:rPr>
              <w:t>-11,432,460.63</w:t>
            </w:r>
          </w:p>
        </w:tc>
        <w:tc>
          <w:tcPr>
            <w:tcW w:w="266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-12,051,586.36</w:t>
            </w:r>
          </w:p>
        </w:tc>
      </w:tr>
    </w:tbl>
    <w:p>
      <w:pPr>
        <w:pStyle w:val="Heading4"/>
        <w:tabs>
          <w:tab w:pos="1413" w:val="left" w:leader="none"/>
        </w:tabs>
        <w:spacing w:line="240" w:lineRule="auto"/>
        <w:ind w:right="1133"/>
        <w:jc w:val="left"/>
        <w:rPr>
          <w:b w:val="0"/>
          <w:bCs w:val="0"/>
        </w:rPr>
      </w:pPr>
      <w:r>
        <w:rPr>
          <w:rFonts w:ascii="Arial" w:hAnsi="Arial" w:cs="Arial" w:eastAsia="Arial" w:hint="default"/>
          <w:spacing w:val="-1"/>
        </w:rPr>
        <w:t>35</w:t>
      </w:r>
      <w:r>
        <w:rPr>
          <w:spacing w:val="-1"/>
        </w:rPr>
        <w:t>、</w:t>
        <w:tab/>
      </w:r>
      <w:r>
        <w:rPr/>
        <w:t>其他收益</w:t>
      </w:r>
      <w:r>
        <w:rPr>
          <w:b w:val="0"/>
          <w:bCs w:val="0"/>
        </w:rPr>
      </w:r>
    </w:p>
    <w:p>
      <w:pPr>
        <w:spacing w:line="240" w:lineRule="auto" w:before="9"/>
        <w:rPr>
          <w:rFonts w:ascii="宋体" w:hAnsi="宋体" w:cs="宋体" w:eastAsia="宋体" w:hint="default"/>
          <w:b/>
          <w:bCs/>
          <w:sz w:val="2"/>
          <w:szCs w:val="2"/>
        </w:rPr>
      </w:pPr>
    </w:p>
    <w:tbl>
      <w:tblPr>
        <w:tblW w:w="0" w:type="auto"/>
        <w:jc w:val="left"/>
        <w:tblInd w:w="580" w:type="dxa"/>
        <w:tblLayout w:type="fixed"/>
        <w:tblCellMar>
          <w:top w:w="0" w:type="dxa"/>
          <w:left w:w="0" w:type="dxa"/>
          <w:bottom w:w="0" w:type="dxa"/>
          <w:right w:w="0" w:type="dxa"/>
        </w:tblCellMar>
        <w:tblLook w:val="01E0"/>
      </w:tblPr>
      <w:tblGrid>
        <w:gridCol w:w="5370"/>
        <w:gridCol w:w="1685"/>
        <w:gridCol w:w="1685"/>
      </w:tblGrid>
      <w:tr>
        <w:trPr>
          <w:trHeight w:val="497" w:hRule="exact"/>
        </w:trPr>
        <w:tc>
          <w:tcPr>
            <w:tcW w:w="537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49"/>
              <w:ind w:left="15" w:right="0"/>
              <w:jc w:val="center"/>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168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9"/>
              <w:ind w:left="388"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168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49"/>
              <w:ind w:left="389"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485" w:hRule="exact"/>
        </w:trPr>
        <w:tc>
          <w:tcPr>
            <w:tcW w:w="53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政府补贴收入</w:t>
            </w:r>
            <w:r>
              <w:rPr>
                <w:rFonts w:ascii="宋体" w:hAnsi="宋体" w:cs="宋体" w:eastAsia="宋体" w:hint="default"/>
                <w:sz w:val="18"/>
                <w:szCs w:val="18"/>
              </w:rPr>
              <w:t> </w:t>
            </w:r>
          </w:p>
        </w:tc>
        <w:tc>
          <w:tcPr>
            <w:tcW w:w="16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422" w:right="0"/>
              <w:jc w:val="left"/>
              <w:rPr>
                <w:rFonts w:ascii="Arial" w:hAnsi="Arial" w:cs="Arial" w:eastAsia="Arial" w:hint="default"/>
                <w:sz w:val="18"/>
                <w:szCs w:val="18"/>
              </w:rPr>
            </w:pPr>
            <w:r>
              <w:rPr>
                <w:rFonts w:ascii="Arial"/>
                <w:sz w:val="18"/>
              </w:rPr>
              <w:t>12,215,549.98</w:t>
            </w:r>
          </w:p>
        </w:tc>
        <w:tc>
          <w:tcPr>
            <w:tcW w:w="16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422" w:right="0"/>
              <w:jc w:val="left"/>
              <w:rPr>
                <w:rFonts w:ascii="Arial" w:hAnsi="Arial" w:cs="Arial" w:eastAsia="Arial" w:hint="default"/>
                <w:sz w:val="18"/>
                <w:szCs w:val="18"/>
              </w:rPr>
            </w:pPr>
            <w:r>
              <w:rPr>
                <w:rFonts w:ascii="Arial"/>
                <w:sz w:val="18"/>
              </w:rPr>
              <w:t>17,160,459.92</w:t>
            </w:r>
          </w:p>
        </w:tc>
      </w:tr>
      <w:tr>
        <w:trPr>
          <w:trHeight w:val="588" w:hRule="exact"/>
        </w:trPr>
        <w:tc>
          <w:tcPr>
            <w:tcW w:w="537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22" w:right="0"/>
              <w:jc w:val="left"/>
              <w:rPr>
                <w:rFonts w:ascii="Arial" w:hAnsi="Arial" w:cs="Arial" w:eastAsia="Arial" w:hint="default"/>
                <w:sz w:val="18"/>
                <w:szCs w:val="18"/>
              </w:rPr>
            </w:pPr>
            <w:r>
              <w:rPr>
                <w:rFonts w:ascii="Arial"/>
                <w:sz w:val="18"/>
              </w:rPr>
              <w:t>12,215,549.98</w:t>
            </w:r>
          </w:p>
        </w:tc>
        <w:tc>
          <w:tcPr>
            <w:tcW w:w="168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22" w:right="0"/>
              <w:jc w:val="left"/>
              <w:rPr>
                <w:rFonts w:ascii="Arial" w:hAnsi="Arial" w:cs="Arial" w:eastAsia="Arial" w:hint="default"/>
                <w:sz w:val="18"/>
                <w:szCs w:val="18"/>
              </w:rPr>
            </w:pPr>
            <w:r>
              <w:rPr>
                <w:rFonts w:ascii="Arial"/>
                <w:sz w:val="18"/>
              </w:rPr>
              <w:t>17,160,459.92</w:t>
            </w:r>
          </w:p>
        </w:tc>
      </w:tr>
    </w:tbl>
    <w:p>
      <w:pPr>
        <w:pStyle w:val="Heading4"/>
        <w:tabs>
          <w:tab w:pos="1413" w:val="left" w:leader="none"/>
        </w:tabs>
        <w:spacing w:line="240" w:lineRule="auto" w:before="63"/>
        <w:ind w:right="1133"/>
        <w:jc w:val="left"/>
        <w:rPr>
          <w:b w:val="0"/>
          <w:bCs w:val="0"/>
        </w:rPr>
      </w:pPr>
      <w:r>
        <w:rPr>
          <w:rFonts w:ascii="Arial" w:hAnsi="Arial" w:cs="Arial" w:eastAsia="Arial" w:hint="default"/>
          <w:spacing w:val="-1"/>
        </w:rPr>
        <w:t>36</w:t>
      </w:r>
      <w:r>
        <w:rPr>
          <w:spacing w:val="-1"/>
        </w:rPr>
        <w:t>、</w:t>
        <w:tab/>
      </w:r>
      <w:r>
        <w:rPr/>
        <w:t>投资收益</w:t>
      </w:r>
      <w:r>
        <w:rPr>
          <w:b w:val="0"/>
          <w:bCs w:val="0"/>
        </w:rPr>
      </w:r>
    </w:p>
    <w:p>
      <w:pPr>
        <w:spacing w:line="240" w:lineRule="auto" w:before="9"/>
        <w:rPr>
          <w:rFonts w:ascii="宋体" w:hAnsi="宋体" w:cs="宋体" w:eastAsia="宋体" w:hint="default"/>
          <w:b/>
          <w:bCs/>
          <w:sz w:val="2"/>
          <w:szCs w:val="2"/>
        </w:rPr>
      </w:pPr>
    </w:p>
    <w:tbl>
      <w:tblPr>
        <w:tblW w:w="0" w:type="auto"/>
        <w:jc w:val="left"/>
        <w:tblInd w:w="580" w:type="dxa"/>
        <w:tblLayout w:type="fixed"/>
        <w:tblCellMar>
          <w:top w:w="0" w:type="dxa"/>
          <w:left w:w="0" w:type="dxa"/>
          <w:bottom w:w="0" w:type="dxa"/>
          <w:right w:w="0" w:type="dxa"/>
        </w:tblCellMar>
        <w:tblLook w:val="01E0"/>
      </w:tblPr>
      <w:tblGrid>
        <w:gridCol w:w="4225"/>
        <w:gridCol w:w="2256"/>
        <w:gridCol w:w="2259"/>
      </w:tblGrid>
      <w:tr>
        <w:trPr>
          <w:trHeight w:val="497" w:hRule="exact"/>
        </w:trPr>
        <w:tc>
          <w:tcPr>
            <w:tcW w:w="422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49"/>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9"/>
              <w:ind w:left="677"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25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49"/>
              <w:ind w:left="679"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485" w:hRule="exact"/>
        </w:trPr>
        <w:tc>
          <w:tcPr>
            <w:tcW w:w="42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1,516,497.13</w:t>
            </w:r>
          </w:p>
        </w:tc>
        <w:tc>
          <w:tcPr>
            <w:tcW w:w="22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-2,218,221.66</w:t>
            </w:r>
          </w:p>
        </w:tc>
      </w:tr>
      <w:tr>
        <w:trPr>
          <w:trHeight w:val="542" w:hRule="exact"/>
        </w:trPr>
        <w:tc>
          <w:tcPr>
            <w:tcW w:w="422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1,516,497.13</w:t>
            </w:r>
          </w:p>
        </w:tc>
        <w:tc>
          <w:tcPr>
            <w:tcW w:w="225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2"/>
              <w:jc w:val="right"/>
              <w:rPr>
                <w:rFonts w:ascii="Arial" w:hAnsi="Arial" w:cs="Arial" w:eastAsia="Arial" w:hint="default"/>
                <w:sz w:val="18"/>
                <w:szCs w:val="18"/>
              </w:rPr>
            </w:pPr>
            <w:r>
              <w:rPr>
                <w:rFonts w:ascii="Arial"/>
                <w:spacing w:val="-1"/>
                <w:sz w:val="18"/>
              </w:rPr>
              <w:t>-2,218,221.66</w:t>
            </w:r>
          </w:p>
        </w:tc>
      </w:tr>
    </w:tbl>
    <w:p>
      <w:pPr>
        <w:pStyle w:val="Heading4"/>
        <w:tabs>
          <w:tab w:pos="1413" w:val="left" w:leader="none"/>
        </w:tabs>
        <w:spacing w:line="240" w:lineRule="auto"/>
        <w:ind w:right="1133"/>
        <w:jc w:val="left"/>
        <w:rPr>
          <w:b w:val="0"/>
          <w:bCs w:val="0"/>
        </w:rPr>
      </w:pPr>
      <w:r>
        <w:rPr>
          <w:rFonts w:ascii="Arial" w:hAnsi="Arial" w:cs="Arial" w:eastAsia="Arial" w:hint="default"/>
          <w:spacing w:val="-1"/>
        </w:rPr>
        <w:t>37</w:t>
      </w:r>
      <w:r>
        <w:rPr>
          <w:spacing w:val="-1"/>
        </w:rPr>
        <w:t>、</w:t>
        <w:tab/>
      </w:r>
      <w:r>
        <w:rPr/>
        <w:t>信用减值损失</w:t>
      </w:r>
      <w:r>
        <w:rPr>
          <w:b w:val="0"/>
          <w:bCs w:val="0"/>
        </w:rPr>
      </w:r>
    </w:p>
    <w:p>
      <w:pPr>
        <w:spacing w:line="240" w:lineRule="auto" w:before="6"/>
        <w:rPr>
          <w:rFonts w:ascii="宋体" w:hAnsi="宋体" w:cs="宋体" w:eastAsia="宋体" w:hint="default"/>
          <w:b/>
          <w:bCs/>
          <w:sz w:val="2"/>
          <w:szCs w:val="2"/>
        </w:rPr>
      </w:pPr>
    </w:p>
    <w:tbl>
      <w:tblPr>
        <w:tblW w:w="0" w:type="auto"/>
        <w:jc w:val="left"/>
        <w:tblInd w:w="580" w:type="dxa"/>
        <w:tblLayout w:type="fixed"/>
        <w:tblCellMar>
          <w:top w:w="0" w:type="dxa"/>
          <w:left w:w="0" w:type="dxa"/>
          <w:bottom w:w="0" w:type="dxa"/>
          <w:right w:w="0" w:type="dxa"/>
        </w:tblCellMar>
        <w:tblLook w:val="01E0"/>
      </w:tblPr>
      <w:tblGrid>
        <w:gridCol w:w="4234"/>
        <w:gridCol w:w="2254"/>
        <w:gridCol w:w="2252"/>
      </w:tblGrid>
      <w:tr>
        <w:trPr>
          <w:trHeight w:val="499" w:hRule="exact"/>
        </w:trPr>
        <w:tc>
          <w:tcPr>
            <w:tcW w:w="423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2"/>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5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left="674"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25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left="672"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485" w:hRule="exact"/>
        </w:trPr>
        <w:tc>
          <w:tcPr>
            <w:tcW w:w="4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22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-4,258,344.78</w:t>
            </w:r>
          </w:p>
        </w:tc>
        <w:tc>
          <w:tcPr>
            <w:tcW w:w="2252" w:type="dxa"/>
            <w:tcBorders>
              <w:top w:val="single" w:sz="2" w:space="0" w:color="000000"/>
              <w:left w:val="single" w:sz="2" w:space="0" w:color="000000"/>
              <w:bottom w:val="single" w:sz="2" w:space="0" w:color="000000"/>
              <w:right w:val="nil" w:sz="6" w:space="0" w:color="auto"/>
            </w:tcBorders>
          </w:tcPr>
          <w:p>
            <w:pPr/>
          </w:p>
        </w:tc>
      </w:tr>
      <w:tr>
        <w:trPr>
          <w:trHeight w:val="499" w:hRule="exact"/>
        </w:trPr>
        <w:tc>
          <w:tcPr>
            <w:tcW w:w="423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225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4"/>
              <w:jc w:val="right"/>
              <w:rPr>
                <w:rFonts w:ascii="Arial" w:hAnsi="Arial" w:cs="Arial" w:eastAsia="Arial" w:hint="default"/>
                <w:sz w:val="18"/>
                <w:szCs w:val="18"/>
              </w:rPr>
            </w:pPr>
            <w:r>
              <w:rPr>
                <w:rFonts w:ascii="Arial"/>
                <w:spacing w:val="-1"/>
                <w:sz w:val="18"/>
              </w:rPr>
              <w:t>-169,372.76</w:t>
            </w:r>
          </w:p>
        </w:tc>
        <w:tc>
          <w:tcPr>
            <w:tcW w:w="2252"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680" w:type="dxa"/>
        <w:tblLayout w:type="fixed"/>
        <w:tblCellMar>
          <w:top w:w="0" w:type="dxa"/>
          <w:left w:w="0" w:type="dxa"/>
          <w:bottom w:w="0" w:type="dxa"/>
          <w:right w:w="0" w:type="dxa"/>
        </w:tblCellMar>
        <w:tblLook w:val="01E0"/>
      </w:tblPr>
      <w:tblGrid>
        <w:gridCol w:w="4234"/>
        <w:gridCol w:w="2254"/>
        <w:gridCol w:w="2252"/>
      </w:tblGrid>
      <w:tr>
        <w:trPr>
          <w:trHeight w:val="500" w:hRule="exact"/>
        </w:trPr>
        <w:tc>
          <w:tcPr>
            <w:tcW w:w="423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2"/>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5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left="674"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25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left="672"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497" w:hRule="exact"/>
        </w:trPr>
        <w:tc>
          <w:tcPr>
            <w:tcW w:w="423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5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032" w:right="0"/>
              <w:jc w:val="left"/>
              <w:rPr>
                <w:rFonts w:ascii="Arial" w:hAnsi="Arial" w:cs="Arial" w:eastAsia="Arial" w:hint="default"/>
                <w:sz w:val="18"/>
                <w:szCs w:val="18"/>
              </w:rPr>
            </w:pPr>
            <w:r>
              <w:rPr>
                <w:rFonts w:ascii="Arial"/>
                <w:sz w:val="18"/>
              </w:rPr>
              <w:t>-4,427,717.54</w:t>
            </w:r>
          </w:p>
        </w:tc>
        <w:tc>
          <w:tcPr>
            <w:tcW w:w="2252" w:type="dxa"/>
            <w:tcBorders>
              <w:top w:val="single" w:sz="2" w:space="0" w:color="000000"/>
              <w:left w:val="single" w:sz="2" w:space="0" w:color="000000"/>
              <w:bottom w:val="single" w:sz="12" w:space="0" w:color="000000"/>
              <w:right w:val="nil" w:sz="6" w:space="0" w:color="auto"/>
            </w:tcBorders>
          </w:tcPr>
          <w:p>
            <w:pPr/>
          </w:p>
        </w:tc>
      </w:tr>
    </w:tbl>
    <w:p>
      <w:pPr>
        <w:pStyle w:val="Heading4"/>
        <w:tabs>
          <w:tab w:pos="1513" w:val="left" w:leader="none"/>
        </w:tabs>
        <w:spacing w:line="240" w:lineRule="auto"/>
        <w:ind w:left="694" w:right="309"/>
        <w:jc w:val="left"/>
        <w:rPr>
          <w:b w:val="0"/>
          <w:bCs w:val="0"/>
        </w:rPr>
      </w:pPr>
      <w:r>
        <w:rPr>
          <w:rFonts w:ascii="Arial" w:hAnsi="Arial" w:cs="Arial" w:eastAsia="Arial" w:hint="default"/>
          <w:spacing w:val="-1"/>
        </w:rPr>
        <w:t>38</w:t>
      </w:r>
      <w:r>
        <w:rPr>
          <w:spacing w:val="-1"/>
        </w:rPr>
        <w:t>、</w:t>
        <w:tab/>
      </w:r>
      <w:r>
        <w:rPr/>
        <w:t>资产减值损失</w:t>
      </w:r>
      <w:r>
        <w:rPr>
          <w:b w:val="0"/>
          <w:bCs w:val="0"/>
        </w:rPr>
      </w:r>
    </w:p>
    <w:p>
      <w:pPr>
        <w:spacing w:line="240" w:lineRule="auto" w:before="9"/>
        <w:rPr>
          <w:rFonts w:ascii="宋体" w:hAnsi="宋体" w:cs="宋体" w:eastAsia="宋体" w:hint="default"/>
          <w:b/>
          <w:bCs/>
          <w:sz w:val="2"/>
          <w:szCs w:val="2"/>
        </w:rPr>
      </w:pPr>
    </w:p>
    <w:tbl>
      <w:tblPr>
        <w:tblW w:w="0" w:type="auto"/>
        <w:jc w:val="left"/>
        <w:tblInd w:w="680" w:type="dxa"/>
        <w:tblLayout w:type="fixed"/>
        <w:tblCellMar>
          <w:top w:w="0" w:type="dxa"/>
          <w:left w:w="0" w:type="dxa"/>
          <w:bottom w:w="0" w:type="dxa"/>
          <w:right w:w="0" w:type="dxa"/>
        </w:tblCellMar>
        <w:tblLook w:val="01E0"/>
      </w:tblPr>
      <w:tblGrid>
        <w:gridCol w:w="4234"/>
        <w:gridCol w:w="2254"/>
        <w:gridCol w:w="2252"/>
      </w:tblGrid>
      <w:tr>
        <w:trPr>
          <w:trHeight w:val="497" w:hRule="exact"/>
        </w:trPr>
        <w:tc>
          <w:tcPr>
            <w:tcW w:w="423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49"/>
              <w:ind w:right="1923"/>
              <w:jc w:val="right"/>
              <w:rPr>
                <w:rFonts w:ascii="宋体" w:hAnsi="宋体" w:cs="宋体" w:eastAsia="宋体" w:hint="default"/>
                <w:sz w:val="18"/>
                <w:szCs w:val="18"/>
              </w:rPr>
            </w:pPr>
            <w:r>
              <w:rPr>
                <w:rFonts w:ascii="宋体" w:hAnsi="宋体" w:cs="宋体" w:eastAsia="宋体" w:hint="default"/>
                <w:sz w:val="18"/>
                <w:szCs w:val="18"/>
              </w:rPr>
              <w:t>项目</w:t>
            </w:r>
          </w:p>
        </w:tc>
        <w:tc>
          <w:tcPr>
            <w:tcW w:w="225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9"/>
              <w:ind w:left="674"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25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49"/>
              <w:ind w:left="672"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485" w:hRule="exact"/>
        </w:trPr>
        <w:tc>
          <w:tcPr>
            <w:tcW w:w="4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2254" w:type="dxa"/>
            <w:tcBorders>
              <w:top w:val="single" w:sz="2" w:space="0" w:color="000000"/>
              <w:left w:val="single" w:sz="2" w:space="0" w:color="000000"/>
              <w:bottom w:val="single" w:sz="2" w:space="0" w:color="000000"/>
              <w:right w:val="single" w:sz="2" w:space="0" w:color="000000"/>
            </w:tcBorders>
          </w:tcPr>
          <w:p>
            <w:pPr/>
          </w:p>
        </w:tc>
        <w:tc>
          <w:tcPr>
            <w:tcW w:w="22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7"/>
              <w:jc w:val="right"/>
              <w:rPr>
                <w:rFonts w:ascii="Arial" w:hAnsi="Arial" w:cs="Arial" w:eastAsia="Arial" w:hint="default"/>
                <w:sz w:val="18"/>
                <w:szCs w:val="18"/>
              </w:rPr>
            </w:pPr>
            <w:r>
              <w:rPr>
                <w:rFonts w:ascii="Arial"/>
                <w:spacing w:val="-1"/>
                <w:sz w:val="18"/>
              </w:rPr>
              <w:t>3,544,241.56</w:t>
            </w:r>
          </w:p>
        </w:tc>
      </w:tr>
      <w:tr>
        <w:trPr>
          <w:trHeight w:val="499" w:hRule="exact"/>
        </w:trPr>
        <w:tc>
          <w:tcPr>
            <w:tcW w:w="423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right="1923"/>
              <w:jc w:val="right"/>
              <w:rPr>
                <w:rFonts w:ascii="宋体" w:hAnsi="宋体" w:cs="宋体" w:eastAsia="宋体" w:hint="default"/>
                <w:sz w:val="18"/>
                <w:szCs w:val="18"/>
              </w:rPr>
            </w:pPr>
            <w:r>
              <w:rPr>
                <w:rFonts w:ascii="宋体" w:hAnsi="宋体" w:cs="宋体" w:eastAsia="宋体" w:hint="default"/>
                <w:sz w:val="18"/>
                <w:szCs w:val="18"/>
              </w:rPr>
              <w:t>合计</w:t>
            </w:r>
          </w:p>
        </w:tc>
        <w:tc>
          <w:tcPr>
            <w:tcW w:w="2254" w:type="dxa"/>
            <w:tcBorders>
              <w:top w:val="single" w:sz="2" w:space="0" w:color="000000"/>
              <w:left w:val="single" w:sz="2" w:space="0" w:color="000000"/>
              <w:bottom w:val="single" w:sz="12" w:space="0" w:color="000000"/>
              <w:right w:val="single" w:sz="2" w:space="0" w:color="000000"/>
            </w:tcBorders>
          </w:tcPr>
          <w:p>
            <w:pPr/>
          </w:p>
        </w:tc>
        <w:tc>
          <w:tcPr>
            <w:tcW w:w="225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3,544,241.56</w:t>
            </w:r>
          </w:p>
        </w:tc>
      </w:tr>
    </w:tbl>
    <w:p>
      <w:pPr>
        <w:pStyle w:val="Heading4"/>
        <w:tabs>
          <w:tab w:pos="1513" w:val="left" w:leader="none"/>
        </w:tabs>
        <w:spacing w:line="240" w:lineRule="auto"/>
        <w:ind w:left="694" w:right="309"/>
        <w:jc w:val="left"/>
        <w:rPr>
          <w:b w:val="0"/>
          <w:bCs w:val="0"/>
        </w:rPr>
      </w:pPr>
      <w:r>
        <w:rPr>
          <w:rFonts w:ascii="Arial" w:hAnsi="Arial" w:cs="Arial" w:eastAsia="Arial" w:hint="default"/>
          <w:spacing w:val="-1"/>
        </w:rPr>
        <w:t>39</w:t>
      </w:r>
      <w:r>
        <w:rPr>
          <w:spacing w:val="-1"/>
        </w:rPr>
        <w:t>、</w:t>
        <w:tab/>
        <w:t>资产处置收益（损失以</w:t>
      </w:r>
      <w:r>
        <w:rPr>
          <w:rFonts w:ascii="Arial" w:hAnsi="Arial" w:cs="Arial" w:eastAsia="Arial" w:hint="default"/>
          <w:spacing w:val="-1"/>
        </w:rPr>
        <w:t>“</w:t>
      </w:r>
      <w:r>
        <w:rPr>
          <w:spacing w:val="-1"/>
        </w:rPr>
        <w:t>－</w:t>
      </w:r>
      <w:r>
        <w:rPr>
          <w:rFonts w:ascii="Arial" w:hAnsi="Arial" w:cs="Arial" w:eastAsia="Arial" w:hint="default"/>
          <w:spacing w:val="-1"/>
        </w:rPr>
        <w:t>”</w:t>
      </w:r>
      <w:r>
        <w:rPr>
          <w:spacing w:val="-1"/>
        </w:rPr>
        <w:t>号填列）</w:t>
      </w:r>
      <w:r>
        <w:rPr>
          <w:b w:val="0"/>
          <w:bCs w:val="0"/>
          <w:spacing w:val="-1"/>
        </w:rPr>
      </w:r>
    </w:p>
    <w:p>
      <w:pPr>
        <w:spacing w:line="240" w:lineRule="auto" w:before="9"/>
        <w:rPr>
          <w:rFonts w:ascii="宋体" w:hAnsi="宋体" w:cs="宋体" w:eastAsia="宋体" w:hint="default"/>
          <w:b/>
          <w:bCs/>
          <w:sz w:val="2"/>
          <w:szCs w:val="2"/>
        </w:rPr>
      </w:pPr>
    </w:p>
    <w:tbl>
      <w:tblPr>
        <w:tblW w:w="0" w:type="auto"/>
        <w:jc w:val="left"/>
        <w:tblInd w:w="680" w:type="dxa"/>
        <w:tblLayout w:type="fixed"/>
        <w:tblCellMar>
          <w:top w:w="0" w:type="dxa"/>
          <w:left w:w="0" w:type="dxa"/>
          <w:bottom w:w="0" w:type="dxa"/>
          <w:right w:w="0" w:type="dxa"/>
        </w:tblCellMar>
        <w:tblLook w:val="01E0"/>
      </w:tblPr>
      <w:tblGrid>
        <w:gridCol w:w="3526"/>
        <w:gridCol w:w="1738"/>
        <w:gridCol w:w="1738"/>
        <w:gridCol w:w="1738"/>
      </w:tblGrid>
      <w:tr>
        <w:trPr>
          <w:trHeight w:val="898" w:hRule="exact"/>
        </w:trPr>
        <w:tc>
          <w:tcPr>
            <w:tcW w:w="352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3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173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上年发生额</w:t>
            </w:r>
          </w:p>
        </w:tc>
        <w:tc>
          <w:tcPr>
            <w:tcW w:w="1738" w:type="dxa"/>
            <w:tcBorders>
              <w:top w:val="single" w:sz="12" w:space="0" w:color="000000"/>
              <w:left w:val="single" w:sz="2" w:space="0" w:color="000000"/>
              <w:bottom w:val="single" w:sz="2" w:space="0" w:color="000000"/>
              <w:right w:val="nil" w:sz="6" w:space="0" w:color="auto"/>
            </w:tcBorders>
          </w:tcPr>
          <w:p>
            <w:pPr>
              <w:pStyle w:val="TableParagraph"/>
              <w:spacing w:line="405" w:lineRule="auto" w:before="149"/>
              <w:ind w:left="415" w:right="146" w:hanging="270"/>
              <w:jc w:val="left"/>
              <w:rPr>
                <w:rFonts w:ascii="宋体" w:hAnsi="宋体" w:cs="宋体" w:eastAsia="宋体" w:hint="default"/>
                <w:sz w:val="18"/>
                <w:szCs w:val="18"/>
              </w:rPr>
            </w:pPr>
            <w:r>
              <w:rPr>
                <w:rFonts w:ascii="宋体" w:hAnsi="宋体" w:cs="宋体" w:eastAsia="宋体" w:hint="default"/>
                <w:sz w:val="18"/>
                <w:szCs w:val="18"/>
              </w:rPr>
              <w:t>计入本年非经常性 损益的金额</w:t>
            </w:r>
          </w:p>
        </w:tc>
      </w:tr>
      <w:tr>
        <w:trPr>
          <w:trHeight w:val="485" w:hRule="exact"/>
        </w:trPr>
        <w:tc>
          <w:tcPr>
            <w:tcW w:w="3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非流动资产处置收益</w:t>
            </w:r>
          </w:p>
        </w:tc>
        <w:tc>
          <w:tcPr>
            <w:tcW w:w="17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-3,644,122.57</w:t>
            </w:r>
          </w:p>
        </w:tc>
        <w:tc>
          <w:tcPr>
            <w:tcW w:w="17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-8,335.74</w:t>
            </w:r>
          </w:p>
        </w:tc>
        <w:tc>
          <w:tcPr>
            <w:tcW w:w="17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-3,644,122.57</w:t>
            </w:r>
          </w:p>
        </w:tc>
      </w:tr>
      <w:tr>
        <w:trPr>
          <w:trHeight w:val="886" w:hRule="exact"/>
        </w:trPr>
        <w:tc>
          <w:tcPr>
            <w:tcW w:w="3526" w:type="dxa"/>
            <w:tcBorders>
              <w:top w:val="single" w:sz="2" w:space="0" w:color="000000"/>
              <w:left w:val="nil" w:sz="6" w:space="0" w:color="auto"/>
              <w:bottom w:val="single" w:sz="2" w:space="0" w:color="000000"/>
              <w:right w:val="single" w:sz="2" w:space="0" w:color="000000"/>
            </w:tcBorders>
          </w:tcPr>
          <w:p>
            <w:pPr>
              <w:pStyle w:val="TableParagraph"/>
              <w:spacing w:line="405" w:lineRule="auto" w:before="149"/>
              <w:ind w:left="124" w:right="106" w:firstLine="182"/>
              <w:jc w:val="left"/>
              <w:rPr>
                <w:rFonts w:ascii="宋体" w:hAnsi="宋体" w:cs="宋体" w:eastAsia="宋体" w:hint="default"/>
                <w:sz w:val="18"/>
                <w:szCs w:val="18"/>
              </w:rPr>
            </w:pPr>
            <w:r>
              <w:rPr>
                <w:rFonts w:ascii="宋体" w:hAnsi="宋体" w:cs="宋体" w:eastAsia="宋体" w:hint="default"/>
                <w:spacing w:val="2"/>
                <w:sz w:val="18"/>
                <w:szCs w:val="18"/>
              </w:rPr>
              <w:t>其中：未划分为持有待售的非流动资产</w:t>
            </w:r>
            <w:r>
              <w:rPr>
                <w:rFonts w:ascii="宋体" w:hAnsi="宋体" w:cs="宋体" w:eastAsia="宋体" w:hint="default"/>
                <w:sz w:val="18"/>
                <w:szCs w:val="18"/>
              </w:rPr>
              <w:t> 处置收益</w:t>
            </w:r>
          </w:p>
        </w:tc>
        <w:tc>
          <w:tcPr>
            <w:tcW w:w="17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5"/>
              <w:ind w:right="103"/>
              <w:jc w:val="right"/>
              <w:rPr>
                <w:rFonts w:ascii="Arial" w:hAnsi="Arial" w:cs="Arial" w:eastAsia="Arial" w:hint="default"/>
                <w:sz w:val="18"/>
                <w:szCs w:val="18"/>
              </w:rPr>
            </w:pPr>
            <w:r>
              <w:rPr>
                <w:rFonts w:ascii="Arial"/>
                <w:spacing w:val="-1"/>
                <w:sz w:val="18"/>
              </w:rPr>
              <w:t>-3,644,122.57</w:t>
            </w:r>
          </w:p>
        </w:tc>
        <w:tc>
          <w:tcPr>
            <w:tcW w:w="17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5"/>
              <w:ind w:right="102"/>
              <w:jc w:val="right"/>
              <w:rPr>
                <w:rFonts w:ascii="Arial" w:hAnsi="Arial" w:cs="Arial" w:eastAsia="Arial" w:hint="default"/>
                <w:sz w:val="18"/>
                <w:szCs w:val="18"/>
              </w:rPr>
            </w:pPr>
            <w:r>
              <w:rPr>
                <w:rFonts w:ascii="Arial"/>
                <w:spacing w:val="-1"/>
                <w:sz w:val="18"/>
              </w:rPr>
              <w:t>-8,335.74</w:t>
            </w:r>
          </w:p>
        </w:tc>
        <w:tc>
          <w:tcPr>
            <w:tcW w:w="1738"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5"/>
              <w:ind w:right="105"/>
              <w:jc w:val="right"/>
              <w:rPr>
                <w:rFonts w:ascii="Arial" w:hAnsi="Arial" w:cs="Arial" w:eastAsia="Arial" w:hint="default"/>
                <w:sz w:val="18"/>
                <w:szCs w:val="18"/>
              </w:rPr>
            </w:pPr>
            <w:r>
              <w:rPr>
                <w:rFonts w:ascii="Arial"/>
                <w:spacing w:val="-1"/>
                <w:sz w:val="18"/>
              </w:rPr>
              <w:t>-3,644,122.57</w:t>
            </w:r>
          </w:p>
        </w:tc>
      </w:tr>
      <w:tr>
        <w:trPr>
          <w:trHeight w:val="485" w:hRule="exact"/>
        </w:trPr>
        <w:tc>
          <w:tcPr>
            <w:tcW w:w="3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758" w:right="0"/>
              <w:jc w:val="left"/>
              <w:rPr>
                <w:rFonts w:ascii="宋体" w:hAnsi="宋体" w:cs="宋体" w:eastAsia="宋体" w:hint="default"/>
                <w:sz w:val="18"/>
                <w:szCs w:val="18"/>
              </w:rPr>
            </w:pPr>
            <w:r>
              <w:rPr>
                <w:rFonts w:ascii="宋体" w:hAnsi="宋体" w:cs="宋体" w:eastAsia="宋体" w:hint="default"/>
                <w:sz w:val="18"/>
                <w:szCs w:val="18"/>
              </w:rPr>
              <w:t>其中：固定资产处置收益</w:t>
            </w:r>
          </w:p>
        </w:tc>
        <w:tc>
          <w:tcPr>
            <w:tcW w:w="17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-3,644,122.57</w:t>
            </w:r>
          </w:p>
        </w:tc>
        <w:tc>
          <w:tcPr>
            <w:tcW w:w="17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-8,335.74</w:t>
            </w:r>
          </w:p>
        </w:tc>
        <w:tc>
          <w:tcPr>
            <w:tcW w:w="17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-3,644,122.57</w:t>
            </w:r>
          </w:p>
        </w:tc>
      </w:tr>
      <w:tr>
        <w:trPr>
          <w:trHeight w:val="497" w:hRule="exact"/>
        </w:trPr>
        <w:tc>
          <w:tcPr>
            <w:tcW w:w="35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-3,644,122.57</w:t>
            </w:r>
          </w:p>
        </w:tc>
        <w:tc>
          <w:tcPr>
            <w:tcW w:w="17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-8,335.74</w:t>
            </w:r>
          </w:p>
        </w:tc>
        <w:tc>
          <w:tcPr>
            <w:tcW w:w="173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-3,644,122.57</w:t>
            </w:r>
          </w:p>
        </w:tc>
      </w:tr>
    </w:tbl>
    <w:p>
      <w:pPr>
        <w:pStyle w:val="Heading4"/>
        <w:tabs>
          <w:tab w:pos="1513" w:val="left" w:leader="none"/>
        </w:tabs>
        <w:spacing w:line="240" w:lineRule="auto"/>
        <w:ind w:left="694" w:right="309"/>
        <w:jc w:val="left"/>
        <w:rPr>
          <w:b w:val="0"/>
          <w:bCs w:val="0"/>
        </w:rPr>
      </w:pPr>
      <w:r>
        <w:rPr>
          <w:rFonts w:ascii="Arial" w:hAnsi="Arial" w:cs="Arial" w:eastAsia="Arial" w:hint="default"/>
          <w:spacing w:val="-1"/>
        </w:rPr>
        <w:t>40</w:t>
      </w:r>
      <w:r>
        <w:rPr>
          <w:spacing w:val="-1"/>
        </w:rPr>
        <w:t>、</w:t>
        <w:tab/>
      </w:r>
      <w:r>
        <w:rPr/>
        <w:t>营业外收入</w:t>
      </w:r>
      <w:r>
        <w:rPr>
          <w:b w:val="0"/>
          <w:bCs w:val="0"/>
        </w:rPr>
      </w:r>
    </w:p>
    <w:p>
      <w:pPr>
        <w:pStyle w:val="BodyText"/>
        <w:spacing w:line="240" w:lineRule="auto" w:before="138"/>
        <w:ind w:left="692" w:right="309"/>
        <w:jc w:val="left"/>
      </w:pPr>
      <w:r>
        <w:rPr/>
        <w:t>（</w:t>
      </w:r>
      <w:r>
        <w:rPr>
          <w:rFonts w:ascii="Arial" w:hAnsi="Arial" w:cs="Arial" w:eastAsia="Arial" w:hint="default"/>
        </w:rPr>
        <w:t>1</w:t>
      </w:r>
      <w:r>
        <w:rPr/>
        <w:t>）营业外收入明细</w:t>
      </w:r>
    </w:p>
    <w:p>
      <w:pPr>
        <w:spacing w:line="240" w:lineRule="auto" w:before="8"/>
        <w:rPr>
          <w:rFonts w:ascii="宋体" w:hAnsi="宋体" w:cs="宋体" w:eastAsia="宋体" w:hint="default"/>
          <w:sz w:val="5"/>
          <w:szCs w:val="5"/>
        </w:rPr>
      </w:pPr>
    </w:p>
    <w:tbl>
      <w:tblPr>
        <w:tblW w:w="0" w:type="auto"/>
        <w:jc w:val="left"/>
        <w:tblInd w:w="680" w:type="dxa"/>
        <w:tblLayout w:type="fixed"/>
        <w:tblCellMar>
          <w:top w:w="0" w:type="dxa"/>
          <w:left w:w="0" w:type="dxa"/>
          <w:bottom w:w="0" w:type="dxa"/>
          <w:right w:w="0" w:type="dxa"/>
        </w:tblCellMar>
        <w:tblLook w:val="01E0"/>
      </w:tblPr>
      <w:tblGrid>
        <w:gridCol w:w="2897"/>
        <w:gridCol w:w="2038"/>
        <w:gridCol w:w="1843"/>
        <w:gridCol w:w="1961"/>
      </w:tblGrid>
      <w:tr>
        <w:trPr>
          <w:trHeight w:val="898" w:hRule="exact"/>
        </w:trPr>
        <w:tc>
          <w:tcPr>
            <w:tcW w:w="289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256"/>
              <w:jc w:val="right"/>
              <w:rPr>
                <w:rFonts w:ascii="宋体" w:hAnsi="宋体" w:cs="宋体" w:eastAsia="宋体" w:hint="default"/>
                <w:sz w:val="18"/>
                <w:szCs w:val="18"/>
              </w:rPr>
            </w:pPr>
            <w:r>
              <w:rPr>
                <w:rFonts w:ascii="宋体" w:hAnsi="宋体" w:cs="宋体" w:eastAsia="宋体" w:hint="default"/>
                <w:sz w:val="18"/>
                <w:szCs w:val="18"/>
              </w:rPr>
              <w:t>项目</w:t>
            </w:r>
          </w:p>
        </w:tc>
        <w:tc>
          <w:tcPr>
            <w:tcW w:w="203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18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上年发生额</w:t>
            </w:r>
          </w:p>
        </w:tc>
        <w:tc>
          <w:tcPr>
            <w:tcW w:w="1961" w:type="dxa"/>
            <w:tcBorders>
              <w:top w:val="single" w:sz="12" w:space="0" w:color="000000"/>
              <w:left w:val="single" w:sz="2" w:space="0" w:color="000000"/>
              <w:bottom w:val="single" w:sz="2" w:space="0" w:color="000000"/>
              <w:right w:val="nil" w:sz="6" w:space="0" w:color="auto"/>
            </w:tcBorders>
          </w:tcPr>
          <w:p>
            <w:pPr>
              <w:pStyle w:val="TableParagraph"/>
              <w:spacing w:line="400" w:lineRule="exact" w:before="40"/>
              <w:ind w:left="617" w:right="168" w:hanging="450"/>
              <w:jc w:val="left"/>
              <w:rPr>
                <w:rFonts w:ascii="宋体" w:hAnsi="宋体" w:cs="宋体" w:eastAsia="宋体" w:hint="default"/>
                <w:sz w:val="18"/>
                <w:szCs w:val="18"/>
              </w:rPr>
            </w:pPr>
            <w:r>
              <w:rPr>
                <w:rFonts w:ascii="宋体" w:hAnsi="宋体" w:cs="宋体" w:eastAsia="宋体" w:hint="default"/>
                <w:sz w:val="18"/>
                <w:szCs w:val="18"/>
              </w:rPr>
              <w:t>计入本年非经常性损 益的金额</w:t>
            </w:r>
          </w:p>
        </w:tc>
      </w:tr>
      <w:tr>
        <w:trPr>
          <w:trHeight w:val="485" w:hRule="exact"/>
        </w:trPr>
        <w:tc>
          <w:tcPr>
            <w:tcW w:w="28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0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3,044,184.59</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2,401,160.70</w:t>
            </w:r>
          </w:p>
        </w:tc>
        <w:tc>
          <w:tcPr>
            <w:tcW w:w="19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3,044,184.59</w:t>
            </w:r>
          </w:p>
        </w:tc>
      </w:tr>
      <w:tr>
        <w:trPr>
          <w:trHeight w:val="485" w:hRule="exact"/>
        </w:trPr>
        <w:tc>
          <w:tcPr>
            <w:tcW w:w="28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35,360.50</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244,632.80</w:t>
            </w:r>
          </w:p>
        </w:tc>
        <w:tc>
          <w:tcPr>
            <w:tcW w:w="19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35,360.50</w:t>
            </w:r>
          </w:p>
        </w:tc>
      </w:tr>
      <w:tr>
        <w:trPr>
          <w:trHeight w:val="499" w:hRule="exact"/>
        </w:trPr>
        <w:tc>
          <w:tcPr>
            <w:tcW w:w="289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right="1256"/>
              <w:jc w:val="right"/>
              <w:rPr>
                <w:rFonts w:ascii="宋体" w:hAnsi="宋体" w:cs="宋体" w:eastAsia="宋体" w:hint="default"/>
                <w:sz w:val="18"/>
                <w:szCs w:val="18"/>
              </w:rPr>
            </w:pPr>
            <w:r>
              <w:rPr>
                <w:rFonts w:ascii="宋体" w:hAnsi="宋体" w:cs="宋体" w:eastAsia="宋体" w:hint="default"/>
                <w:sz w:val="18"/>
                <w:szCs w:val="18"/>
              </w:rPr>
              <w:t>合计</w:t>
            </w:r>
          </w:p>
        </w:tc>
        <w:tc>
          <w:tcPr>
            <w:tcW w:w="20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3,079,545.09</w:t>
            </w:r>
          </w:p>
        </w:tc>
        <w:tc>
          <w:tcPr>
            <w:tcW w:w="18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2,645,793.50</w:t>
            </w:r>
          </w:p>
        </w:tc>
        <w:tc>
          <w:tcPr>
            <w:tcW w:w="196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3,079,545.09</w:t>
            </w:r>
          </w:p>
        </w:tc>
      </w:tr>
    </w:tbl>
    <w:p>
      <w:pPr>
        <w:spacing w:line="240" w:lineRule="auto" w:before="5"/>
        <w:rPr>
          <w:rFonts w:ascii="宋体" w:hAnsi="宋体" w:cs="宋体" w:eastAsia="宋体" w:hint="default"/>
          <w:sz w:val="5"/>
          <w:szCs w:val="5"/>
        </w:rPr>
      </w:pPr>
    </w:p>
    <w:p>
      <w:pPr>
        <w:pStyle w:val="BodyText"/>
        <w:spacing w:line="240" w:lineRule="auto" w:before="32"/>
        <w:ind w:left="692" w:right="309"/>
        <w:jc w:val="left"/>
      </w:pPr>
      <w:r>
        <w:rPr/>
        <w:t>（</w:t>
      </w:r>
      <w:r>
        <w:rPr>
          <w:rFonts w:ascii="Arial" w:hAnsi="Arial" w:cs="Arial" w:eastAsia="Arial" w:hint="default"/>
        </w:rPr>
        <w:t>2</w:t>
      </w:r>
      <w:r>
        <w:rPr/>
        <w:t>）计入当年损益的政府补助</w:t>
      </w:r>
    </w:p>
    <w:p>
      <w:pPr>
        <w:spacing w:line="240" w:lineRule="auto" w:before="8"/>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1419"/>
        <w:gridCol w:w="835"/>
        <w:gridCol w:w="1054"/>
        <w:gridCol w:w="1054"/>
        <w:gridCol w:w="749"/>
        <w:gridCol w:w="699"/>
        <w:gridCol w:w="1562"/>
        <w:gridCol w:w="1565"/>
        <w:gridCol w:w="934"/>
      </w:tblGrid>
      <w:tr>
        <w:trPr>
          <w:trHeight w:val="1658" w:hRule="exact"/>
        </w:trPr>
        <w:tc>
          <w:tcPr>
            <w:tcW w:w="1419"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83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357" w:lineRule="auto"/>
              <w:ind w:left="235" w:right="233"/>
              <w:jc w:val="left"/>
              <w:rPr>
                <w:rFonts w:ascii="宋体" w:hAnsi="宋体" w:cs="宋体" w:eastAsia="宋体" w:hint="default"/>
                <w:sz w:val="18"/>
                <w:szCs w:val="18"/>
              </w:rPr>
            </w:pPr>
            <w:r>
              <w:rPr>
                <w:rFonts w:ascii="宋体" w:hAnsi="宋体" w:cs="宋体" w:eastAsia="宋体" w:hint="default"/>
                <w:sz w:val="18"/>
                <w:szCs w:val="18"/>
              </w:rPr>
              <w:t>发放 主体</w:t>
            </w:r>
          </w:p>
        </w:tc>
        <w:tc>
          <w:tcPr>
            <w:tcW w:w="105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357" w:lineRule="auto"/>
              <w:ind w:left="343" w:right="344"/>
              <w:jc w:val="left"/>
              <w:rPr>
                <w:rFonts w:ascii="宋体" w:hAnsi="宋体" w:cs="宋体" w:eastAsia="宋体" w:hint="default"/>
                <w:sz w:val="18"/>
                <w:szCs w:val="18"/>
              </w:rPr>
            </w:pPr>
            <w:r>
              <w:rPr>
                <w:rFonts w:ascii="宋体" w:hAnsi="宋体" w:cs="宋体" w:eastAsia="宋体" w:hint="default"/>
                <w:sz w:val="18"/>
                <w:szCs w:val="18"/>
              </w:rPr>
              <w:t>发放 原因</w:t>
            </w:r>
          </w:p>
        </w:tc>
        <w:tc>
          <w:tcPr>
            <w:tcW w:w="105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357" w:lineRule="auto"/>
              <w:ind w:left="345" w:right="341"/>
              <w:jc w:val="left"/>
              <w:rPr>
                <w:rFonts w:ascii="宋体" w:hAnsi="宋体" w:cs="宋体" w:eastAsia="宋体" w:hint="default"/>
                <w:sz w:val="18"/>
                <w:szCs w:val="18"/>
              </w:rPr>
            </w:pPr>
            <w:r>
              <w:rPr>
                <w:rFonts w:ascii="宋体" w:hAnsi="宋体" w:cs="宋体" w:eastAsia="宋体" w:hint="default"/>
                <w:sz w:val="18"/>
                <w:szCs w:val="18"/>
              </w:rPr>
              <w:t>性质 类型</w:t>
            </w:r>
          </w:p>
        </w:tc>
        <w:tc>
          <w:tcPr>
            <w:tcW w:w="749" w:type="dxa"/>
            <w:tcBorders>
              <w:top w:val="single" w:sz="12" w:space="0" w:color="000000"/>
              <w:left w:val="single" w:sz="2" w:space="0" w:color="000000"/>
              <w:bottom w:val="single" w:sz="2" w:space="0" w:color="000000"/>
              <w:right w:val="single" w:sz="2" w:space="0" w:color="000000"/>
            </w:tcBorders>
          </w:tcPr>
          <w:p>
            <w:pPr>
              <w:pStyle w:val="TableParagraph"/>
              <w:spacing w:line="316" w:lineRule="auto" w:before="49"/>
              <w:ind w:left="194" w:right="187"/>
              <w:jc w:val="both"/>
              <w:rPr>
                <w:rFonts w:ascii="宋体" w:hAnsi="宋体" w:cs="宋体" w:eastAsia="宋体" w:hint="default"/>
                <w:sz w:val="18"/>
                <w:szCs w:val="18"/>
              </w:rPr>
            </w:pPr>
            <w:r>
              <w:rPr>
                <w:rFonts w:ascii="宋体" w:hAnsi="宋体" w:cs="宋体" w:eastAsia="宋体" w:hint="default"/>
                <w:sz w:val="18"/>
                <w:szCs w:val="18"/>
              </w:rPr>
              <w:t>补贴 是否 影响 当年 盈亏</w:t>
            </w:r>
          </w:p>
        </w:tc>
        <w:tc>
          <w:tcPr>
            <w:tcW w:w="6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68" w:right="163"/>
              <w:jc w:val="both"/>
              <w:rPr>
                <w:rFonts w:ascii="宋体" w:hAnsi="宋体" w:cs="宋体" w:eastAsia="宋体" w:hint="default"/>
                <w:sz w:val="18"/>
                <w:szCs w:val="18"/>
              </w:rPr>
            </w:pPr>
            <w:r>
              <w:rPr>
                <w:rFonts w:ascii="宋体" w:hAnsi="宋体" w:cs="宋体" w:eastAsia="宋体" w:hint="default"/>
                <w:sz w:val="18"/>
                <w:szCs w:val="18"/>
              </w:rPr>
              <w:t>是否 特殊 补贴</w:t>
            </w:r>
          </w:p>
        </w:tc>
        <w:tc>
          <w:tcPr>
            <w:tcW w:w="156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本年发生金额</w:t>
            </w:r>
          </w:p>
        </w:tc>
        <w:tc>
          <w:tcPr>
            <w:tcW w:w="156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上年发生金额</w:t>
            </w:r>
          </w:p>
        </w:tc>
        <w:tc>
          <w:tcPr>
            <w:tcW w:w="93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168" w:right="170" w:firstLine="2"/>
              <w:jc w:val="center"/>
              <w:rPr>
                <w:rFonts w:ascii="宋体" w:hAnsi="宋体" w:cs="宋体" w:eastAsia="宋体" w:hint="default"/>
                <w:sz w:val="18"/>
                <w:szCs w:val="18"/>
              </w:rPr>
            </w:pPr>
            <w:r>
              <w:rPr>
                <w:rFonts w:ascii="宋体" w:hAnsi="宋体" w:cs="宋体" w:eastAsia="宋体" w:hint="default"/>
                <w:sz w:val="18"/>
                <w:szCs w:val="18"/>
              </w:rPr>
              <w:t>与资产 相关</w:t>
            </w:r>
            <w:r>
              <w:rPr>
                <w:rFonts w:ascii="Arial" w:hAnsi="Arial" w:cs="Arial" w:eastAsia="Arial" w:hint="default"/>
                <w:sz w:val="18"/>
                <w:szCs w:val="18"/>
              </w:rPr>
              <w:t>/</w:t>
            </w:r>
            <w:r>
              <w:rPr>
                <w:rFonts w:ascii="宋体" w:hAnsi="宋体" w:cs="宋体" w:eastAsia="宋体" w:hint="default"/>
                <w:sz w:val="18"/>
                <w:szCs w:val="18"/>
              </w:rPr>
              <w:t>与 收益相 关</w:t>
            </w:r>
          </w:p>
        </w:tc>
      </w:tr>
      <w:tr>
        <w:trPr>
          <w:trHeight w:val="1332" w:hRule="exact"/>
        </w:trPr>
        <w:tc>
          <w:tcPr>
            <w:tcW w:w="1419" w:type="dxa"/>
            <w:tcBorders>
              <w:top w:val="single" w:sz="2" w:space="0" w:color="000000"/>
              <w:left w:val="nil" w:sz="6" w:space="0" w:color="auto"/>
              <w:bottom w:val="single" w:sz="2" w:space="0" w:color="000000"/>
              <w:right w:val="single" w:sz="2" w:space="0" w:color="000000"/>
            </w:tcBorders>
          </w:tcPr>
          <w:p>
            <w:pPr>
              <w:pStyle w:val="TableParagraph"/>
              <w:spacing w:line="316" w:lineRule="auto" w:before="49"/>
              <w:ind w:left="122" w:right="82"/>
              <w:jc w:val="both"/>
              <w:rPr>
                <w:rFonts w:ascii="宋体" w:hAnsi="宋体" w:cs="宋体" w:eastAsia="宋体" w:hint="default"/>
                <w:sz w:val="18"/>
                <w:szCs w:val="18"/>
              </w:rPr>
            </w:pPr>
            <w:r>
              <w:rPr>
                <w:rFonts w:ascii="宋体" w:hAnsi="宋体" w:cs="宋体" w:eastAsia="宋体" w:hint="default"/>
                <w:spacing w:val="-11"/>
                <w:sz w:val="18"/>
                <w:szCs w:val="18"/>
              </w:rPr>
              <w:t>浦东新区“十二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1"/>
                <w:sz w:val="18"/>
                <w:szCs w:val="18"/>
              </w:rPr>
              <w:t>五”财税贡献增</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7"/>
                <w:sz w:val="18"/>
                <w:szCs w:val="18"/>
              </w:rPr>
              <w:t>量财政扶持资</w:t>
            </w:r>
            <w:r>
              <w:rPr>
                <w:rFonts w:ascii="宋体" w:hAnsi="宋体" w:cs="宋体" w:eastAsia="宋体" w:hint="default"/>
                <w:spacing w:val="-87"/>
                <w:sz w:val="18"/>
                <w:szCs w:val="18"/>
              </w:rPr>
              <w:t> </w:t>
            </w:r>
            <w:r>
              <w:rPr>
                <w:rFonts w:ascii="宋体" w:hAnsi="宋体" w:cs="宋体" w:eastAsia="宋体" w:hint="default"/>
                <w:sz w:val="18"/>
                <w:szCs w:val="18"/>
              </w:rPr>
              <w:t>金补贴</w:t>
            </w:r>
          </w:p>
        </w:tc>
        <w:tc>
          <w:tcPr>
            <w:tcW w:w="8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105" w:right="60"/>
              <w:jc w:val="left"/>
              <w:rPr>
                <w:rFonts w:ascii="宋体" w:hAnsi="宋体" w:cs="宋体" w:eastAsia="宋体" w:hint="default"/>
                <w:sz w:val="18"/>
                <w:szCs w:val="18"/>
              </w:rPr>
            </w:pPr>
            <w:r>
              <w:rPr>
                <w:rFonts w:ascii="宋体" w:hAnsi="宋体" w:cs="宋体" w:eastAsia="宋体" w:hint="default"/>
                <w:spacing w:val="26"/>
                <w:sz w:val="18"/>
                <w:szCs w:val="18"/>
              </w:rPr>
              <w:t>陆家嘴</w:t>
            </w:r>
            <w:r>
              <w:rPr>
                <w:rFonts w:ascii="宋体" w:hAnsi="宋体" w:cs="宋体" w:eastAsia="宋体" w:hint="default"/>
                <w:spacing w:val="-88"/>
                <w:sz w:val="18"/>
                <w:szCs w:val="18"/>
              </w:rPr>
              <w:t> </w:t>
            </w:r>
            <w:r>
              <w:rPr>
                <w:rFonts w:ascii="宋体" w:hAnsi="宋体" w:cs="宋体" w:eastAsia="宋体" w:hint="default"/>
                <w:sz w:val="18"/>
                <w:szCs w:val="18"/>
              </w:rPr>
              <w:t>管委会</w:t>
            </w:r>
          </w:p>
        </w:tc>
        <w:tc>
          <w:tcPr>
            <w:tcW w:w="1054"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49"/>
              <w:ind w:left="105" w:right="41" w:hanging="65"/>
              <w:jc w:val="center"/>
              <w:rPr>
                <w:rFonts w:ascii="宋体" w:hAnsi="宋体" w:cs="宋体" w:eastAsia="宋体" w:hint="default"/>
                <w:sz w:val="18"/>
                <w:szCs w:val="18"/>
              </w:rPr>
            </w:pPr>
            <w:r>
              <w:rPr>
                <w:rFonts w:ascii="宋体" w:hAnsi="宋体" w:cs="宋体" w:eastAsia="宋体" w:hint="default"/>
                <w:sz w:val="18"/>
                <w:szCs w:val="18"/>
              </w:rPr>
              <w:t>浦东新区 “十二五” 财政扶持 资金</w:t>
            </w:r>
          </w:p>
        </w:tc>
        <w:tc>
          <w:tcPr>
            <w:tcW w:w="10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165" w:right="161"/>
              <w:jc w:val="left"/>
              <w:rPr>
                <w:rFonts w:ascii="宋体" w:hAnsi="宋体" w:cs="宋体" w:eastAsia="宋体" w:hint="default"/>
                <w:sz w:val="18"/>
                <w:szCs w:val="18"/>
              </w:rPr>
            </w:pPr>
            <w:r>
              <w:rPr>
                <w:rFonts w:ascii="宋体" w:hAnsi="宋体" w:cs="宋体" w:eastAsia="宋体" w:hint="default"/>
                <w:sz w:val="18"/>
                <w:szCs w:val="18"/>
              </w:rPr>
              <w:t>一般财政 扶持资金</w:t>
            </w:r>
          </w:p>
        </w:tc>
        <w:tc>
          <w:tcPr>
            <w:tcW w:w="7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2,939,000.00</w:t>
            </w:r>
          </w:p>
        </w:tc>
        <w:tc>
          <w:tcPr>
            <w:tcW w:w="15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2,349,000.00</w:t>
            </w:r>
          </w:p>
        </w:tc>
        <w:tc>
          <w:tcPr>
            <w:tcW w:w="93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105" w:right="17"/>
              <w:jc w:val="left"/>
              <w:rPr>
                <w:rFonts w:ascii="宋体" w:hAnsi="宋体" w:cs="宋体" w:eastAsia="宋体" w:hint="default"/>
                <w:sz w:val="18"/>
                <w:szCs w:val="18"/>
              </w:rPr>
            </w:pPr>
            <w:r>
              <w:rPr>
                <w:rFonts w:ascii="宋体" w:hAnsi="宋体" w:cs="宋体" w:eastAsia="宋体" w:hint="default"/>
                <w:spacing w:val="58"/>
                <w:sz w:val="18"/>
                <w:szCs w:val="18"/>
              </w:rPr>
              <w:t>与收益</w:t>
            </w:r>
            <w:r>
              <w:rPr>
                <w:rFonts w:ascii="宋体" w:hAnsi="宋体" w:cs="宋体" w:eastAsia="宋体" w:hint="default"/>
                <w:spacing w:val="-2"/>
                <w:sz w:val="18"/>
                <w:szCs w:val="18"/>
              </w:rPr>
              <w:t> </w:t>
            </w:r>
            <w:r>
              <w:rPr>
                <w:rFonts w:ascii="宋体" w:hAnsi="宋体" w:cs="宋体" w:eastAsia="宋体" w:hint="default"/>
                <w:sz w:val="18"/>
                <w:szCs w:val="18"/>
              </w:rPr>
              <w:t>相关</w:t>
            </w:r>
          </w:p>
        </w:tc>
      </w:tr>
      <w:tr>
        <w:trPr>
          <w:trHeight w:val="415" w:hRule="exact"/>
        </w:trPr>
        <w:tc>
          <w:tcPr>
            <w:tcW w:w="141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8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3"/>
              <w:ind w:left="105" w:right="0"/>
              <w:jc w:val="left"/>
              <w:rPr>
                <w:rFonts w:ascii="宋体" w:hAnsi="宋体" w:cs="宋体" w:eastAsia="宋体" w:hint="default"/>
                <w:sz w:val="18"/>
                <w:szCs w:val="18"/>
              </w:rPr>
            </w:pPr>
            <w:r>
              <w:rPr>
                <w:rFonts w:ascii="宋体" w:hAnsi="宋体" w:cs="宋体" w:eastAsia="宋体" w:hint="default"/>
                <w:spacing w:val="26"/>
                <w:sz w:val="18"/>
                <w:szCs w:val="18"/>
              </w:rPr>
              <w:t>社保机</w:t>
            </w:r>
            <w:r>
              <w:rPr>
                <w:rFonts w:ascii="宋体" w:hAnsi="宋体" w:cs="宋体" w:eastAsia="宋体" w:hint="default"/>
                <w:spacing w:val="-50"/>
                <w:sz w:val="18"/>
                <w:szCs w:val="18"/>
              </w:rPr>
              <w:t> </w:t>
            </w:r>
            <w:r>
              <w:rPr>
                <w:rFonts w:ascii="宋体" w:hAnsi="宋体" w:cs="宋体" w:eastAsia="宋体" w:hint="default"/>
                <w:sz w:val="18"/>
                <w:szCs w:val="18"/>
              </w:rPr>
            </w:r>
          </w:p>
        </w:tc>
        <w:tc>
          <w:tcPr>
            <w:tcW w:w="105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3"/>
              <w:ind w:left="163" w:right="0"/>
              <w:jc w:val="left"/>
              <w:rPr>
                <w:rFonts w:ascii="宋体" w:hAnsi="宋体" w:cs="宋体" w:eastAsia="宋体" w:hint="default"/>
                <w:sz w:val="18"/>
                <w:szCs w:val="18"/>
              </w:rPr>
            </w:pPr>
            <w:r>
              <w:rPr>
                <w:rFonts w:ascii="宋体" w:hAnsi="宋体" w:cs="宋体" w:eastAsia="宋体" w:hint="default"/>
                <w:sz w:val="18"/>
                <w:szCs w:val="18"/>
              </w:rPr>
              <w:t>稳定企业</w:t>
            </w:r>
          </w:p>
        </w:tc>
        <w:tc>
          <w:tcPr>
            <w:tcW w:w="105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3"/>
              <w:ind w:left="165" w:right="0"/>
              <w:jc w:val="left"/>
              <w:rPr>
                <w:rFonts w:ascii="宋体" w:hAnsi="宋体" w:cs="宋体" w:eastAsia="宋体" w:hint="default"/>
                <w:sz w:val="18"/>
                <w:szCs w:val="18"/>
              </w:rPr>
            </w:pPr>
            <w:r>
              <w:rPr>
                <w:rFonts w:ascii="宋体" w:hAnsi="宋体" w:cs="宋体" w:eastAsia="宋体" w:hint="default"/>
                <w:sz w:val="18"/>
                <w:szCs w:val="18"/>
              </w:rPr>
              <w:t>一般财政</w:t>
            </w:r>
          </w:p>
        </w:tc>
        <w:tc>
          <w:tcPr>
            <w:tcW w:w="74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2"/>
              <w:ind w:right="102"/>
              <w:jc w:val="right"/>
              <w:rPr>
                <w:rFonts w:ascii="Arial" w:hAnsi="Arial" w:cs="Arial" w:eastAsia="Arial" w:hint="default"/>
                <w:sz w:val="18"/>
                <w:szCs w:val="18"/>
              </w:rPr>
            </w:pPr>
            <w:r>
              <w:rPr>
                <w:rFonts w:ascii="Arial"/>
                <w:spacing w:val="-1"/>
                <w:sz w:val="18"/>
              </w:rPr>
              <w:t>105,184.59</w:t>
            </w:r>
          </w:p>
        </w:tc>
        <w:tc>
          <w:tcPr>
            <w:tcW w:w="156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2"/>
              <w:ind w:right="102"/>
              <w:jc w:val="right"/>
              <w:rPr>
                <w:rFonts w:ascii="Arial" w:hAnsi="Arial" w:cs="Arial" w:eastAsia="Arial" w:hint="default"/>
                <w:sz w:val="18"/>
                <w:szCs w:val="18"/>
              </w:rPr>
            </w:pPr>
            <w:r>
              <w:rPr>
                <w:rFonts w:ascii="Arial"/>
                <w:spacing w:val="-1"/>
                <w:sz w:val="18"/>
              </w:rPr>
              <w:t>52,160.70</w:t>
            </w:r>
          </w:p>
        </w:tc>
        <w:tc>
          <w:tcPr>
            <w:tcW w:w="93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3"/>
              <w:ind w:left="105" w:right="0"/>
              <w:jc w:val="left"/>
              <w:rPr>
                <w:rFonts w:ascii="宋体" w:hAnsi="宋体" w:cs="宋体" w:eastAsia="宋体" w:hint="default"/>
                <w:sz w:val="18"/>
                <w:szCs w:val="18"/>
              </w:rPr>
            </w:pPr>
            <w:r>
              <w:rPr>
                <w:rFonts w:ascii="宋体" w:hAnsi="宋体" w:cs="宋体" w:eastAsia="宋体" w:hint="default"/>
                <w:spacing w:val="88"/>
                <w:sz w:val="18"/>
                <w:szCs w:val="18"/>
              </w:rPr>
              <w:t>与收</w:t>
            </w:r>
            <w:r>
              <w:rPr>
                <w:rFonts w:ascii="宋体" w:hAnsi="宋体" w:cs="宋体" w:eastAsia="宋体" w:hint="default"/>
                <w:sz w:val="18"/>
                <w:szCs w:val="18"/>
              </w:rPr>
              <w:t>益</w:t>
            </w:r>
            <w:r>
              <w:rPr>
                <w:rFonts w:ascii="宋体" w:hAnsi="宋体" w:cs="宋体" w:eastAsia="宋体" w:hint="default"/>
                <w:spacing w:val="-2"/>
                <w:sz w:val="18"/>
                <w:szCs w:val="18"/>
              </w:rPr>
              <w:t> </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5" w:footer="979" w:top="1060" w:bottom="1160" w:left="880" w:right="0"/>
        </w:sectPr>
      </w:pPr>
    </w:p>
    <w:p>
      <w:pPr>
        <w:spacing w:line="240" w:lineRule="auto" w:before="6"/>
        <w:rPr>
          <w:rFonts w:ascii="宋体" w:hAnsi="宋体" w:cs="宋体" w:eastAsia="宋体" w:hint="default"/>
          <w:sz w:val="28"/>
          <w:szCs w:val="28"/>
        </w:rPr>
      </w:pPr>
    </w:p>
    <w:tbl>
      <w:tblPr>
        <w:tblW w:w="0" w:type="auto"/>
        <w:jc w:val="left"/>
        <w:tblInd w:w="116" w:type="dxa"/>
        <w:tblLayout w:type="fixed"/>
        <w:tblCellMar>
          <w:top w:w="0" w:type="dxa"/>
          <w:left w:w="0" w:type="dxa"/>
          <w:bottom w:w="0" w:type="dxa"/>
          <w:right w:w="0" w:type="dxa"/>
        </w:tblCellMar>
        <w:tblLook w:val="01E0"/>
      </w:tblPr>
      <w:tblGrid>
        <w:gridCol w:w="1419"/>
        <w:gridCol w:w="835"/>
        <w:gridCol w:w="1054"/>
        <w:gridCol w:w="1054"/>
        <w:gridCol w:w="749"/>
        <w:gridCol w:w="699"/>
        <w:gridCol w:w="1562"/>
        <w:gridCol w:w="1565"/>
        <w:gridCol w:w="934"/>
      </w:tblGrid>
      <w:tr>
        <w:trPr>
          <w:trHeight w:val="1659" w:hRule="exact"/>
        </w:trPr>
        <w:tc>
          <w:tcPr>
            <w:tcW w:w="1419"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83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57" w:lineRule="auto"/>
              <w:ind w:left="235" w:right="233"/>
              <w:jc w:val="left"/>
              <w:rPr>
                <w:rFonts w:ascii="宋体" w:hAnsi="宋体" w:cs="宋体" w:eastAsia="宋体" w:hint="default"/>
                <w:sz w:val="18"/>
                <w:szCs w:val="18"/>
              </w:rPr>
            </w:pPr>
            <w:r>
              <w:rPr>
                <w:rFonts w:ascii="宋体" w:hAnsi="宋体" w:cs="宋体" w:eastAsia="宋体" w:hint="default"/>
                <w:sz w:val="18"/>
                <w:szCs w:val="18"/>
              </w:rPr>
              <w:t>发放 主体</w:t>
            </w:r>
          </w:p>
        </w:tc>
        <w:tc>
          <w:tcPr>
            <w:tcW w:w="105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57" w:lineRule="auto"/>
              <w:ind w:left="343" w:right="344"/>
              <w:jc w:val="left"/>
              <w:rPr>
                <w:rFonts w:ascii="宋体" w:hAnsi="宋体" w:cs="宋体" w:eastAsia="宋体" w:hint="default"/>
                <w:sz w:val="18"/>
                <w:szCs w:val="18"/>
              </w:rPr>
            </w:pPr>
            <w:r>
              <w:rPr>
                <w:rFonts w:ascii="宋体" w:hAnsi="宋体" w:cs="宋体" w:eastAsia="宋体" w:hint="default"/>
                <w:sz w:val="18"/>
                <w:szCs w:val="18"/>
              </w:rPr>
              <w:t>发放 原因</w:t>
            </w:r>
          </w:p>
        </w:tc>
        <w:tc>
          <w:tcPr>
            <w:tcW w:w="105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57" w:lineRule="auto"/>
              <w:ind w:left="345" w:right="341"/>
              <w:jc w:val="left"/>
              <w:rPr>
                <w:rFonts w:ascii="宋体" w:hAnsi="宋体" w:cs="宋体" w:eastAsia="宋体" w:hint="default"/>
                <w:sz w:val="18"/>
                <w:szCs w:val="18"/>
              </w:rPr>
            </w:pPr>
            <w:r>
              <w:rPr>
                <w:rFonts w:ascii="宋体" w:hAnsi="宋体" w:cs="宋体" w:eastAsia="宋体" w:hint="default"/>
                <w:sz w:val="18"/>
                <w:szCs w:val="18"/>
              </w:rPr>
              <w:t>性质 类型</w:t>
            </w:r>
          </w:p>
        </w:tc>
        <w:tc>
          <w:tcPr>
            <w:tcW w:w="749" w:type="dxa"/>
            <w:tcBorders>
              <w:top w:val="single" w:sz="12" w:space="0" w:color="000000"/>
              <w:left w:val="single" w:sz="2" w:space="0" w:color="000000"/>
              <w:bottom w:val="single" w:sz="2" w:space="0" w:color="000000"/>
              <w:right w:val="single" w:sz="2" w:space="0" w:color="000000"/>
            </w:tcBorders>
          </w:tcPr>
          <w:p>
            <w:pPr>
              <w:pStyle w:val="TableParagraph"/>
              <w:spacing w:line="316" w:lineRule="auto" w:before="51"/>
              <w:ind w:left="194" w:right="187"/>
              <w:jc w:val="both"/>
              <w:rPr>
                <w:rFonts w:ascii="宋体" w:hAnsi="宋体" w:cs="宋体" w:eastAsia="宋体" w:hint="default"/>
                <w:sz w:val="18"/>
                <w:szCs w:val="18"/>
              </w:rPr>
            </w:pPr>
            <w:r>
              <w:rPr>
                <w:rFonts w:ascii="宋体" w:hAnsi="宋体" w:cs="宋体" w:eastAsia="宋体" w:hint="default"/>
                <w:sz w:val="18"/>
                <w:szCs w:val="18"/>
              </w:rPr>
              <w:t>补贴 是否 影响 当年 盈亏</w:t>
            </w:r>
          </w:p>
        </w:tc>
        <w:tc>
          <w:tcPr>
            <w:tcW w:w="6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68" w:right="163"/>
              <w:jc w:val="both"/>
              <w:rPr>
                <w:rFonts w:ascii="宋体" w:hAnsi="宋体" w:cs="宋体" w:eastAsia="宋体" w:hint="default"/>
                <w:sz w:val="18"/>
                <w:szCs w:val="18"/>
              </w:rPr>
            </w:pPr>
            <w:r>
              <w:rPr>
                <w:rFonts w:ascii="宋体" w:hAnsi="宋体" w:cs="宋体" w:eastAsia="宋体" w:hint="default"/>
                <w:sz w:val="18"/>
                <w:szCs w:val="18"/>
              </w:rPr>
              <w:t>是否 特殊 补贴</w:t>
            </w:r>
          </w:p>
        </w:tc>
        <w:tc>
          <w:tcPr>
            <w:tcW w:w="156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本年发生金额</w:t>
            </w:r>
          </w:p>
        </w:tc>
        <w:tc>
          <w:tcPr>
            <w:tcW w:w="156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上年发生金额</w:t>
            </w:r>
          </w:p>
        </w:tc>
        <w:tc>
          <w:tcPr>
            <w:tcW w:w="93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168" w:right="170" w:firstLine="2"/>
              <w:jc w:val="center"/>
              <w:rPr>
                <w:rFonts w:ascii="宋体" w:hAnsi="宋体" w:cs="宋体" w:eastAsia="宋体" w:hint="default"/>
                <w:sz w:val="18"/>
                <w:szCs w:val="18"/>
              </w:rPr>
            </w:pPr>
            <w:r>
              <w:rPr>
                <w:rFonts w:ascii="宋体" w:hAnsi="宋体" w:cs="宋体" w:eastAsia="宋体" w:hint="default"/>
                <w:sz w:val="18"/>
                <w:szCs w:val="18"/>
              </w:rPr>
              <w:t>与资产 相关</w:t>
            </w:r>
            <w:r>
              <w:rPr>
                <w:rFonts w:ascii="Arial" w:hAnsi="Arial" w:cs="Arial" w:eastAsia="Arial" w:hint="default"/>
                <w:sz w:val="18"/>
                <w:szCs w:val="18"/>
              </w:rPr>
              <w:t>/</w:t>
            </w:r>
            <w:r>
              <w:rPr>
                <w:rFonts w:ascii="宋体" w:hAnsi="宋体" w:cs="宋体" w:eastAsia="宋体" w:hint="default"/>
                <w:sz w:val="18"/>
                <w:szCs w:val="18"/>
              </w:rPr>
              <w:t>与 收益相 关</w:t>
            </w:r>
          </w:p>
        </w:tc>
      </w:tr>
      <w:tr>
        <w:trPr>
          <w:trHeight w:val="401" w:hRule="exact"/>
        </w:trPr>
        <w:tc>
          <w:tcPr>
            <w:tcW w:w="1419" w:type="dxa"/>
            <w:tcBorders>
              <w:top w:val="single" w:sz="2" w:space="0" w:color="000000"/>
              <w:left w:val="nil" w:sz="6" w:space="0" w:color="auto"/>
              <w:bottom w:val="single" w:sz="2" w:space="0" w:color="000000"/>
              <w:right w:val="single" w:sz="2" w:space="0" w:color="000000"/>
            </w:tcBorders>
          </w:tcPr>
          <w:p>
            <w:pPr/>
          </w:p>
        </w:tc>
        <w:tc>
          <w:tcPr>
            <w:tcW w:w="8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构</w:t>
            </w:r>
          </w:p>
        </w:tc>
        <w:tc>
          <w:tcPr>
            <w:tcW w:w="10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163" w:right="0"/>
              <w:jc w:val="left"/>
              <w:rPr>
                <w:rFonts w:ascii="宋体" w:hAnsi="宋体" w:cs="宋体" w:eastAsia="宋体" w:hint="default"/>
                <w:sz w:val="18"/>
                <w:szCs w:val="18"/>
              </w:rPr>
            </w:pPr>
            <w:r>
              <w:rPr>
                <w:rFonts w:ascii="宋体" w:hAnsi="宋体" w:cs="宋体" w:eastAsia="宋体" w:hint="default"/>
                <w:sz w:val="18"/>
                <w:szCs w:val="18"/>
              </w:rPr>
              <w:t>岗位职工</w:t>
            </w:r>
          </w:p>
        </w:tc>
        <w:tc>
          <w:tcPr>
            <w:tcW w:w="10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165" w:right="0"/>
              <w:jc w:val="left"/>
              <w:rPr>
                <w:rFonts w:ascii="宋体" w:hAnsi="宋体" w:cs="宋体" w:eastAsia="宋体" w:hint="default"/>
                <w:sz w:val="18"/>
                <w:szCs w:val="18"/>
              </w:rPr>
            </w:pPr>
            <w:r>
              <w:rPr>
                <w:rFonts w:ascii="宋体" w:hAnsi="宋体" w:cs="宋体" w:eastAsia="宋体" w:hint="default"/>
                <w:sz w:val="18"/>
                <w:szCs w:val="18"/>
              </w:rPr>
              <w:t>扶持资金</w:t>
            </w:r>
          </w:p>
        </w:tc>
        <w:tc>
          <w:tcPr>
            <w:tcW w:w="749" w:type="dxa"/>
            <w:tcBorders>
              <w:top w:val="single" w:sz="2" w:space="0" w:color="000000"/>
              <w:left w:val="single" w:sz="2" w:space="0" w:color="000000"/>
              <w:bottom w:val="single" w:sz="2" w:space="0" w:color="000000"/>
              <w:right w:val="single" w:sz="2" w:space="0" w:color="000000"/>
            </w:tcBorders>
          </w:tcPr>
          <w:p>
            <w:pPr/>
          </w:p>
        </w:tc>
        <w:tc>
          <w:tcPr>
            <w:tcW w:w="699" w:type="dxa"/>
            <w:tcBorders>
              <w:top w:val="single" w:sz="2" w:space="0" w:color="000000"/>
              <w:left w:val="single" w:sz="2" w:space="0" w:color="000000"/>
              <w:bottom w:val="single" w:sz="2" w:space="0" w:color="000000"/>
              <w:right w:val="single" w:sz="2" w:space="0" w:color="000000"/>
            </w:tcBorders>
          </w:tcPr>
          <w:p>
            <w:pPr/>
          </w:p>
        </w:tc>
        <w:tc>
          <w:tcPr>
            <w:tcW w:w="1562" w:type="dxa"/>
            <w:tcBorders>
              <w:top w:val="single" w:sz="2" w:space="0" w:color="000000"/>
              <w:left w:val="single" w:sz="2" w:space="0" w:color="000000"/>
              <w:bottom w:val="single" w:sz="2" w:space="0" w:color="000000"/>
              <w:right w:val="single" w:sz="2" w:space="0" w:color="000000"/>
            </w:tcBorders>
          </w:tcPr>
          <w:p>
            <w:pPr/>
          </w:p>
        </w:tc>
        <w:tc>
          <w:tcPr>
            <w:tcW w:w="1565" w:type="dxa"/>
            <w:tcBorders>
              <w:top w:val="single" w:sz="2" w:space="0" w:color="000000"/>
              <w:left w:val="single" w:sz="2" w:space="0" w:color="000000"/>
              <w:bottom w:val="single" w:sz="2" w:space="0" w:color="000000"/>
              <w:right w:val="single" w:sz="2" w:space="0" w:color="000000"/>
            </w:tcBorders>
          </w:tcPr>
          <w:p>
            <w:pPr/>
          </w:p>
        </w:tc>
        <w:tc>
          <w:tcPr>
            <w:tcW w:w="9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相关</w:t>
            </w:r>
          </w:p>
        </w:tc>
      </w:tr>
      <w:tr>
        <w:trPr>
          <w:trHeight w:val="499" w:hRule="exact"/>
        </w:trPr>
        <w:tc>
          <w:tcPr>
            <w:tcW w:w="141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35" w:type="dxa"/>
            <w:tcBorders>
              <w:top w:val="single" w:sz="2" w:space="0" w:color="000000"/>
              <w:left w:val="single" w:sz="2" w:space="0" w:color="000000"/>
              <w:bottom w:val="single" w:sz="12" w:space="0" w:color="000000"/>
              <w:right w:val="single" w:sz="2" w:space="0" w:color="000000"/>
            </w:tcBorders>
          </w:tcPr>
          <w:p>
            <w:pPr/>
          </w:p>
        </w:tc>
        <w:tc>
          <w:tcPr>
            <w:tcW w:w="1054" w:type="dxa"/>
            <w:tcBorders>
              <w:top w:val="single" w:sz="2" w:space="0" w:color="000000"/>
              <w:left w:val="single" w:sz="2" w:space="0" w:color="000000"/>
              <w:bottom w:val="single" w:sz="12" w:space="0" w:color="000000"/>
              <w:right w:val="single" w:sz="2" w:space="0" w:color="000000"/>
            </w:tcBorders>
          </w:tcPr>
          <w:p>
            <w:pPr/>
          </w:p>
        </w:tc>
        <w:tc>
          <w:tcPr>
            <w:tcW w:w="1054" w:type="dxa"/>
            <w:tcBorders>
              <w:top w:val="single" w:sz="2" w:space="0" w:color="000000"/>
              <w:left w:val="single" w:sz="2" w:space="0" w:color="000000"/>
              <w:bottom w:val="single" w:sz="12" w:space="0" w:color="000000"/>
              <w:right w:val="single" w:sz="2" w:space="0" w:color="000000"/>
            </w:tcBorders>
          </w:tcPr>
          <w:p>
            <w:pPr/>
          </w:p>
        </w:tc>
        <w:tc>
          <w:tcPr>
            <w:tcW w:w="749" w:type="dxa"/>
            <w:tcBorders>
              <w:top w:val="single" w:sz="2" w:space="0" w:color="000000"/>
              <w:left w:val="single" w:sz="2" w:space="0" w:color="000000"/>
              <w:bottom w:val="single" w:sz="12" w:space="0" w:color="000000"/>
              <w:right w:val="single" w:sz="2" w:space="0" w:color="000000"/>
            </w:tcBorders>
          </w:tcPr>
          <w:p>
            <w:pPr/>
          </w:p>
        </w:tc>
        <w:tc>
          <w:tcPr>
            <w:tcW w:w="699" w:type="dxa"/>
            <w:tcBorders>
              <w:top w:val="single" w:sz="2" w:space="0" w:color="000000"/>
              <w:left w:val="single" w:sz="2" w:space="0" w:color="000000"/>
              <w:bottom w:val="single" w:sz="12" w:space="0" w:color="000000"/>
              <w:right w:val="single" w:sz="2" w:space="0" w:color="000000"/>
            </w:tcBorders>
          </w:tcPr>
          <w:p>
            <w:pPr/>
          </w:p>
        </w:tc>
        <w:tc>
          <w:tcPr>
            <w:tcW w:w="15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03" w:right="0"/>
              <w:jc w:val="left"/>
              <w:rPr>
                <w:rFonts w:ascii="Arial" w:hAnsi="Arial" w:cs="Arial" w:eastAsia="Arial" w:hint="default"/>
                <w:sz w:val="18"/>
                <w:szCs w:val="18"/>
              </w:rPr>
            </w:pPr>
            <w:r>
              <w:rPr>
                <w:rFonts w:ascii="Arial"/>
                <w:sz w:val="18"/>
              </w:rPr>
              <w:t>3,044,184.59</w:t>
            </w:r>
          </w:p>
        </w:tc>
        <w:tc>
          <w:tcPr>
            <w:tcW w:w="156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03" w:right="0"/>
              <w:jc w:val="left"/>
              <w:rPr>
                <w:rFonts w:ascii="Arial" w:hAnsi="Arial" w:cs="Arial" w:eastAsia="Arial" w:hint="default"/>
                <w:sz w:val="18"/>
                <w:szCs w:val="18"/>
              </w:rPr>
            </w:pPr>
            <w:r>
              <w:rPr>
                <w:rFonts w:ascii="Arial"/>
                <w:sz w:val="18"/>
              </w:rPr>
              <w:t>2,401,160.70</w:t>
            </w:r>
          </w:p>
        </w:tc>
        <w:tc>
          <w:tcPr>
            <w:tcW w:w="934" w:type="dxa"/>
            <w:tcBorders>
              <w:top w:val="single" w:sz="2" w:space="0" w:color="000000"/>
              <w:left w:val="single" w:sz="2" w:space="0" w:color="000000"/>
              <w:bottom w:val="single" w:sz="12" w:space="0" w:color="000000"/>
              <w:right w:val="nil" w:sz="6" w:space="0" w:color="auto"/>
            </w:tcBorders>
          </w:tcPr>
          <w:p>
            <w:pPr/>
          </w:p>
        </w:tc>
      </w:tr>
    </w:tbl>
    <w:p>
      <w:pPr>
        <w:spacing w:line="240" w:lineRule="auto" w:before="5"/>
        <w:rPr>
          <w:rFonts w:ascii="宋体" w:hAnsi="宋体" w:cs="宋体" w:eastAsia="宋体" w:hint="default"/>
          <w:sz w:val="5"/>
          <w:szCs w:val="5"/>
        </w:rPr>
      </w:pPr>
    </w:p>
    <w:p>
      <w:pPr>
        <w:pStyle w:val="BodyText"/>
        <w:spacing w:line="240" w:lineRule="auto" w:before="32"/>
        <w:ind w:left="692" w:right="309"/>
        <w:jc w:val="left"/>
      </w:pPr>
      <w:r>
        <w:rPr/>
        <w:t>（</w:t>
      </w:r>
      <w:r>
        <w:rPr>
          <w:rFonts w:ascii="Arial" w:hAnsi="Arial" w:cs="Arial" w:eastAsia="Arial" w:hint="default"/>
        </w:rPr>
        <w:t>3</w:t>
      </w:r>
      <w:r>
        <w:rPr/>
        <w:t>）政府补助明细</w:t>
      </w:r>
    </w:p>
    <w:p>
      <w:pPr>
        <w:spacing w:line="240" w:lineRule="auto" w:before="8"/>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2398"/>
        <w:gridCol w:w="1834"/>
        <w:gridCol w:w="1832"/>
        <w:gridCol w:w="2084"/>
        <w:gridCol w:w="1723"/>
      </w:tblGrid>
      <w:tr>
        <w:trPr>
          <w:trHeight w:val="898" w:hRule="exact"/>
        </w:trPr>
        <w:tc>
          <w:tcPr>
            <w:tcW w:w="239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08"/>
              <w:jc w:val="right"/>
              <w:rPr>
                <w:rFonts w:ascii="宋体" w:hAnsi="宋体" w:cs="宋体" w:eastAsia="宋体" w:hint="default"/>
                <w:sz w:val="18"/>
                <w:szCs w:val="18"/>
              </w:rPr>
            </w:pPr>
            <w:r>
              <w:rPr>
                <w:rFonts w:ascii="宋体" w:hAnsi="宋体" w:cs="宋体" w:eastAsia="宋体" w:hint="default"/>
                <w:sz w:val="18"/>
                <w:szCs w:val="18"/>
              </w:rPr>
              <w:t>项目</w:t>
            </w:r>
          </w:p>
        </w:tc>
        <w:tc>
          <w:tcPr>
            <w:tcW w:w="18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183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上年发生额</w:t>
            </w:r>
          </w:p>
        </w:tc>
        <w:tc>
          <w:tcPr>
            <w:tcW w:w="208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来源和依据</w:t>
            </w:r>
          </w:p>
        </w:tc>
        <w:tc>
          <w:tcPr>
            <w:tcW w:w="1723" w:type="dxa"/>
            <w:tcBorders>
              <w:top w:val="single" w:sz="12" w:space="0" w:color="000000"/>
              <w:left w:val="single" w:sz="2" w:space="0" w:color="000000"/>
              <w:bottom w:val="single" w:sz="2" w:space="0" w:color="000000"/>
              <w:right w:val="nil" w:sz="6" w:space="0" w:color="auto"/>
            </w:tcBorders>
          </w:tcPr>
          <w:p>
            <w:pPr>
              <w:pStyle w:val="TableParagraph"/>
              <w:spacing w:line="386" w:lineRule="auto" w:before="150"/>
              <w:ind w:left="679" w:right="115" w:hanging="56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Arial" w:hAnsi="Arial" w:cs="Arial" w:eastAsia="Arial" w:hint="default"/>
                <w:sz w:val="18"/>
                <w:szCs w:val="18"/>
              </w:rPr>
              <w:t>/</w:t>
            </w:r>
            <w:r>
              <w:rPr>
                <w:rFonts w:ascii="宋体" w:hAnsi="宋体" w:cs="宋体" w:eastAsia="宋体" w:hint="default"/>
                <w:sz w:val="18"/>
                <w:szCs w:val="18"/>
              </w:rPr>
              <w:t>与收益 相关</w:t>
            </w:r>
          </w:p>
        </w:tc>
      </w:tr>
      <w:tr>
        <w:trPr>
          <w:trHeight w:val="886" w:hRule="exact"/>
        </w:trPr>
        <w:tc>
          <w:tcPr>
            <w:tcW w:w="2398" w:type="dxa"/>
            <w:tcBorders>
              <w:top w:val="single" w:sz="2" w:space="0" w:color="000000"/>
              <w:left w:val="nil" w:sz="6" w:space="0" w:color="auto"/>
              <w:bottom w:val="single" w:sz="2" w:space="0" w:color="000000"/>
              <w:right w:val="single" w:sz="2" w:space="0" w:color="000000"/>
            </w:tcBorders>
          </w:tcPr>
          <w:p>
            <w:pPr>
              <w:pStyle w:val="TableParagraph"/>
              <w:spacing w:line="405" w:lineRule="auto" w:before="149"/>
              <w:ind w:left="122" w:right="106"/>
              <w:jc w:val="left"/>
              <w:rPr>
                <w:rFonts w:ascii="宋体" w:hAnsi="宋体" w:cs="宋体" w:eastAsia="宋体" w:hint="default"/>
                <w:sz w:val="18"/>
                <w:szCs w:val="18"/>
              </w:rPr>
            </w:pPr>
            <w:r>
              <w:rPr>
                <w:rFonts w:ascii="宋体" w:hAnsi="宋体" w:cs="宋体" w:eastAsia="宋体" w:hint="default"/>
                <w:sz w:val="18"/>
                <w:szCs w:val="18"/>
              </w:rPr>
              <w:t>浦东新区“十二五”财税贡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献增量财政扶持资金补贴</w:t>
            </w:r>
          </w:p>
        </w:tc>
        <w:tc>
          <w:tcPr>
            <w:tcW w:w="1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03"/>
              <w:jc w:val="right"/>
              <w:rPr>
                <w:rFonts w:ascii="Arial" w:hAnsi="Arial" w:cs="Arial" w:eastAsia="Arial" w:hint="default"/>
                <w:sz w:val="18"/>
                <w:szCs w:val="18"/>
              </w:rPr>
            </w:pPr>
            <w:r>
              <w:rPr>
                <w:rFonts w:ascii="Arial"/>
                <w:spacing w:val="-1"/>
                <w:sz w:val="18"/>
              </w:rPr>
              <w:t>2,939,000.00</w:t>
            </w:r>
          </w:p>
        </w:tc>
        <w:tc>
          <w:tcPr>
            <w:tcW w:w="18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01"/>
              <w:jc w:val="right"/>
              <w:rPr>
                <w:rFonts w:ascii="Arial" w:hAnsi="Arial" w:cs="Arial" w:eastAsia="Arial" w:hint="default"/>
                <w:sz w:val="18"/>
                <w:szCs w:val="18"/>
              </w:rPr>
            </w:pPr>
            <w:r>
              <w:rPr>
                <w:rFonts w:ascii="Arial"/>
                <w:spacing w:val="-1"/>
                <w:sz w:val="18"/>
              </w:rPr>
              <w:t>2,349,000.00</w:t>
            </w:r>
          </w:p>
        </w:tc>
        <w:tc>
          <w:tcPr>
            <w:tcW w:w="2084" w:type="dxa"/>
            <w:tcBorders>
              <w:top w:val="single" w:sz="2" w:space="0" w:color="000000"/>
              <w:left w:val="single" w:sz="2" w:space="0" w:color="000000"/>
              <w:bottom w:val="single" w:sz="2" w:space="0" w:color="000000"/>
              <w:right w:val="single" w:sz="2" w:space="0" w:color="000000"/>
            </w:tcBorders>
          </w:tcPr>
          <w:p>
            <w:pPr>
              <w:pStyle w:val="TableParagraph"/>
              <w:spacing w:line="405" w:lineRule="auto" w:before="149"/>
              <w:ind w:left="590" w:right="137" w:hanging="452"/>
              <w:jc w:val="left"/>
              <w:rPr>
                <w:rFonts w:ascii="宋体" w:hAnsi="宋体" w:cs="宋体" w:eastAsia="宋体" w:hint="default"/>
                <w:sz w:val="18"/>
                <w:szCs w:val="18"/>
              </w:rPr>
            </w:pPr>
            <w:r>
              <w:rPr>
                <w:rFonts w:ascii="宋体" w:hAnsi="宋体" w:cs="宋体" w:eastAsia="宋体" w:hint="default"/>
                <w:sz w:val="18"/>
                <w:szCs w:val="18"/>
              </w:rPr>
              <w:t>浦东新区“十二五”财 政扶持资金</w:t>
            </w:r>
          </w:p>
        </w:tc>
        <w:tc>
          <w:tcPr>
            <w:tcW w:w="17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41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85" w:hRule="exact"/>
        </w:trPr>
        <w:tc>
          <w:tcPr>
            <w:tcW w:w="23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105,184.59</w:t>
            </w:r>
          </w:p>
        </w:tc>
        <w:tc>
          <w:tcPr>
            <w:tcW w:w="18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52,160.70</w:t>
            </w:r>
          </w:p>
        </w:tc>
        <w:tc>
          <w:tcPr>
            <w:tcW w:w="20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稳岗补贴文件</w:t>
            </w:r>
          </w:p>
        </w:tc>
        <w:tc>
          <w:tcPr>
            <w:tcW w:w="17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41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97" w:hRule="exact"/>
        </w:trPr>
        <w:tc>
          <w:tcPr>
            <w:tcW w:w="239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right="1008"/>
              <w:jc w:val="right"/>
              <w:rPr>
                <w:rFonts w:ascii="宋体" w:hAnsi="宋体" w:cs="宋体" w:eastAsia="宋体" w:hint="default"/>
                <w:sz w:val="18"/>
                <w:szCs w:val="18"/>
              </w:rPr>
            </w:pPr>
            <w:r>
              <w:rPr>
                <w:rFonts w:ascii="宋体" w:hAnsi="宋体" w:cs="宋体" w:eastAsia="宋体" w:hint="default"/>
                <w:sz w:val="18"/>
                <w:szCs w:val="18"/>
              </w:rPr>
              <w:t>合计</w:t>
            </w:r>
          </w:p>
        </w:tc>
        <w:tc>
          <w:tcPr>
            <w:tcW w:w="18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3,044,184.59</w:t>
            </w:r>
          </w:p>
        </w:tc>
        <w:tc>
          <w:tcPr>
            <w:tcW w:w="18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2,401,160.70</w:t>
            </w:r>
          </w:p>
        </w:tc>
        <w:tc>
          <w:tcPr>
            <w:tcW w:w="2084" w:type="dxa"/>
            <w:tcBorders>
              <w:top w:val="single" w:sz="2" w:space="0" w:color="000000"/>
              <w:left w:val="single" w:sz="2" w:space="0" w:color="000000"/>
              <w:bottom w:val="single" w:sz="12" w:space="0" w:color="000000"/>
              <w:right w:val="single" w:sz="2" w:space="0" w:color="000000"/>
            </w:tcBorders>
          </w:tcPr>
          <w:p>
            <w:pPr/>
          </w:p>
        </w:tc>
        <w:tc>
          <w:tcPr>
            <w:tcW w:w="1723" w:type="dxa"/>
            <w:tcBorders>
              <w:top w:val="single" w:sz="2" w:space="0" w:color="000000"/>
              <w:left w:val="single" w:sz="2" w:space="0" w:color="000000"/>
              <w:bottom w:val="single" w:sz="12" w:space="0" w:color="000000"/>
              <w:right w:val="nil" w:sz="6" w:space="0" w:color="auto"/>
            </w:tcBorders>
          </w:tcPr>
          <w:p>
            <w:pPr/>
          </w:p>
        </w:tc>
      </w:tr>
    </w:tbl>
    <w:p>
      <w:pPr>
        <w:pStyle w:val="Heading4"/>
        <w:tabs>
          <w:tab w:pos="1513" w:val="left" w:leader="none"/>
        </w:tabs>
        <w:spacing w:line="240" w:lineRule="auto"/>
        <w:ind w:left="694" w:right="309"/>
        <w:jc w:val="left"/>
        <w:rPr>
          <w:b w:val="0"/>
          <w:bCs w:val="0"/>
        </w:rPr>
      </w:pPr>
      <w:r>
        <w:rPr>
          <w:rFonts w:ascii="Arial" w:hAnsi="Arial" w:cs="Arial" w:eastAsia="Arial" w:hint="default"/>
          <w:spacing w:val="-1"/>
        </w:rPr>
        <w:t>41</w:t>
      </w:r>
      <w:r>
        <w:rPr>
          <w:spacing w:val="-1"/>
        </w:rPr>
        <w:t>、</w:t>
        <w:tab/>
      </w:r>
      <w:r>
        <w:rPr/>
        <w:t>营业外支出</w:t>
      </w:r>
      <w:r>
        <w:rPr>
          <w:b w:val="0"/>
          <w:bCs w:val="0"/>
        </w:rPr>
      </w:r>
    </w:p>
    <w:p>
      <w:pPr>
        <w:spacing w:line="240" w:lineRule="auto" w:before="9"/>
        <w:rPr>
          <w:rFonts w:ascii="宋体" w:hAnsi="宋体" w:cs="宋体" w:eastAsia="宋体" w:hint="default"/>
          <w:b/>
          <w:bCs/>
          <w:sz w:val="2"/>
          <w:szCs w:val="2"/>
        </w:rPr>
      </w:pPr>
    </w:p>
    <w:tbl>
      <w:tblPr>
        <w:tblW w:w="0" w:type="auto"/>
        <w:jc w:val="left"/>
        <w:tblInd w:w="680" w:type="dxa"/>
        <w:tblLayout w:type="fixed"/>
        <w:tblCellMar>
          <w:top w:w="0" w:type="dxa"/>
          <w:left w:w="0" w:type="dxa"/>
          <w:bottom w:w="0" w:type="dxa"/>
          <w:right w:w="0" w:type="dxa"/>
        </w:tblCellMar>
        <w:tblLook w:val="01E0"/>
      </w:tblPr>
      <w:tblGrid>
        <w:gridCol w:w="3101"/>
        <w:gridCol w:w="1712"/>
        <w:gridCol w:w="2102"/>
        <w:gridCol w:w="1824"/>
      </w:tblGrid>
      <w:tr>
        <w:trPr>
          <w:trHeight w:val="900" w:hRule="exact"/>
        </w:trPr>
        <w:tc>
          <w:tcPr>
            <w:tcW w:w="310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left="489"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21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left="686" w:right="0"/>
              <w:jc w:val="left"/>
              <w:rPr>
                <w:rFonts w:ascii="宋体" w:hAnsi="宋体" w:cs="宋体" w:eastAsia="宋体" w:hint="default"/>
                <w:sz w:val="18"/>
                <w:szCs w:val="18"/>
              </w:rPr>
            </w:pPr>
            <w:r>
              <w:rPr>
                <w:rFonts w:ascii="宋体" w:hAnsi="宋体" w:cs="宋体" w:eastAsia="宋体" w:hint="default"/>
                <w:sz w:val="18"/>
                <w:szCs w:val="18"/>
              </w:rPr>
              <w:t>上年金额</w:t>
            </w:r>
          </w:p>
        </w:tc>
        <w:tc>
          <w:tcPr>
            <w:tcW w:w="1824" w:type="dxa"/>
            <w:tcBorders>
              <w:top w:val="single" w:sz="12" w:space="0" w:color="000000"/>
              <w:left w:val="single" w:sz="4" w:space="0" w:color="000000"/>
              <w:bottom w:val="single" w:sz="4" w:space="0" w:color="000000"/>
              <w:right w:val="nil" w:sz="6" w:space="0" w:color="auto"/>
            </w:tcBorders>
          </w:tcPr>
          <w:p>
            <w:pPr>
              <w:pStyle w:val="TableParagraph"/>
              <w:spacing w:line="405" w:lineRule="auto" w:before="152"/>
              <w:ind w:left="456" w:right="189" w:hanging="270"/>
              <w:jc w:val="left"/>
              <w:rPr>
                <w:rFonts w:ascii="宋体" w:hAnsi="宋体" w:cs="宋体" w:eastAsia="宋体" w:hint="default"/>
                <w:sz w:val="18"/>
                <w:szCs w:val="18"/>
              </w:rPr>
            </w:pPr>
            <w:r>
              <w:rPr>
                <w:rFonts w:ascii="宋体" w:hAnsi="宋体" w:cs="宋体" w:eastAsia="宋体" w:hint="default"/>
                <w:sz w:val="18"/>
                <w:szCs w:val="18"/>
              </w:rPr>
              <w:t>计入本年非经常性 损益的金额</w:t>
            </w:r>
          </w:p>
        </w:tc>
      </w:tr>
      <w:tr>
        <w:trPr>
          <w:trHeight w:val="490"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中远海运慈善基金会捐赠支出</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547" w:right="0"/>
              <w:jc w:val="left"/>
              <w:rPr>
                <w:rFonts w:ascii="Arial" w:hAnsi="Arial" w:cs="Arial" w:eastAsia="Arial" w:hint="default"/>
                <w:sz w:val="18"/>
                <w:szCs w:val="18"/>
              </w:rPr>
            </w:pPr>
            <w:r>
              <w:rPr>
                <w:rFonts w:ascii="Arial"/>
                <w:sz w:val="18"/>
              </w:rPr>
              <w:t>2,000,000.00</w:t>
            </w:r>
          </w:p>
        </w:tc>
        <w:tc>
          <w:tcPr>
            <w:tcW w:w="2102"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2,000,000.00</w:t>
            </w:r>
          </w:p>
        </w:tc>
      </w:tr>
      <w:tr>
        <w:trPr>
          <w:trHeight w:val="492"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2"/>
              <w:ind w:left="124" w:right="0"/>
              <w:jc w:val="left"/>
              <w:rPr>
                <w:rFonts w:ascii="宋体" w:hAnsi="宋体" w:cs="宋体" w:eastAsia="宋体" w:hint="default"/>
                <w:sz w:val="18"/>
                <w:szCs w:val="18"/>
              </w:rPr>
            </w:pPr>
            <w:r>
              <w:rPr>
                <w:rFonts w:ascii="宋体" w:hAnsi="宋体" w:cs="宋体" w:eastAsia="宋体" w:hint="default"/>
                <w:sz w:val="18"/>
                <w:szCs w:val="18"/>
              </w:rPr>
              <w:t>统筹外费用支出</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547" w:right="0"/>
              <w:jc w:val="left"/>
              <w:rPr>
                <w:rFonts w:ascii="Arial" w:hAnsi="Arial" w:cs="Arial" w:eastAsia="Arial" w:hint="default"/>
                <w:sz w:val="18"/>
                <w:szCs w:val="18"/>
              </w:rPr>
            </w:pPr>
            <w:r>
              <w:rPr>
                <w:rFonts w:ascii="Arial"/>
                <w:sz w:val="18"/>
              </w:rPr>
              <w:t>1,274,625.02</w:t>
            </w:r>
          </w:p>
        </w:tc>
        <w:tc>
          <w:tcPr>
            <w:tcW w:w="2102"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1,274,625.02</w:t>
            </w:r>
          </w:p>
        </w:tc>
      </w:tr>
      <w:tr>
        <w:trPr>
          <w:trHeight w:val="490"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12"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24,183.95</w:t>
            </w:r>
          </w:p>
        </w:tc>
        <w:tc>
          <w:tcPr>
            <w:tcW w:w="1824" w:type="dxa"/>
            <w:tcBorders>
              <w:top w:val="single" w:sz="4" w:space="0" w:color="000000"/>
              <w:left w:val="single" w:sz="4" w:space="0" w:color="000000"/>
              <w:bottom w:val="single" w:sz="4" w:space="0" w:color="000000"/>
              <w:right w:val="nil" w:sz="6" w:space="0" w:color="auto"/>
            </w:tcBorders>
          </w:tcPr>
          <w:p>
            <w:pPr/>
          </w:p>
        </w:tc>
      </w:tr>
      <w:tr>
        <w:trPr>
          <w:trHeight w:val="499" w:hRule="exact"/>
        </w:trPr>
        <w:tc>
          <w:tcPr>
            <w:tcW w:w="310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49"/>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547" w:right="0"/>
              <w:jc w:val="left"/>
              <w:rPr>
                <w:rFonts w:ascii="Arial" w:hAnsi="Arial" w:cs="Arial" w:eastAsia="Arial" w:hint="default"/>
                <w:sz w:val="18"/>
                <w:szCs w:val="18"/>
              </w:rPr>
            </w:pPr>
            <w:r>
              <w:rPr>
                <w:rFonts w:ascii="Arial"/>
                <w:sz w:val="18"/>
              </w:rPr>
              <w:t>3,274,625.02</w:t>
            </w:r>
          </w:p>
        </w:tc>
        <w:tc>
          <w:tcPr>
            <w:tcW w:w="21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24,183.95</w:t>
            </w:r>
          </w:p>
        </w:tc>
        <w:tc>
          <w:tcPr>
            <w:tcW w:w="182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3,274,625.02</w:t>
            </w:r>
          </w:p>
        </w:tc>
      </w:tr>
    </w:tbl>
    <w:p>
      <w:pPr>
        <w:pStyle w:val="Heading4"/>
        <w:tabs>
          <w:tab w:pos="1513" w:val="left" w:leader="none"/>
        </w:tabs>
        <w:spacing w:line="240" w:lineRule="auto"/>
        <w:ind w:left="694" w:right="309"/>
        <w:jc w:val="left"/>
        <w:rPr>
          <w:b w:val="0"/>
          <w:bCs w:val="0"/>
        </w:rPr>
      </w:pPr>
      <w:r>
        <w:rPr>
          <w:rFonts w:ascii="Arial" w:hAnsi="Arial" w:cs="Arial" w:eastAsia="Arial" w:hint="default"/>
          <w:spacing w:val="-1"/>
        </w:rPr>
        <w:t>42</w:t>
      </w:r>
      <w:r>
        <w:rPr>
          <w:spacing w:val="-1"/>
        </w:rPr>
        <w:t>、</w:t>
        <w:tab/>
      </w:r>
      <w:r>
        <w:rPr/>
        <w:t>所得税费用</w:t>
      </w:r>
      <w:r>
        <w:rPr>
          <w:b w:val="0"/>
          <w:bCs w:val="0"/>
        </w:rPr>
      </w:r>
    </w:p>
    <w:p>
      <w:pPr>
        <w:pStyle w:val="BodyText"/>
        <w:spacing w:line="240" w:lineRule="auto" w:before="138"/>
        <w:ind w:left="692" w:right="309"/>
        <w:jc w:val="left"/>
      </w:pPr>
      <w:r>
        <w:rPr/>
        <w:t>（</w:t>
      </w:r>
      <w:r>
        <w:rPr>
          <w:rFonts w:ascii="Arial" w:hAnsi="Arial" w:cs="Arial" w:eastAsia="Arial" w:hint="default"/>
        </w:rPr>
        <w:t>1</w:t>
      </w:r>
      <w:r>
        <w:rPr/>
        <w:t>）所得税费用</w:t>
      </w:r>
    </w:p>
    <w:p>
      <w:pPr>
        <w:spacing w:line="240" w:lineRule="auto" w:before="8"/>
        <w:rPr>
          <w:rFonts w:ascii="宋体" w:hAnsi="宋体" w:cs="宋体" w:eastAsia="宋体" w:hint="default"/>
          <w:sz w:val="5"/>
          <w:szCs w:val="5"/>
        </w:rPr>
      </w:pPr>
    </w:p>
    <w:tbl>
      <w:tblPr>
        <w:tblW w:w="0" w:type="auto"/>
        <w:jc w:val="left"/>
        <w:tblInd w:w="680" w:type="dxa"/>
        <w:tblLayout w:type="fixed"/>
        <w:tblCellMar>
          <w:top w:w="0" w:type="dxa"/>
          <w:left w:w="0" w:type="dxa"/>
          <w:bottom w:w="0" w:type="dxa"/>
          <w:right w:w="0" w:type="dxa"/>
        </w:tblCellMar>
        <w:tblLook w:val="01E0"/>
      </w:tblPr>
      <w:tblGrid>
        <w:gridCol w:w="4712"/>
        <w:gridCol w:w="2066"/>
        <w:gridCol w:w="1961"/>
      </w:tblGrid>
      <w:tr>
        <w:trPr>
          <w:trHeight w:val="499" w:hRule="exact"/>
        </w:trPr>
        <w:tc>
          <w:tcPr>
            <w:tcW w:w="471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2"/>
              <w:ind w:right="2163"/>
              <w:jc w:val="right"/>
              <w:rPr>
                <w:rFonts w:ascii="宋体" w:hAnsi="宋体" w:cs="宋体" w:eastAsia="宋体" w:hint="default"/>
                <w:sz w:val="18"/>
                <w:szCs w:val="18"/>
              </w:rPr>
            </w:pPr>
            <w:r>
              <w:rPr>
                <w:rFonts w:ascii="宋体" w:hAnsi="宋体" w:cs="宋体" w:eastAsia="宋体" w:hint="default"/>
                <w:sz w:val="18"/>
                <w:szCs w:val="18"/>
              </w:rPr>
              <w:t>项目</w:t>
            </w:r>
          </w:p>
        </w:tc>
        <w:tc>
          <w:tcPr>
            <w:tcW w:w="206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left="580"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196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left="528"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485" w:hRule="exact"/>
        </w:trPr>
        <w:tc>
          <w:tcPr>
            <w:tcW w:w="47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当年所得税费用</w:t>
            </w:r>
          </w:p>
        </w:tc>
        <w:tc>
          <w:tcPr>
            <w:tcW w:w="20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13,325,872.08</w:t>
            </w:r>
          </w:p>
        </w:tc>
        <w:tc>
          <w:tcPr>
            <w:tcW w:w="19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10,410,864.29</w:t>
            </w:r>
          </w:p>
        </w:tc>
      </w:tr>
      <w:tr>
        <w:trPr>
          <w:trHeight w:val="485" w:hRule="exact"/>
        </w:trPr>
        <w:tc>
          <w:tcPr>
            <w:tcW w:w="47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20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-391,493.74</w:t>
            </w:r>
          </w:p>
        </w:tc>
        <w:tc>
          <w:tcPr>
            <w:tcW w:w="19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1,717,987.71</w:t>
            </w:r>
          </w:p>
        </w:tc>
      </w:tr>
      <w:tr>
        <w:trPr>
          <w:trHeight w:val="497" w:hRule="exact"/>
        </w:trPr>
        <w:tc>
          <w:tcPr>
            <w:tcW w:w="471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right="2163"/>
              <w:jc w:val="right"/>
              <w:rPr>
                <w:rFonts w:ascii="宋体" w:hAnsi="宋体" w:cs="宋体" w:eastAsia="宋体" w:hint="default"/>
                <w:sz w:val="18"/>
                <w:szCs w:val="18"/>
              </w:rPr>
            </w:pPr>
            <w:r>
              <w:rPr>
                <w:rFonts w:ascii="宋体" w:hAnsi="宋体" w:cs="宋体" w:eastAsia="宋体" w:hint="default"/>
                <w:sz w:val="18"/>
                <w:szCs w:val="18"/>
              </w:rPr>
              <w:t>合计</w:t>
            </w:r>
          </w:p>
        </w:tc>
        <w:tc>
          <w:tcPr>
            <w:tcW w:w="20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12,934,378.34</w:t>
            </w:r>
          </w:p>
        </w:tc>
        <w:tc>
          <w:tcPr>
            <w:tcW w:w="196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12,128,852.00</w:t>
            </w:r>
          </w:p>
        </w:tc>
      </w:tr>
    </w:tbl>
    <w:p>
      <w:pPr>
        <w:spacing w:line="240" w:lineRule="auto" w:before="5"/>
        <w:rPr>
          <w:rFonts w:ascii="宋体" w:hAnsi="宋体" w:cs="宋体" w:eastAsia="宋体" w:hint="default"/>
          <w:sz w:val="5"/>
          <w:szCs w:val="5"/>
        </w:rPr>
      </w:pPr>
    </w:p>
    <w:p>
      <w:pPr>
        <w:pStyle w:val="BodyText"/>
        <w:spacing w:line="240" w:lineRule="auto" w:before="32"/>
        <w:ind w:left="692" w:right="309"/>
        <w:jc w:val="left"/>
      </w:pPr>
      <w:r>
        <w:rPr/>
        <w:t>（</w:t>
      </w:r>
      <w:r>
        <w:rPr>
          <w:rFonts w:ascii="Arial" w:hAnsi="Arial" w:cs="Arial" w:eastAsia="Arial" w:hint="default"/>
        </w:rPr>
        <w:t>2</w:t>
      </w:r>
      <w:r>
        <w:rPr/>
        <w:t>）会计利润与所得税费用调整过程</w:t>
      </w:r>
    </w:p>
    <w:p>
      <w:pPr>
        <w:spacing w:line="240" w:lineRule="auto" w:before="8"/>
        <w:rPr>
          <w:rFonts w:ascii="宋体" w:hAnsi="宋体" w:cs="宋体" w:eastAsia="宋体" w:hint="default"/>
          <w:sz w:val="5"/>
          <w:szCs w:val="5"/>
        </w:rPr>
      </w:pPr>
    </w:p>
    <w:tbl>
      <w:tblPr>
        <w:tblW w:w="0" w:type="auto"/>
        <w:jc w:val="left"/>
        <w:tblInd w:w="680" w:type="dxa"/>
        <w:tblLayout w:type="fixed"/>
        <w:tblCellMar>
          <w:top w:w="0" w:type="dxa"/>
          <w:left w:w="0" w:type="dxa"/>
          <w:bottom w:w="0" w:type="dxa"/>
          <w:right w:w="0" w:type="dxa"/>
        </w:tblCellMar>
        <w:tblLook w:val="01E0"/>
      </w:tblPr>
      <w:tblGrid>
        <w:gridCol w:w="6361"/>
        <w:gridCol w:w="2379"/>
      </w:tblGrid>
      <w:tr>
        <w:trPr>
          <w:trHeight w:val="499" w:hRule="exact"/>
        </w:trPr>
        <w:tc>
          <w:tcPr>
            <w:tcW w:w="636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2"/>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7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left="739" w:right="0"/>
              <w:jc w:val="left"/>
              <w:rPr>
                <w:rFonts w:ascii="宋体" w:hAnsi="宋体" w:cs="宋体" w:eastAsia="宋体" w:hint="default"/>
                <w:sz w:val="18"/>
                <w:szCs w:val="18"/>
              </w:rPr>
            </w:pPr>
            <w:r>
              <w:rPr>
                <w:rFonts w:ascii="宋体" w:hAnsi="宋体" w:cs="宋体" w:eastAsia="宋体" w:hint="default"/>
                <w:sz w:val="18"/>
                <w:szCs w:val="18"/>
              </w:rPr>
              <w:t>本年发生额</w:t>
            </w:r>
          </w:p>
        </w:tc>
      </w:tr>
      <w:tr>
        <w:trPr>
          <w:trHeight w:val="497" w:hRule="exact"/>
        </w:trPr>
        <w:tc>
          <w:tcPr>
            <w:tcW w:w="636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50"/>
              <w:ind w:left="124" w:right="0"/>
              <w:jc w:val="left"/>
              <w:rPr>
                <w:rFonts w:ascii="宋体" w:hAnsi="宋体" w:cs="宋体" w:eastAsia="宋体" w:hint="default"/>
                <w:sz w:val="18"/>
                <w:szCs w:val="18"/>
              </w:rPr>
            </w:pPr>
            <w:r>
              <w:rPr>
                <w:rFonts w:ascii="宋体" w:hAnsi="宋体" w:cs="宋体" w:eastAsia="宋体" w:hint="default"/>
                <w:sz w:val="18"/>
                <w:szCs w:val="18"/>
              </w:rPr>
              <w:t>本年合并利润总额</w:t>
            </w:r>
          </w:p>
        </w:tc>
        <w:tc>
          <w:tcPr>
            <w:tcW w:w="237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32" w:right="0"/>
              <w:jc w:val="left"/>
              <w:rPr>
                <w:rFonts w:ascii="Arial" w:hAnsi="Arial" w:cs="Arial" w:eastAsia="Arial" w:hint="default"/>
                <w:sz w:val="18"/>
                <w:szCs w:val="18"/>
              </w:rPr>
            </w:pPr>
            <w:r>
              <w:rPr>
                <w:rFonts w:ascii="Arial"/>
                <w:sz w:val="18"/>
              </w:rPr>
              <w:t>115,815,269.68</w:t>
            </w:r>
          </w:p>
        </w:tc>
      </w:tr>
    </w:tbl>
    <w:p>
      <w:pPr>
        <w:spacing w:after="0" w:line="240" w:lineRule="auto"/>
        <w:jc w:val="left"/>
        <w:rPr>
          <w:rFonts w:ascii="Arial" w:hAnsi="Arial" w:cs="Arial" w:eastAsia="Arial" w:hint="default"/>
          <w:sz w:val="18"/>
          <w:szCs w:val="18"/>
        </w:rPr>
        <w:sectPr>
          <w:pgSz w:w="11910" w:h="16840"/>
          <w:pgMar w:header="745" w:footer="979" w:top="1060" w:bottom="1160" w:left="880" w:right="0"/>
        </w:sectPr>
      </w:pPr>
    </w:p>
    <w:p>
      <w:pPr>
        <w:spacing w:line="240" w:lineRule="auto" w:before="6"/>
        <w:rPr>
          <w:rFonts w:ascii="宋体" w:hAnsi="宋体" w:cs="宋体" w:eastAsia="宋体" w:hint="default"/>
          <w:sz w:val="28"/>
          <w:szCs w:val="28"/>
        </w:rPr>
      </w:pPr>
    </w:p>
    <w:tbl>
      <w:tblPr>
        <w:tblW w:w="0" w:type="auto"/>
        <w:jc w:val="left"/>
        <w:tblInd w:w="580" w:type="dxa"/>
        <w:tblLayout w:type="fixed"/>
        <w:tblCellMar>
          <w:top w:w="0" w:type="dxa"/>
          <w:left w:w="0" w:type="dxa"/>
          <w:bottom w:w="0" w:type="dxa"/>
          <w:right w:w="0" w:type="dxa"/>
        </w:tblCellMar>
        <w:tblLook w:val="01E0"/>
      </w:tblPr>
      <w:tblGrid>
        <w:gridCol w:w="6361"/>
        <w:gridCol w:w="2379"/>
      </w:tblGrid>
      <w:tr>
        <w:trPr>
          <w:trHeight w:val="500" w:hRule="exact"/>
        </w:trPr>
        <w:tc>
          <w:tcPr>
            <w:tcW w:w="636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2"/>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7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left="739" w:right="0"/>
              <w:jc w:val="left"/>
              <w:rPr>
                <w:rFonts w:ascii="宋体" w:hAnsi="宋体" w:cs="宋体" w:eastAsia="宋体" w:hint="default"/>
                <w:sz w:val="18"/>
                <w:szCs w:val="18"/>
              </w:rPr>
            </w:pPr>
            <w:r>
              <w:rPr>
                <w:rFonts w:ascii="宋体" w:hAnsi="宋体" w:cs="宋体" w:eastAsia="宋体" w:hint="default"/>
                <w:sz w:val="18"/>
                <w:szCs w:val="18"/>
              </w:rPr>
              <w:t>本年发生额</w:t>
            </w:r>
          </w:p>
        </w:tc>
      </w:tr>
      <w:tr>
        <w:trPr>
          <w:trHeight w:val="485" w:hRule="exact"/>
        </w:trPr>
        <w:tc>
          <w:tcPr>
            <w:tcW w:w="63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Arial" w:hAnsi="Arial" w:cs="Arial" w:eastAsia="Arial" w:hint="default"/>
                <w:sz w:val="18"/>
                <w:szCs w:val="18"/>
              </w:rPr>
              <w:t>/</w:t>
            </w:r>
            <w:r>
              <w:rPr>
                <w:rFonts w:ascii="宋体" w:hAnsi="宋体" w:cs="宋体" w:eastAsia="宋体" w:hint="default"/>
                <w:sz w:val="18"/>
                <w:szCs w:val="18"/>
              </w:rPr>
              <w:t>适用税率计算的所得税费用</w:t>
            </w:r>
          </w:p>
        </w:tc>
        <w:tc>
          <w:tcPr>
            <w:tcW w:w="23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17,372,290.45</w:t>
            </w:r>
          </w:p>
        </w:tc>
      </w:tr>
      <w:tr>
        <w:trPr>
          <w:trHeight w:val="485" w:hRule="exact"/>
        </w:trPr>
        <w:tc>
          <w:tcPr>
            <w:tcW w:w="63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23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24,137.33</w:t>
            </w:r>
          </w:p>
        </w:tc>
      </w:tr>
      <w:tr>
        <w:trPr>
          <w:trHeight w:val="485" w:hRule="exact"/>
        </w:trPr>
        <w:tc>
          <w:tcPr>
            <w:tcW w:w="63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23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3"/>
              <w:jc w:val="right"/>
              <w:rPr>
                <w:rFonts w:ascii="宋体" w:hAnsi="宋体" w:cs="宋体" w:eastAsia="宋体" w:hint="default"/>
                <w:sz w:val="18"/>
                <w:szCs w:val="18"/>
              </w:rPr>
            </w:pPr>
            <w:r>
              <w:rPr>
                <w:rFonts w:ascii="宋体"/>
                <w:sz w:val="18"/>
              </w:rPr>
              <w:t> </w:t>
            </w:r>
          </w:p>
        </w:tc>
      </w:tr>
      <w:tr>
        <w:trPr>
          <w:trHeight w:val="485" w:hRule="exact"/>
        </w:trPr>
        <w:tc>
          <w:tcPr>
            <w:tcW w:w="63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归属于合营企业和联营企业的损益</w:t>
            </w:r>
          </w:p>
        </w:tc>
        <w:tc>
          <w:tcPr>
            <w:tcW w:w="23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-227,474.57</w:t>
            </w:r>
          </w:p>
        </w:tc>
      </w:tr>
      <w:tr>
        <w:trPr>
          <w:trHeight w:val="485" w:hRule="exact"/>
        </w:trPr>
        <w:tc>
          <w:tcPr>
            <w:tcW w:w="63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23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-172,748.79</w:t>
            </w:r>
          </w:p>
        </w:tc>
      </w:tr>
      <w:tr>
        <w:trPr>
          <w:trHeight w:val="485" w:hRule="exact"/>
        </w:trPr>
        <w:tc>
          <w:tcPr>
            <w:tcW w:w="63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23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2"/>
                <w:sz w:val="18"/>
              </w:rPr>
              <w:t>595,911.42</w:t>
            </w:r>
          </w:p>
        </w:tc>
      </w:tr>
      <w:tr>
        <w:trPr>
          <w:trHeight w:val="485" w:hRule="exact"/>
        </w:trPr>
        <w:tc>
          <w:tcPr>
            <w:tcW w:w="63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本期加计扣除</w:t>
            </w:r>
          </w:p>
        </w:tc>
        <w:tc>
          <w:tcPr>
            <w:tcW w:w="23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-5,883,641.81</w:t>
            </w:r>
          </w:p>
        </w:tc>
      </w:tr>
      <w:tr>
        <w:trPr>
          <w:trHeight w:val="485" w:hRule="exact"/>
        </w:trPr>
        <w:tc>
          <w:tcPr>
            <w:tcW w:w="63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23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-232,733.77</w:t>
            </w:r>
          </w:p>
        </w:tc>
      </w:tr>
      <w:tr>
        <w:trPr>
          <w:trHeight w:val="485" w:hRule="exact"/>
        </w:trPr>
        <w:tc>
          <w:tcPr>
            <w:tcW w:w="63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本年未确认递延所得税资产的可抵扣暂时性差异或可抵扣亏损的影响</w:t>
            </w:r>
          </w:p>
        </w:tc>
        <w:tc>
          <w:tcPr>
            <w:tcW w:w="23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1,400,710.43</w:t>
            </w:r>
          </w:p>
        </w:tc>
      </w:tr>
      <w:tr>
        <w:trPr>
          <w:trHeight w:val="485" w:hRule="exact"/>
        </w:trPr>
        <w:tc>
          <w:tcPr>
            <w:tcW w:w="63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57,927.65</w:t>
            </w:r>
          </w:p>
        </w:tc>
      </w:tr>
      <w:tr>
        <w:trPr>
          <w:trHeight w:val="499" w:hRule="exact"/>
        </w:trPr>
        <w:tc>
          <w:tcPr>
            <w:tcW w:w="636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19" w:right="0"/>
              <w:jc w:val="center"/>
              <w:rPr>
                <w:rFonts w:ascii="宋体" w:hAnsi="宋体" w:cs="宋体" w:eastAsia="宋体" w:hint="default"/>
                <w:sz w:val="18"/>
                <w:szCs w:val="18"/>
              </w:rPr>
            </w:pPr>
            <w:r>
              <w:rPr>
                <w:rFonts w:ascii="宋体" w:hAnsi="宋体" w:cs="宋体" w:eastAsia="宋体" w:hint="default"/>
                <w:sz w:val="18"/>
                <w:szCs w:val="18"/>
              </w:rPr>
              <w:t>所得税费用</w:t>
            </w:r>
          </w:p>
        </w:tc>
        <w:tc>
          <w:tcPr>
            <w:tcW w:w="237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12,934,378.34</w:t>
            </w:r>
          </w:p>
        </w:tc>
      </w:tr>
    </w:tbl>
    <w:p>
      <w:pPr>
        <w:pStyle w:val="Heading4"/>
        <w:tabs>
          <w:tab w:pos="1413" w:val="left" w:leader="none"/>
        </w:tabs>
        <w:spacing w:line="240" w:lineRule="auto"/>
        <w:ind w:right="1133"/>
        <w:jc w:val="left"/>
        <w:rPr>
          <w:b w:val="0"/>
          <w:bCs w:val="0"/>
        </w:rPr>
      </w:pPr>
      <w:r>
        <w:rPr>
          <w:rFonts w:ascii="Arial" w:hAnsi="Arial" w:cs="Arial" w:eastAsia="Arial" w:hint="default"/>
          <w:spacing w:val="-1"/>
        </w:rPr>
        <w:t>43</w:t>
      </w:r>
      <w:r>
        <w:rPr>
          <w:spacing w:val="-1"/>
        </w:rPr>
        <w:t>、</w:t>
        <w:tab/>
      </w:r>
      <w:r>
        <w:rPr/>
        <w:t>现金流量表项目</w:t>
      </w:r>
      <w:r>
        <w:rPr>
          <w:b w:val="0"/>
          <w:bCs w:val="0"/>
        </w:rPr>
      </w:r>
    </w:p>
    <w:p>
      <w:pPr>
        <w:pStyle w:val="BodyText"/>
        <w:spacing w:line="240" w:lineRule="auto" w:before="138"/>
        <w:ind w:left="592" w:right="1133"/>
        <w:jc w:val="left"/>
      </w:pPr>
      <w:r>
        <w:rPr/>
        <w:t>（</w:t>
      </w:r>
      <w:r>
        <w:rPr>
          <w:rFonts w:ascii="Arial" w:hAnsi="Arial" w:cs="Arial" w:eastAsia="Arial" w:hint="default"/>
        </w:rPr>
        <w:t>1</w:t>
      </w:r>
      <w:r>
        <w:rPr/>
        <w:t>）收到</w:t>
      </w:r>
      <w:r>
        <w:rPr>
          <w:rFonts w:ascii="Arial" w:hAnsi="Arial" w:cs="Arial" w:eastAsia="Arial" w:hint="default"/>
        </w:rPr>
        <w:t>/</w:t>
      </w:r>
      <w:r>
        <w:rPr/>
        <w:t>支付的其他与经营</w:t>
      </w:r>
      <w:r>
        <w:rPr>
          <w:rFonts w:ascii="Arial" w:hAnsi="Arial" w:cs="Arial" w:eastAsia="Arial" w:hint="default"/>
        </w:rPr>
        <w:t>/</w:t>
      </w:r>
      <w:r>
        <w:rPr/>
        <w:t>投资</w:t>
      </w:r>
      <w:r>
        <w:rPr>
          <w:rFonts w:ascii="Arial" w:hAnsi="Arial" w:cs="Arial" w:eastAsia="Arial" w:hint="default"/>
        </w:rPr>
        <w:t>/</w:t>
      </w:r>
      <w:r>
        <w:rPr/>
        <w:t>筹资活动有关的现金</w:t>
      </w:r>
    </w:p>
    <w:p>
      <w:pPr>
        <w:pStyle w:val="BodyText"/>
        <w:spacing w:line="240" w:lineRule="auto" w:before="135"/>
        <w:ind w:left="592" w:right="1133"/>
        <w:jc w:val="left"/>
      </w:pPr>
      <w:r>
        <w:rPr/>
        <w:t>①收到的其他与经营活动有关的现金</w:t>
      </w:r>
    </w:p>
    <w:p>
      <w:pPr>
        <w:spacing w:line="240" w:lineRule="auto" w:before="11"/>
        <w:rPr>
          <w:rFonts w:ascii="宋体" w:hAnsi="宋体" w:cs="宋体" w:eastAsia="宋体" w:hint="default"/>
          <w:sz w:val="6"/>
          <w:szCs w:val="6"/>
        </w:rPr>
      </w:pPr>
    </w:p>
    <w:tbl>
      <w:tblPr>
        <w:tblW w:w="0" w:type="auto"/>
        <w:jc w:val="left"/>
        <w:tblInd w:w="580" w:type="dxa"/>
        <w:tblLayout w:type="fixed"/>
        <w:tblCellMar>
          <w:top w:w="0" w:type="dxa"/>
          <w:left w:w="0" w:type="dxa"/>
          <w:bottom w:w="0" w:type="dxa"/>
          <w:right w:w="0" w:type="dxa"/>
        </w:tblCellMar>
        <w:tblLook w:val="01E0"/>
      </w:tblPr>
      <w:tblGrid>
        <w:gridCol w:w="4155"/>
        <w:gridCol w:w="2292"/>
        <w:gridCol w:w="2292"/>
      </w:tblGrid>
      <w:tr>
        <w:trPr>
          <w:trHeight w:val="497" w:hRule="exact"/>
        </w:trPr>
        <w:tc>
          <w:tcPr>
            <w:tcW w:w="415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49"/>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9"/>
              <w:ind w:left="696"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29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49"/>
              <w:ind w:left="696"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487" w:hRule="exact"/>
        </w:trPr>
        <w:tc>
          <w:tcPr>
            <w:tcW w:w="41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2"/>
              <w:ind w:left="124" w:right="0"/>
              <w:jc w:val="left"/>
              <w:rPr>
                <w:rFonts w:ascii="宋体" w:hAnsi="宋体" w:cs="宋体" w:eastAsia="宋体" w:hint="default"/>
                <w:sz w:val="18"/>
                <w:szCs w:val="18"/>
              </w:rPr>
            </w:pPr>
            <w:r>
              <w:rPr>
                <w:rFonts w:ascii="宋体" w:hAnsi="宋体" w:cs="宋体" w:eastAsia="宋体" w:hint="default"/>
                <w:sz w:val="18"/>
                <w:szCs w:val="18"/>
              </w:rPr>
              <w:t>收到与保证金有关的现金</w:t>
            </w:r>
          </w:p>
        </w:tc>
        <w:tc>
          <w:tcPr>
            <w:tcW w:w="22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58,032,303.65</w:t>
            </w:r>
          </w:p>
        </w:tc>
        <w:tc>
          <w:tcPr>
            <w:tcW w:w="22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96,086,493.89</w:t>
            </w:r>
          </w:p>
        </w:tc>
      </w:tr>
      <w:tr>
        <w:trPr>
          <w:trHeight w:val="485" w:hRule="exact"/>
        </w:trPr>
        <w:tc>
          <w:tcPr>
            <w:tcW w:w="41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收到与利息收入有关的现金</w:t>
            </w:r>
          </w:p>
        </w:tc>
        <w:tc>
          <w:tcPr>
            <w:tcW w:w="22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12,479,499.55</w:t>
            </w:r>
          </w:p>
        </w:tc>
        <w:tc>
          <w:tcPr>
            <w:tcW w:w="22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13,146,721.58</w:t>
            </w:r>
          </w:p>
        </w:tc>
      </w:tr>
      <w:tr>
        <w:trPr>
          <w:trHeight w:val="485" w:hRule="exact"/>
        </w:trPr>
        <w:tc>
          <w:tcPr>
            <w:tcW w:w="41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收到与房租及物业费收入有关的现金</w:t>
            </w:r>
          </w:p>
        </w:tc>
        <w:tc>
          <w:tcPr>
            <w:tcW w:w="22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12,016,672.46</w:t>
            </w:r>
          </w:p>
        </w:tc>
        <w:tc>
          <w:tcPr>
            <w:tcW w:w="22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12,824,302.84</w:t>
            </w:r>
          </w:p>
        </w:tc>
      </w:tr>
      <w:tr>
        <w:trPr>
          <w:trHeight w:val="485" w:hRule="exact"/>
        </w:trPr>
        <w:tc>
          <w:tcPr>
            <w:tcW w:w="41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收到的托管费收入</w:t>
            </w:r>
          </w:p>
        </w:tc>
        <w:tc>
          <w:tcPr>
            <w:tcW w:w="22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14,345,537.30</w:t>
            </w:r>
          </w:p>
        </w:tc>
        <w:tc>
          <w:tcPr>
            <w:tcW w:w="22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12,971,698.16</w:t>
            </w:r>
          </w:p>
        </w:tc>
      </w:tr>
      <w:tr>
        <w:trPr>
          <w:trHeight w:val="485" w:hRule="exact"/>
        </w:trPr>
        <w:tc>
          <w:tcPr>
            <w:tcW w:w="41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0"/>
              <w:ind w:left="124" w:right="0"/>
              <w:jc w:val="left"/>
              <w:rPr>
                <w:rFonts w:ascii="宋体" w:hAnsi="宋体" w:cs="宋体" w:eastAsia="宋体" w:hint="default"/>
                <w:sz w:val="18"/>
                <w:szCs w:val="18"/>
              </w:rPr>
            </w:pPr>
            <w:r>
              <w:rPr>
                <w:rFonts w:ascii="宋体" w:hAnsi="宋体" w:cs="宋体" w:eastAsia="宋体" w:hint="default"/>
                <w:sz w:val="18"/>
                <w:szCs w:val="18"/>
              </w:rPr>
              <w:t>收到与政府补助有关的现金</w:t>
            </w:r>
          </w:p>
        </w:tc>
        <w:tc>
          <w:tcPr>
            <w:tcW w:w="22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14,175,829.46</w:t>
            </w:r>
          </w:p>
        </w:tc>
        <w:tc>
          <w:tcPr>
            <w:tcW w:w="22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8,161,436.46</w:t>
            </w:r>
          </w:p>
        </w:tc>
      </w:tr>
      <w:tr>
        <w:trPr>
          <w:trHeight w:val="485" w:hRule="exact"/>
        </w:trPr>
        <w:tc>
          <w:tcPr>
            <w:tcW w:w="41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收到与其他有关的现金</w:t>
            </w:r>
          </w:p>
        </w:tc>
        <w:tc>
          <w:tcPr>
            <w:tcW w:w="22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2,804,781.68</w:t>
            </w:r>
          </w:p>
        </w:tc>
        <w:tc>
          <w:tcPr>
            <w:tcW w:w="22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2,213,093.72</w:t>
            </w:r>
          </w:p>
        </w:tc>
      </w:tr>
      <w:tr>
        <w:trPr>
          <w:trHeight w:val="526" w:hRule="exact"/>
        </w:trPr>
        <w:tc>
          <w:tcPr>
            <w:tcW w:w="415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2"/>
                <w:sz w:val="18"/>
              </w:rPr>
              <w:t>113,854,624.10</w:t>
            </w:r>
          </w:p>
        </w:tc>
        <w:tc>
          <w:tcPr>
            <w:tcW w:w="229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145,403,746.65</w:t>
            </w:r>
          </w:p>
        </w:tc>
      </w:tr>
    </w:tbl>
    <w:p>
      <w:pPr>
        <w:spacing w:line="240" w:lineRule="auto" w:before="5"/>
        <w:rPr>
          <w:rFonts w:ascii="宋体" w:hAnsi="宋体" w:cs="宋体" w:eastAsia="宋体" w:hint="default"/>
          <w:sz w:val="5"/>
          <w:szCs w:val="5"/>
        </w:rPr>
      </w:pPr>
    </w:p>
    <w:p>
      <w:pPr>
        <w:pStyle w:val="BodyText"/>
        <w:spacing w:line="240" w:lineRule="auto" w:before="32"/>
        <w:ind w:left="592" w:right="1133"/>
        <w:jc w:val="left"/>
      </w:pPr>
      <w:r>
        <w:rPr/>
        <w:t>②支付的其他与经营活动有关的现金</w:t>
      </w:r>
    </w:p>
    <w:p>
      <w:pPr>
        <w:spacing w:line="240" w:lineRule="auto" w:before="11"/>
        <w:rPr>
          <w:rFonts w:ascii="宋体" w:hAnsi="宋体" w:cs="宋体" w:eastAsia="宋体" w:hint="default"/>
          <w:sz w:val="6"/>
          <w:szCs w:val="6"/>
        </w:rPr>
      </w:pPr>
    </w:p>
    <w:tbl>
      <w:tblPr>
        <w:tblW w:w="0" w:type="auto"/>
        <w:jc w:val="left"/>
        <w:tblInd w:w="580" w:type="dxa"/>
        <w:tblLayout w:type="fixed"/>
        <w:tblCellMar>
          <w:top w:w="0" w:type="dxa"/>
          <w:left w:w="0" w:type="dxa"/>
          <w:bottom w:w="0" w:type="dxa"/>
          <w:right w:w="0" w:type="dxa"/>
        </w:tblCellMar>
        <w:tblLook w:val="01E0"/>
      </w:tblPr>
      <w:tblGrid>
        <w:gridCol w:w="4155"/>
        <w:gridCol w:w="2292"/>
        <w:gridCol w:w="2292"/>
      </w:tblGrid>
      <w:tr>
        <w:trPr>
          <w:trHeight w:val="499" w:hRule="exact"/>
        </w:trPr>
        <w:tc>
          <w:tcPr>
            <w:tcW w:w="415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2"/>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left="696"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29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left="696"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485" w:hRule="exact"/>
        </w:trPr>
        <w:tc>
          <w:tcPr>
            <w:tcW w:w="41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支付与保证金有关的现金</w:t>
            </w:r>
          </w:p>
        </w:tc>
        <w:tc>
          <w:tcPr>
            <w:tcW w:w="22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137,296,527.30</w:t>
            </w:r>
          </w:p>
        </w:tc>
        <w:tc>
          <w:tcPr>
            <w:tcW w:w="22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77,208,580.57</w:t>
            </w:r>
          </w:p>
        </w:tc>
      </w:tr>
      <w:tr>
        <w:trPr>
          <w:trHeight w:val="485" w:hRule="exact"/>
        </w:trPr>
        <w:tc>
          <w:tcPr>
            <w:tcW w:w="41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支付与备用金借款有关的现金</w:t>
            </w:r>
          </w:p>
        </w:tc>
        <w:tc>
          <w:tcPr>
            <w:tcW w:w="22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10,242,788.18</w:t>
            </w:r>
          </w:p>
        </w:tc>
        <w:tc>
          <w:tcPr>
            <w:tcW w:w="22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10,914,445.01</w:t>
            </w:r>
          </w:p>
        </w:tc>
      </w:tr>
      <w:tr>
        <w:trPr>
          <w:trHeight w:val="497" w:hRule="exact"/>
        </w:trPr>
        <w:tc>
          <w:tcPr>
            <w:tcW w:w="415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50"/>
              <w:ind w:left="124" w:right="0"/>
              <w:jc w:val="left"/>
              <w:rPr>
                <w:rFonts w:ascii="宋体" w:hAnsi="宋体" w:cs="宋体" w:eastAsia="宋体" w:hint="default"/>
                <w:sz w:val="18"/>
                <w:szCs w:val="18"/>
              </w:rPr>
            </w:pPr>
            <w:r>
              <w:rPr>
                <w:rFonts w:ascii="宋体" w:hAnsi="宋体" w:cs="宋体" w:eastAsia="宋体" w:hint="default"/>
                <w:sz w:val="18"/>
                <w:szCs w:val="18"/>
              </w:rPr>
              <w:t>支付与制造费用有关的现金</w:t>
            </w:r>
          </w:p>
        </w:tc>
        <w:tc>
          <w:tcPr>
            <w:tcW w:w="22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2,173,466.07</w:t>
            </w:r>
          </w:p>
        </w:tc>
        <w:tc>
          <w:tcPr>
            <w:tcW w:w="229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8,143,943.19</w:t>
            </w:r>
          </w:p>
        </w:tc>
      </w:tr>
    </w:tbl>
    <w:p>
      <w:pPr>
        <w:spacing w:after="0" w:line="240" w:lineRule="auto"/>
        <w:jc w:val="right"/>
        <w:rPr>
          <w:rFonts w:ascii="Arial" w:hAnsi="Arial" w:cs="Arial" w:eastAsia="Arial"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580" w:type="dxa"/>
        <w:tblLayout w:type="fixed"/>
        <w:tblCellMar>
          <w:top w:w="0" w:type="dxa"/>
          <w:left w:w="0" w:type="dxa"/>
          <w:bottom w:w="0" w:type="dxa"/>
          <w:right w:w="0" w:type="dxa"/>
        </w:tblCellMar>
        <w:tblLook w:val="01E0"/>
      </w:tblPr>
      <w:tblGrid>
        <w:gridCol w:w="4155"/>
        <w:gridCol w:w="2292"/>
        <w:gridCol w:w="2292"/>
      </w:tblGrid>
      <w:tr>
        <w:trPr>
          <w:trHeight w:val="500" w:hRule="exact"/>
        </w:trPr>
        <w:tc>
          <w:tcPr>
            <w:tcW w:w="415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2"/>
              <w:ind w:right="1886"/>
              <w:jc w:val="right"/>
              <w:rPr>
                <w:rFonts w:ascii="宋体" w:hAnsi="宋体" w:cs="宋体" w:eastAsia="宋体" w:hint="default"/>
                <w:sz w:val="18"/>
                <w:szCs w:val="18"/>
              </w:rPr>
            </w:pPr>
            <w:r>
              <w:rPr>
                <w:rFonts w:ascii="宋体" w:hAnsi="宋体" w:cs="宋体" w:eastAsia="宋体" w:hint="default"/>
                <w:sz w:val="18"/>
                <w:szCs w:val="18"/>
              </w:rPr>
              <w:t>项目</w:t>
            </w:r>
          </w:p>
        </w:tc>
        <w:tc>
          <w:tcPr>
            <w:tcW w:w="229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left="696"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29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left="696"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485" w:hRule="exact"/>
        </w:trPr>
        <w:tc>
          <w:tcPr>
            <w:tcW w:w="41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支付与销售费用有关的现金</w:t>
            </w:r>
          </w:p>
        </w:tc>
        <w:tc>
          <w:tcPr>
            <w:tcW w:w="22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929,500.83</w:t>
            </w:r>
          </w:p>
        </w:tc>
        <w:tc>
          <w:tcPr>
            <w:tcW w:w="22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2,268,876.77</w:t>
            </w:r>
          </w:p>
        </w:tc>
      </w:tr>
      <w:tr>
        <w:trPr>
          <w:trHeight w:val="485" w:hRule="exact"/>
        </w:trPr>
        <w:tc>
          <w:tcPr>
            <w:tcW w:w="41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支付与管理费用有关的现金</w:t>
            </w:r>
          </w:p>
        </w:tc>
        <w:tc>
          <w:tcPr>
            <w:tcW w:w="22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32,793,309.53</w:t>
            </w:r>
          </w:p>
        </w:tc>
        <w:tc>
          <w:tcPr>
            <w:tcW w:w="22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18,143,981.34</w:t>
            </w:r>
          </w:p>
        </w:tc>
      </w:tr>
      <w:tr>
        <w:trPr>
          <w:trHeight w:val="485" w:hRule="exact"/>
        </w:trPr>
        <w:tc>
          <w:tcPr>
            <w:tcW w:w="41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支付与财务费用有关的现金</w:t>
            </w:r>
          </w:p>
        </w:tc>
        <w:tc>
          <w:tcPr>
            <w:tcW w:w="22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2,022,920.30</w:t>
            </w:r>
          </w:p>
        </w:tc>
        <w:tc>
          <w:tcPr>
            <w:tcW w:w="22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2"/>
                <w:sz w:val="18"/>
              </w:rPr>
              <w:t>515,911.72</w:t>
            </w:r>
          </w:p>
        </w:tc>
      </w:tr>
      <w:tr>
        <w:trPr>
          <w:trHeight w:val="485" w:hRule="exact"/>
        </w:trPr>
        <w:tc>
          <w:tcPr>
            <w:tcW w:w="41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支付与研发费用有关的现金</w:t>
            </w:r>
          </w:p>
        </w:tc>
        <w:tc>
          <w:tcPr>
            <w:tcW w:w="22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6,969,248.12</w:t>
            </w:r>
          </w:p>
        </w:tc>
        <w:tc>
          <w:tcPr>
            <w:tcW w:w="2292"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41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支付公益性捐赠的现金</w:t>
            </w:r>
          </w:p>
        </w:tc>
        <w:tc>
          <w:tcPr>
            <w:tcW w:w="22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2,000,000.00</w:t>
            </w:r>
          </w:p>
        </w:tc>
        <w:tc>
          <w:tcPr>
            <w:tcW w:w="2292"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41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支付与其他有关的现金</w:t>
            </w:r>
          </w:p>
        </w:tc>
        <w:tc>
          <w:tcPr>
            <w:tcW w:w="22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10,570,755.22</w:t>
            </w:r>
          </w:p>
        </w:tc>
        <w:tc>
          <w:tcPr>
            <w:tcW w:w="22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5,657,493.99</w:t>
            </w:r>
          </w:p>
        </w:tc>
      </w:tr>
      <w:tr>
        <w:trPr>
          <w:trHeight w:val="499" w:hRule="exact"/>
        </w:trPr>
        <w:tc>
          <w:tcPr>
            <w:tcW w:w="415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right="1886"/>
              <w:jc w:val="right"/>
              <w:rPr>
                <w:rFonts w:ascii="宋体" w:hAnsi="宋体" w:cs="宋体" w:eastAsia="宋体" w:hint="default"/>
                <w:sz w:val="18"/>
                <w:szCs w:val="18"/>
              </w:rPr>
            </w:pPr>
            <w:r>
              <w:rPr>
                <w:rFonts w:ascii="宋体" w:hAnsi="宋体" w:cs="宋体" w:eastAsia="宋体" w:hint="default"/>
                <w:sz w:val="18"/>
                <w:szCs w:val="18"/>
              </w:rPr>
              <w:t>合计</w:t>
            </w:r>
          </w:p>
        </w:tc>
        <w:tc>
          <w:tcPr>
            <w:tcW w:w="22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204,998,515.55</w:t>
            </w:r>
          </w:p>
        </w:tc>
        <w:tc>
          <w:tcPr>
            <w:tcW w:w="229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122,853,232.59</w:t>
            </w:r>
          </w:p>
        </w:tc>
      </w:tr>
    </w:tbl>
    <w:p>
      <w:pPr>
        <w:spacing w:line="240" w:lineRule="auto" w:before="5"/>
        <w:rPr>
          <w:rFonts w:ascii="宋体" w:hAnsi="宋体" w:cs="宋体" w:eastAsia="宋体" w:hint="default"/>
          <w:sz w:val="5"/>
          <w:szCs w:val="5"/>
        </w:rPr>
      </w:pPr>
    </w:p>
    <w:p>
      <w:pPr>
        <w:pStyle w:val="BodyText"/>
        <w:spacing w:line="240" w:lineRule="auto" w:before="32"/>
        <w:ind w:left="592" w:right="1133"/>
        <w:jc w:val="left"/>
      </w:pPr>
      <w:r>
        <w:rPr/>
        <w:t>③支付的其他与筹资活动有关的现金</w:t>
      </w:r>
    </w:p>
    <w:p>
      <w:pPr>
        <w:spacing w:line="240" w:lineRule="auto" w:before="11"/>
        <w:rPr>
          <w:rFonts w:ascii="宋体" w:hAnsi="宋体" w:cs="宋体" w:eastAsia="宋体" w:hint="default"/>
          <w:sz w:val="6"/>
          <w:szCs w:val="6"/>
        </w:rPr>
      </w:pPr>
    </w:p>
    <w:tbl>
      <w:tblPr>
        <w:tblW w:w="0" w:type="auto"/>
        <w:jc w:val="left"/>
        <w:tblInd w:w="580" w:type="dxa"/>
        <w:tblLayout w:type="fixed"/>
        <w:tblCellMar>
          <w:top w:w="0" w:type="dxa"/>
          <w:left w:w="0" w:type="dxa"/>
          <w:bottom w:w="0" w:type="dxa"/>
          <w:right w:w="0" w:type="dxa"/>
        </w:tblCellMar>
        <w:tblLook w:val="01E0"/>
      </w:tblPr>
      <w:tblGrid>
        <w:gridCol w:w="4155"/>
        <w:gridCol w:w="2292"/>
        <w:gridCol w:w="2292"/>
      </w:tblGrid>
      <w:tr>
        <w:trPr>
          <w:trHeight w:val="497" w:hRule="exact"/>
        </w:trPr>
        <w:tc>
          <w:tcPr>
            <w:tcW w:w="415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49"/>
              <w:ind w:right="1886"/>
              <w:jc w:val="right"/>
              <w:rPr>
                <w:rFonts w:ascii="宋体" w:hAnsi="宋体" w:cs="宋体" w:eastAsia="宋体" w:hint="default"/>
                <w:sz w:val="18"/>
                <w:szCs w:val="18"/>
              </w:rPr>
            </w:pPr>
            <w:r>
              <w:rPr>
                <w:rFonts w:ascii="宋体" w:hAnsi="宋体" w:cs="宋体" w:eastAsia="宋体" w:hint="default"/>
                <w:sz w:val="18"/>
                <w:szCs w:val="18"/>
              </w:rPr>
              <w:t>项目</w:t>
            </w:r>
          </w:p>
        </w:tc>
        <w:tc>
          <w:tcPr>
            <w:tcW w:w="229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9"/>
              <w:ind w:left="696"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29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49"/>
              <w:ind w:left="696"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485" w:hRule="exact"/>
        </w:trPr>
        <w:tc>
          <w:tcPr>
            <w:tcW w:w="41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支付股权转让款</w:t>
            </w:r>
          </w:p>
        </w:tc>
        <w:tc>
          <w:tcPr>
            <w:tcW w:w="2292" w:type="dxa"/>
            <w:tcBorders>
              <w:top w:val="single" w:sz="2" w:space="0" w:color="000000"/>
              <w:left w:val="single" w:sz="2" w:space="0" w:color="000000"/>
              <w:bottom w:val="single" w:sz="2" w:space="0" w:color="000000"/>
              <w:right w:val="single" w:sz="2" w:space="0" w:color="000000"/>
            </w:tcBorders>
          </w:tcPr>
          <w:p>
            <w:pPr/>
          </w:p>
        </w:tc>
        <w:tc>
          <w:tcPr>
            <w:tcW w:w="22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161,076,854.38</w:t>
            </w:r>
          </w:p>
        </w:tc>
      </w:tr>
      <w:tr>
        <w:trPr>
          <w:trHeight w:val="499" w:hRule="exact"/>
        </w:trPr>
        <w:tc>
          <w:tcPr>
            <w:tcW w:w="415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right="1886"/>
              <w:jc w:val="right"/>
              <w:rPr>
                <w:rFonts w:ascii="宋体" w:hAnsi="宋体" w:cs="宋体" w:eastAsia="宋体" w:hint="default"/>
                <w:sz w:val="18"/>
                <w:szCs w:val="18"/>
              </w:rPr>
            </w:pPr>
            <w:r>
              <w:rPr>
                <w:rFonts w:ascii="宋体" w:hAnsi="宋体" w:cs="宋体" w:eastAsia="宋体" w:hint="default"/>
                <w:sz w:val="18"/>
                <w:szCs w:val="18"/>
              </w:rPr>
              <w:t>合计</w:t>
            </w:r>
          </w:p>
        </w:tc>
        <w:tc>
          <w:tcPr>
            <w:tcW w:w="2292" w:type="dxa"/>
            <w:tcBorders>
              <w:top w:val="single" w:sz="2" w:space="0" w:color="000000"/>
              <w:left w:val="single" w:sz="2" w:space="0" w:color="000000"/>
              <w:bottom w:val="single" w:sz="12" w:space="0" w:color="000000"/>
              <w:right w:val="single" w:sz="2" w:space="0" w:color="000000"/>
            </w:tcBorders>
          </w:tcPr>
          <w:p>
            <w:pPr/>
          </w:p>
        </w:tc>
        <w:tc>
          <w:tcPr>
            <w:tcW w:w="229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161,076,854.38</w:t>
            </w:r>
          </w:p>
        </w:tc>
      </w:tr>
    </w:tbl>
    <w:p>
      <w:pPr>
        <w:spacing w:line="240" w:lineRule="auto" w:before="5"/>
        <w:rPr>
          <w:rFonts w:ascii="宋体" w:hAnsi="宋体" w:cs="宋体" w:eastAsia="宋体" w:hint="default"/>
          <w:sz w:val="5"/>
          <w:szCs w:val="5"/>
        </w:rPr>
      </w:pPr>
    </w:p>
    <w:p>
      <w:pPr>
        <w:pStyle w:val="BodyText"/>
        <w:spacing w:line="240" w:lineRule="auto" w:before="32"/>
        <w:ind w:left="592" w:right="1133"/>
        <w:jc w:val="left"/>
      </w:pPr>
      <w:r>
        <w:rPr/>
        <w:t>（</w:t>
      </w:r>
      <w:r>
        <w:rPr>
          <w:rFonts w:ascii="Arial" w:hAnsi="Arial" w:cs="Arial" w:eastAsia="Arial" w:hint="default"/>
        </w:rPr>
        <w:t>2</w:t>
      </w:r>
      <w:r>
        <w:rPr/>
        <w:t>）合并现金流量表补充资料</w:t>
      </w:r>
    </w:p>
    <w:p>
      <w:pPr>
        <w:spacing w:line="240" w:lineRule="auto" w:before="8"/>
        <w:rPr>
          <w:rFonts w:ascii="宋体" w:hAnsi="宋体" w:cs="宋体" w:eastAsia="宋体" w:hint="default"/>
          <w:sz w:val="5"/>
          <w:szCs w:val="5"/>
        </w:rPr>
      </w:pPr>
    </w:p>
    <w:tbl>
      <w:tblPr>
        <w:tblW w:w="0" w:type="auto"/>
        <w:jc w:val="left"/>
        <w:tblInd w:w="494" w:type="dxa"/>
        <w:tblLayout w:type="fixed"/>
        <w:tblCellMar>
          <w:top w:w="0" w:type="dxa"/>
          <w:left w:w="0" w:type="dxa"/>
          <w:bottom w:w="0" w:type="dxa"/>
          <w:right w:w="0" w:type="dxa"/>
        </w:tblCellMar>
        <w:tblLook w:val="01E0"/>
      </w:tblPr>
      <w:tblGrid>
        <w:gridCol w:w="4659"/>
        <w:gridCol w:w="2127"/>
        <w:gridCol w:w="2127"/>
      </w:tblGrid>
      <w:tr>
        <w:trPr>
          <w:trHeight w:val="497" w:hRule="exact"/>
        </w:trPr>
        <w:tc>
          <w:tcPr>
            <w:tcW w:w="465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0"/>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0"/>
              <w:ind w:left="703"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212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0"/>
              <w:ind w:left="703"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485" w:hRule="exact"/>
        </w:trPr>
        <w:tc>
          <w:tcPr>
            <w:tcW w:w="46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将净利润调节为经营活动现金流量：</w:t>
            </w:r>
          </w:p>
        </w:tc>
        <w:tc>
          <w:tcPr>
            <w:tcW w:w="2127" w:type="dxa"/>
            <w:tcBorders>
              <w:top w:val="single" w:sz="2" w:space="0" w:color="000000"/>
              <w:left w:val="single" w:sz="2" w:space="0" w:color="000000"/>
              <w:bottom w:val="single" w:sz="2" w:space="0" w:color="000000"/>
              <w:right w:val="single" w:sz="2" w:space="0" w:color="000000"/>
            </w:tcBorders>
          </w:tcPr>
          <w:p>
            <w:pPr/>
          </w:p>
        </w:tc>
        <w:tc>
          <w:tcPr>
            <w:tcW w:w="2127"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46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1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102,880,891.34</w:t>
            </w:r>
          </w:p>
        </w:tc>
        <w:tc>
          <w:tcPr>
            <w:tcW w:w="21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90,052,255.37</w:t>
            </w:r>
          </w:p>
        </w:tc>
      </w:tr>
      <w:tr>
        <w:trPr>
          <w:trHeight w:val="487" w:hRule="exact"/>
        </w:trPr>
        <w:tc>
          <w:tcPr>
            <w:tcW w:w="46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2"/>
              <w:ind w:left="12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127" w:type="dxa"/>
            <w:tcBorders>
              <w:top w:val="single" w:sz="2" w:space="0" w:color="000000"/>
              <w:left w:val="single" w:sz="2" w:space="0" w:color="000000"/>
              <w:bottom w:val="single" w:sz="2" w:space="0" w:color="000000"/>
              <w:right w:val="single" w:sz="2" w:space="0" w:color="000000"/>
            </w:tcBorders>
          </w:tcPr>
          <w:p>
            <w:pPr/>
          </w:p>
        </w:tc>
        <w:tc>
          <w:tcPr>
            <w:tcW w:w="21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-3,544,241.56</w:t>
            </w:r>
          </w:p>
        </w:tc>
      </w:tr>
      <w:tr>
        <w:trPr>
          <w:trHeight w:val="485" w:hRule="exact"/>
        </w:trPr>
        <w:tc>
          <w:tcPr>
            <w:tcW w:w="46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484" w:right="0"/>
              <w:jc w:val="left"/>
              <w:rPr>
                <w:rFonts w:ascii="宋体" w:hAnsi="宋体" w:cs="宋体" w:eastAsia="宋体" w:hint="default"/>
                <w:sz w:val="18"/>
                <w:szCs w:val="18"/>
              </w:rPr>
            </w:pPr>
            <w:r>
              <w:rPr>
                <w:rFonts w:ascii="宋体" w:hAnsi="宋体" w:cs="宋体" w:eastAsia="宋体" w:hint="default"/>
                <w:sz w:val="18"/>
                <w:szCs w:val="18"/>
              </w:rPr>
              <w:t>信用资产减值损失</w:t>
            </w:r>
          </w:p>
        </w:tc>
        <w:tc>
          <w:tcPr>
            <w:tcW w:w="21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4,427,717.54</w:t>
            </w:r>
          </w:p>
        </w:tc>
        <w:tc>
          <w:tcPr>
            <w:tcW w:w="2127"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46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758"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21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2"/>
                <w:sz w:val="18"/>
              </w:rPr>
              <w:t>11,165,082.08</w:t>
            </w:r>
          </w:p>
        </w:tc>
        <w:tc>
          <w:tcPr>
            <w:tcW w:w="21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2"/>
                <w:sz w:val="18"/>
              </w:rPr>
              <w:t>11,351,731.90</w:t>
            </w:r>
          </w:p>
        </w:tc>
      </w:tr>
      <w:tr>
        <w:trPr>
          <w:trHeight w:val="485" w:hRule="exact"/>
        </w:trPr>
        <w:tc>
          <w:tcPr>
            <w:tcW w:w="46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75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1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1,509,393.86</w:t>
            </w:r>
          </w:p>
        </w:tc>
        <w:tc>
          <w:tcPr>
            <w:tcW w:w="21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1,548,877.95</w:t>
            </w:r>
          </w:p>
        </w:tc>
      </w:tr>
      <w:tr>
        <w:trPr>
          <w:trHeight w:val="485" w:hRule="exact"/>
        </w:trPr>
        <w:tc>
          <w:tcPr>
            <w:tcW w:w="46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0"/>
              <w:ind w:left="758"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127" w:type="dxa"/>
            <w:tcBorders>
              <w:top w:val="single" w:sz="2" w:space="0" w:color="000000"/>
              <w:left w:val="single" w:sz="2" w:space="0" w:color="000000"/>
              <w:bottom w:val="single" w:sz="2" w:space="0" w:color="000000"/>
              <w:right w:val="single" w:sz="2" w:space="0" w:color="000000"/>
            </w:tcBorders>
          </w:tcPr>
          <w:p>
            <w:pPr/>
          </w:p>
        </w:tc>
        <w:tc>
          <w:tcPr>
            <w:tcW w:w="2127" w:type="dxa"/>
            <w:tcBorders>
              <w:top w:val="single" w:sz="2" w:space="0" w:color="000000"/>
              <w:left w:val="single" w:sz="2" w:space="0" w:color="000000"/>
              <w:bottom w:val="single" w:sz="2" w:space="0" w:color="000000"/>
              <w:right w:val="nil" w:sz="6" w:space="0" w:color="auto"/>
            </w:tcBorders>
          </w:tcPr>
          <w:p>
            <w:pPr/>
          </w:p>
        </w:tc>
      </w:tr>
      <w:tr>
        <w:trPr>
          <w:trHeight w:val="886" w:hRule="exact"/>
        </w:trPr>
        <w:tc>
          <w:tcPr>
            <w:tcW w:w="4659" w:type="dxa"/>
            <w:tcBorders>
              <w:top w:val="single" w:sz="2" w:space="0" w:color="000000"/>
              <w:left w:val="nil" w:sz="6" w:space="0" w:color="auto"/>
              <w:bottom w:val="single" w:sz="2" w:space="0" w:color="000000"/>
              <w:right w:val="single" w:sz="2" w:space="0" w:color="000000"/>
            </w:tcBorders>
          </w:tcPr>
          <w:p>
            <w:pPr>
              <w:pStyle w:val="TableParagraph"/>
              <w:spacing w:line="398" w:lineRule="exact" w:before="41"/>
              <w:ind w:left="124" w:right="101" w:firstLine="360"/>
              <w:jc w:val="left"/>
              <w:rPr>
                <w:rFonts w:ascii="宋体" w:hAnsi="宋体" w:cs="宋体" w:eastAsia="宋体" w:hint="default"/>
                <w:sz w:val="18"/>
                <w:szCs w:val="18"/>
              </w:rPr>
            </w:pPr>
            <w:r>
              <w:rPr>
                <w:rFonts w:ascii="宋体" w:hAnsi="宋体" w:cs="宋体" w:eastAsia="宋体" w:hint="default"/>
                <w:spacing w:val="-4"/>
                <w:sz w:val="18"/>
                <w:szCs w:val="18"/>
              </w:rPr>
              <w:t>处置固定资产、无形资产和其他长期资产的损失（收</w:t>
            </w:r>
            <w:r>
              <w:rPr>
                <w:rFonts w:ascii="宋体" w:hAnsi="宋体" w:cs="宋体" w:eastAsia="宋体" w:hint="default"/>
                <w:sz w:val="18"/>
                <w:szCs w:val="18"/>
              </w:rPr>
              <w:t> 益以</w:t>
            </w:r>
            <w:r>
              <w:rPr>
                <w:rFonts w:ascii="Arial" w:hAnsi="Arial" w:cs="Arial" w:eastAsia="Arial" w:hint="default"/>
                <w:sz w:val="18"/>
                <w:szCs w:val="18"/>
              </w:rPr>
              <w:t>“</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填列）</w:t>
            </w:r>
          </w:p>
        </w:tc>
        <w:tc>
          <w:tcPr>
            <w:tcW w:w="21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00"/>
              <w:jc w:val="right"/>
              <w:rPr>
                <w:rFonts w:ascii="Arial" w:hAnsi="Arial" w:cs="Arial" w:eastAsia="Arial" w:hint="default"/>
                <w:sz w:val="18"/>
                <w:szCs w:val="18"/>
              </w:rPr>
            </w:pPr>
            <w:r>
              <w:rPr>
                <w:rFonts w:ascii="Arial"/>
                <w:spacing w:val="-1"/>
                <w:sz w:val="18"/>
              </w:rPr>
              <w:t>3,644,122.57</w:t>
            </w:r>
          </w:p>
        </w:tc>
        <w:tc>
          <w:tcPr>
            <w:tcW w:w="2127"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02"/>
              <w:jc w:val="right"/>
              <w:rPr>
                <w:rFonts w:ascii="Arial" w:hAnsi="Arial" w:cs="Arial" w:eastAsia="Arial" w:hint="default"/>
                <w:sz w:val="18"/>
                <w:szCs w:val="18"/>
              </w:rPr>
            </w:pPr>
            <w:r>
              <w:rPr>
                <w:rFonts w:ascii="Arial"/>
                <w:spacing w:val="-1"/>
                <w:sz w:val="18"/>
              </w:rPr>
              <w:t>8,335.74</w:t>
            </w:r>
          </w:p>
        </w:tc>
      </w:tr>
      <w:tr>
        <w:trPr>
          <w:trHeight w:val="485" w:hRule="exact"/>
        </w:trPr>
        <w:tc>
          <w:tcPr>
            <w:tcW w:w="46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758"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Arial" w:hAnsi="Arial" w:cs="Arial" w:eastAsia="Arial" w:hint="default"/>
                <w:sz w:val="18"/>
                <w:szCs w:val="18"/>
              </w:rPr>
              <w:t>“</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填列）</w:t>
            </w:r>
          </w:p>
        </w:tc>
        <w:tc>
          <w:tcPr>
            <w:tcW w:w="2127" w:type="dxa"/>
            <w:tcBorders>
              <w:top w:val="single" w:sz="2" w:space="0" w:color="000000"/>
              <w:left w:val="single" w:sz="2" w:space="0" w:color="000000"/>
              <w:bottom w:val="single" w:sz="2" w:space="0" w:color="000000"/>
              <w:right w:val="single" w:sz="2" w:space="0" w:color="000000"/>
            </w:tcBorders>
          </w:tcPr>
          <w:p>
            <w:pPr/>
          </w:p>
        </w:tc>
        <w:tc>
          <w:tcPr>
            <w:tcW w:w="2127"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46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758" w:right="0"/>
              <w:jc w:val="left"/>
              <w:rPr>
                <w:rFonts w:ascii="宋体" w:hAnsi="宋体" w:cs="宋体" w:eastAsia="宋体" w:hint="default"/>
                <w:sz w:val="18"/>
                <w:szCs w:val="18"/>
              </w:rPr>
            </w:pPr>
            <w:r>
              <w:rPr>
                <w:rFonts w:ascii="宋体" w:hAnsi="宋体" w:cs="宋体" w:eastAsia="宋体" w:hint="default"/>
                <w:sz w:val="18"/>
                <w:szCs w:val="18"/>
              </w:rPr>
              <w:t>公允价值变动损益（收益以</w:t>
            </w:r>
            <w:r>
              <w:rPr>
                <w:rFonts w:ascii="Arial" w:hAnsi="Arial" w:cs="Arial" w:eastAsia="Arial" w:hint="default"/>
                <w:sz w:val="18"/>
                <w:szCs w:val="18"/>
              </w:rPr>
              <w:t>“</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填列）</w:t>
            </w:r>
          </w:p>
        </w:tc>
        <w:tc>
          <w:tcPr>
            <w:tcW w:w="2127" w:type="dxa"/>
            <w:tcBorders>
              <w:top w:val="single" w:sz="2" w:space="0" w:color="000000"/>
              <w:left w:val="single" w:sz="2" w:space="0" w:color="000000"/>
              <w:bottom w:val="single" w:sz="2" w:space="0" w:color="000000"/>
              <w:right w:val="single" w:sz="2" w:space="0" w:color="000000"/>
            </w:tcBorders>
          </w:tcPr>
          <w:p>
            <w:pPr/>
          </w:p>
        </w:tc>
        <w:tc>
          <w:tcPr>
            <w:tcW w:w="2127"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46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758"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Arial" w:hAnsi="Arial" w:cs="Arial" w:eastAsia="Arial" w:hint="default"/>
                <w:sz w:val="18"/>
                <w:szCs w:val="18"/>
              </w:rPr>
              <w:t>“</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填列）</w:t>
            </w:r>
          </w:p>
        </w:tc>
        <w:tc>
          <w:tcPr>
            <w:tcW w:w="21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161,487.86</w:t>
            </w:r>
          </w:p>
        </w:tc>
        <w:tc>
          <w:tcPr>
            <w:tcW w:w="21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25,693.03</w:t>
            </w:r>
          </w:p>
        </w:tc>
      </w:tr>
      <w:tr>
        <w:trPr>
          <w:trHeight w:val="485" w:hRule="exact"/>
        </w:trPr>
        <w:tc>
          <w:tcPr>
            <w:tcW w:w="46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758"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Arial" w:hAnsi="Arial" w:cs="Arial" w:eastAsia="Arial" w:hint="default"/>
                <w:sz w:val="18"/>
                <w:szCs w:val="18"/>
              </w:rPr>
              <w:t>“</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填列）</w:t>
            </w:r>
          </w:p>
        </w:tc>
        <w:tc>
          <w:tcPr>
            <w:tcW w:w="21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-1,516,497.13</w:t>
            </w:r>
          </w:p>
        </w:tc>
        <w:tc>
          <w:tcPr>
            <w:tcW w:w="21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2,218,221.66</w:t>
            </w:r>
          </w:p>
        </w:tc>
      </w:tr>
      <w:tr>
        <w:trPr>
          <w:trHeight w:val="500" w:hRule="exact"/>
        </w:trPr>
        <w:tc>
          <w:tcPr>
            <w:tcW w:w="465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50"/>
              <w:ind w:left="758" w:right="0"/>
              <w:jc w:val="left"/>
              <w:rPr>
                <w:rFonts w:ascii="宋体" w:hAnsi="宋体" w:cs="宋体" w:eastAsia="宋体" w:hint="default"/>
                <w:sz w:val="18"/>
                <w:szCs w:val="18"/>
              </w:rPr>
            </w:pPr>
            <w:r>
              <w:rPr>
                <w:rFonts w:ascii="宋体" w:hAnsi="宋体" w:cs="宋体" w:eastAsia="宋体" w:hint="default"/>
                <w:sz w:val="18"/>
                <w:szCs w:val="18"/>
              </w:rPr>
              <w:t>递延所得税资产的减少（增加以</w:t>
            </w:r>
            <w:r>
              <w:rPr>
                <w:rFonts w:ascii="Arial" w:hAnsi="Arial" w:cs="Arial" w:eastAsia="Arial" w:hint="default"/>
                <w:sz w:val="18"/>
                <w:szCs w:val="18"/>
              </w:rPr>
              <w:t>“</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填列）</w:t>
            </w:r>
          </w:p>
        </w:tc>
        <w:tc>
          <w:tcPr>
            <w:tcW w:w="212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-391,493.74</w:t>
            </w:r>
          </w:p>
        </w:tc>
        <w:tc>
          <w:tcPr>
            <w:tcW w:w="212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1,717,987.71</w:t>
            </w:r>
          </w:p>
        </w:tc>
      </w:tr>
    </w:tbl>
    <w:p>
      <w:pPr>
        <w:spacing w:after="0" w:line="240" w:lineRule="auto"/>
        <w:jc w:val="right"/>
        <w:rPr>
          <w:rFonts w:ascii="Arial" w:hAnsi="Arial" w:cs="Arial" w:eastAsia="Arial"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494" w:type="dxa"/>
        <w:tblLayout w:type="fixed"/>
        <w:tblCellMar>
          <w:top w:w="0" w:type="dxa"/>
          <w:left w:w="0" w:type="dxa"/>
          <w:bottom w:w="0" w:type="dxa"/>
          <w:right w:w="0" w:type="dxa"/>
        </w:tblCellMar>
        <w:tblLook w:val="01E0"/>
      </w:tblPr>
      <w:tblGrid>
        <w:gridCol w:w="4659"/>
        <w:gridCol w:w="2127"/>
        <w:gridCol w:w="2127"/>
      </w:tblGrid>
      <w:tr>
        <w:trPr>
          <w:trHeight w:val="500" w:hRule="exact"/>
        </w:trPr>
        <w:tc>
          <w:tcPr>
            <w:tcW w:w="465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2"/>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left="703"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212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left="703"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485" w:hRule="exact"/>
        </w:trPr>
        <w:tc>
          <w:tcPr>
            <w:tcW w:w="46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right="659"/>
              <w:jc w:val="right"/>
              <w:rPr>
                <w:rFonts w:ascii="宋体" w:hAnsi="宋体" w:cs="宋体" w:eastAsia="宋体" w:hint="default"/>
                <w:sz w:val="18"/>
                <w:szCs w:val="18"/>
              </w:rPr>
            </w:pPr>
            <w:r>
              <w:rPr>
                <w:rFonts w:ascii="宋体" w:hAnsi="宋体" w:cs="宋体" w:eastAsia="宋体" w:hint="default"/>
                <w:spacing w:val="-1"/>
                <w:sz w:val="18"/>
                <w:szCs w:val="18"/>
              </w:rPr>
              <w:t>递延所得税负债的增加（减少以</w:t>
            </w:r>
            <w:r>
              <w:rPr>
                <w:rFonts w:ascii="Arial" w:hAnsi="Arial" w:cs="Arial" w:eastAsia="Arial" w:hint="default"/>
                <w:spacing w:val="-1"/>
                <w:sz w:val="18"/>
                <w:szCs w:val="18"/>
              </w:rPr>
              <w:t>“</w:t>
            </w:r>
            <w:r>
              <w:rPr>
                <w:rFonts w:ascii="Arial" w:hAnsi="Arial" w:cs="Arial" w:eastAsia="Arial" w:hint="default"/>
                <w:spacing w:val="-1"/>
                <w:sz w:val="18"/>
                <w:szCs w:val="18"/>
              </w:rPr>
              <w:t>-</w:t>
            </w:r>
            <w:r>
              <w:rPr>
                <w:rFonts w:ascii="Arial" w:hAnsi="Arial" w:cs="Arial" w:eastAsia="Arial" w:hint="default"/>
                <w:spacing w:val="-1"/>
                <w:sz w:val="18"/>
                <w:szCs w:val="18"/>
              </w:rPr>
              <w:t>”</w:t>
            </w:r>
            <w:r>
              <w:rPr>
                <w:rFonts w:ascii="宋体" w:hAnsi="宋体" w:cs="宋体" w:eastAsia="宋体" w:hint="default"/>
                <w:spacing w:val="-1"/>
                <w:sz w:val="18"/>
                <w:szCs w:val="18"/>
              </w:rPr>
              <w:t>填列）</w:t>
            </w:r>
          </w:p>
        </w:tc>
        <w:tc>
          <w:tcPr>
            <w:tcW w:w="2127" w:type="dxa"/>
            <w:tcBorders>
              <w:top w:val="single" w:sz="2" w:space="0" w:color="000000"/>
              <w:left w:val="single" w:sz="2" w:space="0" w:color="000000"/>
              <w:bottom w:val="single" w:sz="2" w:space="0" w:color="000000"/>
              <w:right w:val="single" w:sz="2" w:space="0" w:color="000000"/>
            </w:tcBorders>
          </w:tcPr>
          <w:p>
            <w:pPr/>
          </w:p>
        </w:tc>
        <w:tc>
          <w:tcPr>
            <w:tcW w:w="2127"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46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758"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Arial" w:hAnsi="Arial" w:cs="Arial" w:eastAsia="Arial" w:hint="default"/>
                <w:sz w:val="18"/>
                <w:szCs w:val="18"/>
              </w:rPr>
              <w:t>“</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填列）</w:t>
            </w:r>
          </w:p>
        </w:tc>
        <w:tc>
          <w:tcPr>
            <w:tcW w:w="21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-502,574,026.78</w:t>
            </w:r>
          </w:p>
        </w:tc>
        <w:tc>
          <w:tcPr>
            <w:tcW w:w="21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-358,269,742.98</w:t>
            </w:r>
          </w:p>
        </w:tc>
      </w:tr>
      <w:tr>
        <w:trPr>
          <w:trHeight w:val="485" w:hRule="exact"/>
        </w:trPr>
        <w:tc>
          <w:tcPr>
            <w:tcW w:w="46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right="659"/>
              <w:jc w:val="right"/>
              <w:rPr>
                <w:rFonts w:ascii="宋体" w:hAnsi="宋体" w:cs="宋体" w:eastAsia="宋体" w:hint="default"/>
                <w:sz w:val="18"/>
                <w:szCs w:val="18"/>
              </w:rPr>
            </w:pPr>
            <w:r>
              <w:rPr>
                <w:rFonts w:ascii="宋体" w:hAnsi="宋体" w:cs="宋体" w:eastAsia="宋体" w:hint="default"/>
                <w:spacing w:val="-1"/>
                <w:sz w:val="18"/>
                <w:szCs w:val="18"/>
              </w:rPr>
              <w:t>经营性应收项目的减少（增加以</w:t>
            </w:r>
            <w:r>
              <w:rPr>
                <w:rFonts w:ascii="Arial" w:hAnsi="Arial" w:cs="Arial" w:eastAsia="Arial" w:hint="default"/>
                <w:spacing w:val="-1"/>
                <w:sz w:val="18"/>
                <w:szCs w:val="18"/>
              </w:rPr>
              <w:t>“</w:t>
            </w:r>
            <w:r>
              <w:rPr>
                <w:rFonts w:ascii="Arial" w:hAnsi="Arial" w:cs="Arial" w:eastAsia="Arial" w:hint="default"/>
                <w:spacing w:val="-1"/>
                <w:sz w:val="18"/>
                <w:szCs w:val="18"/>
              </w:rPr>
              <w:t>-</w:t>
            </w:r>
            <w:r>
              <w:rPr>
                <w:rFonts w:ascii="Arial" w:hAnsi="Arial" w:cs="Arial" w:eastAsia="Arial" w:hint="default"/>
                <w:spacing w:val="-1"/>
                <w:sz w:val="18"/>
                <w:szCs w:val="18"/>
              </w:rPr>
              <w:t>”</w:t>
            </w:r>
            <w:r>
              <w:rPr>
                <w:rFonts w:ascii="宋体" w:hAnsi="宋体" w:cs="宋体" w:eastAsia="宋体" w:hint="default"/>
                <w:spacing w:val="-1"/>
                <w:sz w:val="18"/>
                <w:szCs w:val="18"/>
              </w:rPr>
              <w:t>填列）</w:t>
            </w:r>
          </w:p>
        </w:tc>
        <w:tc>
          <w:tcPr>
            <w:tcW w:w="21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-241,267,195.12</w:t>
            </w:r>
          </w:p>
        </w:tc>
        <w:tc>
          <w:tcPr>
            <w:tcW w:w="21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63,756,085.36</w:t>
            </w:r>
          </w:p>
        </w:tc>
      </w:tr>
      <w:tr>
        <w:trPr>
          <w:trHeight w:val="485" w:hRule="exact"/>
        </w:trPr>
        <w:tc>
          <w:tcPr>
            <w:tcW w:w="46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right="659"/>
              <w:jc w:val="right"/>
              <w:rPr>
                <w:rFonts w:ascii="宋体" w:hAnsi="宋体" w:cs="宋体" w:eastAsia="宋体" w:hint="default"/>
                <w:sz w:val="18"/>
                <w:szCs w:val="18"/>
              </w:rPr>
            </w:pPr>
            <w:r>
              <w:rPr>
                <w:rFonts w:ascii="宋体" w:hAnsi="宋体" w:cs="宋体" w:eastAsia="宋体" w:hint="default"/>
                <w:spacing w:val="-1"/>
                <w:sz w:val="18"/>
                <w:szCs w:val="18"/>
              </w:rPr>
              <w:t>经营性应付项目的增加（减少以</w:t>
            </w:r>
            <w:r>
              <w:rPr>
                <w:rFonts w:ascii="Arial" w:hAnsi="Arial" w:cs="Arial" w:eastAsia="Arial" w:hint="default"/>
                <w:spacing w:val="-1"/>
                <w:sz w:val="18"/>
                <w:szCs w:val="18"/>
              </w:rPr>
              <w:t>“</w:t>
            </w:r>
            <w:r>
              <w:rPr>
                <w:rFonts w:ascii="Arial" w:hAnsi="Arial" w:cs="Arial" w:eastAsia="Arial" w:hint="default"/>
                <w:spacing w:val="-1"/>
                <w:sz w:val="18"/>
                <w:szCs w:val="18"/>
              </w:rPr>
              <w:t>-</w:t>
            </w:r>
            <w:r>
              <w:rPr>
                <w:rFonts w:ascii="Arial" w:hAnsi="Arial" w:cs="Arial" w:eastAsia="Arial" w:hint="default"/>
                <w:spacing w:val="-1"/>
                <w:sz w:val="18"/>
                <w:szCs w:val="18"/>
              </w:rPr>
              <w:t>”</w:t>
            </w:r>
            <w:r>
              <w:rPr>
                <w:rFonts w:ascii="宋体" w:hAnsi="宋体" w:cs="宋体" w:eastAsia="宋体" w:hint="default"/>
                <w:spacing w:val="-1"/>
                <w:sz w:val="18"/>
                <w:szCs w:val="18"/>
              </w:rPr>
              <w:t>填列）</w:t>
            </w:r>
          </w:p>
        </w:tc>
        <w:tc>
          <w:tcPr>
            <w:tcW w:w="21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1,017,106,534.72</w:t>
            </w:r>
          </w:p>
        </w:tc>
        <w:tc>
          <w:tcPr>
            <w:tcW w:w="21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358,404,101.51</w:t>
            </w:r>
          </w:p>
        </w:tc>
      </w:tr>
      <w:tr>
        <w:trPr>
          <w:trHeight w:val="485" w:hRule="exact"/>
        </w:trPr>
        <w:tc>
          <w:tcPr>
            <w:tcW w:w="46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7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27" w:type="dxa"/>
            <w:tcBorders>
              <w:top w:val="single" w:sz="2" w:space="0" w:color="000000"/>
              <w:left w:val="single" w:sz="2" w:space="0" w:color="000000"/>
              <w:bottom w:val="single" w:sz="2" w:space="0" w:color="000000"/>
              <w:right w:val="single" w:sz="2" w:space="0" w:color="000000"/>
            </w:tcBorders>
          </w:tcPr>
          <w:p>
            <w:pPr/>
          </w:p>
        </w:tc>
        <w:tc>
          <w:tcPr>
            <w:tcW w:w="2127"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46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395,146,017.20</w:t>
            </w:r>
          </w:p>
        </w:tc>
        <w:tc>
          <w:tcPr>
            <w:tcW w:w="21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167,269,305.69</w:t>
            </w:r>
          </w:p>
        </w:tc>
      </w:tr>
      <w:tr>
        <w:trPr>
          <w:trHeight w:val="485" w:hRule="exact"/>
        </w:trPr>
        <w:tc>
          <w:tcPr>
            <w:tcW w:w="46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不涉及现金收支的重大投资和筹资活动：</w:t>
            </w:r>
          </w:p>
        </w:tc>
        <w:tc>
          <w:tcPr>
            <w:tcW w:w="2127" w:type="dxa"/>
            <w:tcBorders>
              <w:top w:val="single" w:sz="2" w:space="0" w:color="000000"/>
              <w:left w:val="single" w:sz="2" w:space="0" w:color="000000"/>
              <w:bottom w:val="single" w:sz="2" w:space="0" w:color="000000"/>
              <w:right w:val="single" w:sz="2" w:space="0" w:color="000000"/>
            </w:tcBorders>
          </w:tcPr>
          <w:p>
            <w:pPr/>
          </w:p>
        </w:tc>
        <w:tc>
          <w:tcPr>
            <w:tcW w:w="2127"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46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75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127" w:type="dxa"/>
            <w:tcBorders>
              <w:top w:val="single" w:sz="2" w:space="0" w:color="000000"/>
              <w:left w:val="single" w:sz="2" w:space="0" w:color="000000"/>
              <w:bottom w:val="single" w:sz="2" w:space="0" w:color="000000"/>
              <w:right w:val="single" w:sz="2" w:space="0" w:color="000000"/>
            </w:tcBorders>
          </w:tcPr>
          <w:p>
            <w:pPr/>
          </w:p>
        </w:tc>
        <w:tc>
          <w:tcPr>
            <w:tcW w:w="2127"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46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75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127" w:type="dxa"/>
            <w:tcBorders>
              <w:top w:val="single" w:sz="2" w:space="0" w:color="000000"/>
              <w:left w:val="single" w:sz="2" w:space="0" w:color="000000"/>
              <w:bottom w:val="single" w:sz="2" w:space="0" w:color="000000"/>
              <w:right w:val="single" w:sz="2" w:space="0" w:color="000000"/>
            </w:tcBorders>
          </w:tcPr>
          <w:p>
            <w:pPr/>
          </w:p>
        </w:tc>
        <w:tc>
          <w:tcPr>
            <w:tcW w:w="2127"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46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75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127" w:type="dxa"/>
            <w:tcBorders>
              <w:top w:val="single" w:sz="2" w:space="0" w:color="000000"/>
              <w:left w:val="single" w:sz="2" w:space="0" w:color="000000"/>
              <w:bottom w:val="single" w:sz="2" w:space="0" w:color="000000"/>
              <w:right w:val="single" w:sz="2" w:space="0" w:color="000000"/>
            </w:tcBorders>
          </w:tcPr>
          <w:p>
            <w:pPr/>
          </w:p>
        </w:tc>
        <w:tc>
          <w:tcPr>
            <w:tcW w:w="2127"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46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现金及现金等价物净变动情况：</w:t>
            </w:r>
          </w:p>
        </w:tc>
        <w:tc>
          <w:tcPr>
            <w:tcW w:w="2127" w:type="dxa"/>
            <w:tcBorders>
              <w:top w:val="single" w:sz="2" w:space="0" w:color="000000"/>
              <w:left w:val="single" w:sz="2" w:space="0" w:color="000000"/>
              <w:bottom w:val="single" w:sz="2" w:space="0" w:color="000000"/>
              <w:right w:val="single" w:sz="2" w:space="0" w:color="000000"/>
            </w:tcBorders>
          </w:tcPr>
          <w:p>
            <w:pPr/>
          </w:p>
        </w:tc>
        <w:tc>
          <w:tcPr>
            <w:tcW w:w="2127" w:type="dxa"/>
            <w:tcBorders>
              <w:top w:val="single" w:sz="2" w:space="0" w:color="000000"/>
              <w:left w:val="single" w:sz="2" w:space="0" w:color="000000"/>
              <w:bottom w:val="single" w:sz="2" w:space="0" w:color="000000"/>
              <w:right w:val="nil" w:sz="6" w:space="0" w:color="auto"/>
            </w:tcBorders>
          </w:tcPr>
          <w:p>
            <w:pPr/>
          </w:p>
        </w:tc>
      </w:tr>
      <w:tr>
        <w:trPr>
          <w:trHeight w:val="487" w:hRule="exact"/>
        </w:trPr>
        <w:tc>
          <w:tcPr>
            <w:tcW w:w="46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2"/>
              <w:ind w:left="124" w:right="0"/>
              <w:jc w:val="left"/>
              <w:rPr>
                <w:rFonts w:ascii="宋体" w:hAnsi="宋体" w:cs="宋体" w:eastAsia="宋体" w:hint="default"/>
                <w:sz w:val="18"/>
                <w:szCs w:val="18"/>
              </w:rPr>
            </w:pPr>
            <w:r>
              <w:rPr>
                <w:rFonts w:ascii="宋体" w:hAnsi="宋体" w:cs="宋体" w:eastAsia="宋体" w:hint="default"/>
                <w:sz w:val="18"/>
                <w:szCs w:val="18"/>
              </w:rPr>
              <w:t>现金的年末余额</w:t>
            </w:r>
          </w:p>
        </w:tc>
        <w:tc>
          <w:tcPr>
            <w:tcW w:w="21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2"/>
                <w:sz w:val="18"/>
              </w:rPr>
              <w:t>1,315,078,811.47</w:t>
            </w:r>
          </w:p>
        </w:tc>
        <w:tc>
          <w:tcPr>
            <w:tcW w:w="21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969,152,090.33</w:t>
            </w:r>
          </w:p>
        </w:tc>
      </w:tr>
      <w:tr>
        <w:trPr>
          <w:trHeight w:val="485" w:hRule="exact"/>
        </w:trPr>
        <w:tc>
          <w:tcPr>
            <w:tcW w:w="46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0"/>
              <w:ind w:left="124"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21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969,152,090.33</w:t>
            </w:r>
          </w:p>
        </w:tc>
        <w:tc>
          <w:tcPr>
            <w:tcW w:w="21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1,030,336,392.56</w:t>
            </w:r>
          </w:p>
        </w:tc>
      </w:tr>
      <w:tr>
        <w:trPr>
          <w:trHeight w:val="485" w:hRule="exact"/>
        </w:trPr>
        <w:tc>
          <w:tcPr>
            <w:tcW w:w="46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加：现金等价物的年末余额</w:t>
            </w:r>
          </w:p>
        </w:tc>
        <w:tc>
          <w:tcPr>
            <w:tcW w:w="2127" w:type="dxa"/>
            <w:tcBorders>
              <w:top w:val="single" w:sz="2" w:space="0" w:color="000000"/>
              <w:left w:val="single" w:sz="2" w:space="0" w:color="000000"/>
              <w:bottom w:val="single" w:sz="2" w:space="0" w:color="000000"/>
              <w:right w:val="single" w:sz="2" w:space="0" w:color="000000"/>
            </w:tcBorders>
          </w:tcPr>
          <w:p>
            <w:pPr/>
          </w:p>
        </w:tc>
        <w:tc>
          <w:tcPr>
            <w:tcW w:w="2127"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46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2127" w:type="dxa"/>
            <w:tcBorders>
              <w:top w:val="single" w:sz="2" w:space="0" w:color="000000"/>
              <w:left w:val="single" w:sz="2" w:space="0" w:color="000000"/>
              <w:bottom w:val="single" w:sz="2" w:space="0" w:color="000000"/>
              <w:right w:val="single" w:sz="2" w:space="0" w:color="000000"/>
            </w:tcBorders>
          </w:tcPr>
          <w:p>
            <w:pPr/>
          </w:p>
        </w:tc>
        <w:tc>
          <w:tcPr>
            <w:tcW w:w="2127" w:type="dxa"/>
            <w:tcBorders>
              <w:top w:val="single" w:sz="2" w:space="0" w:color="000000"/>
              <w:left w:val="single" w:sz="2" w:space="0" w:color="000000"/>
              <w:bottom w:val="single" w:sz="2" w:space="0" w:color="000000"/>
              <w:right w:val="nil" w:sz="6" w:space="0" w:color="auto"/>
            </w:tcBorders>
          </w:tcPr>
          <w:p>
            <w:pPr/>
          </w:p>
        </w:tc>
      </w:tr>
      <w:tr>
        <w:trPr>
          <w:trHeight w:val="559" w:hRule="exact"/>
        </w:trPr>
        <w:tc>
          <w:tcPr>
            <w:tcW w:w="465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2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345,926,721.14</w:t>
            </w:r>
          </w:p>
        </w:tc>
        <w:tc>
          <w:tcPr>
            <w:tcW w:w="212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2"/>
              <w:jc w:val="right"/>
              <w:rPr>
                <w:rFonts w:ascii="Arial" w:hAnsi="Arial" w:cs="Arial" w:eastAsia="Arial" w:hint="default"/>
                <w:sz w:val="18"/>
                <w:szCs w:val="18"/>
              </w:rPr>
            </w:pPr>
            <w:r>
              <w:rPr>
                <w:rFonts w:ascii="Arial"/>
                <w:spacing w:val="-1"/>
                <w:sz w:val="18"/>
              </w:rPr>
              <w:t>-61,184,302.23</w:t>
            </w:r>
          </w:p>
        </w:tc>
      </w:tr>
    </w:tbl>
    <w:p>
      <w:pPr>
        <w:spacing w:line="240" w:lineRule="auto" w:before="5"/>
        <w:rPr>
          <w:rFonts w:ascii="宋体" w:hAnsi="宋体" w:cs="宋体" w:eastAsia="宋体" w:hint="default"/>
          <w:sz w:val="5"/>
          <w:szCs w:val="5"/>
        </w:rPr>
      </w:pPr>
    </w:p>
    <w:p>
      <w:pPr>
        <w:pStyle w:val="BodyText"/>
        <w:spacing w:line="240" w:lineRule="auto" w:before="32"/>
        <w:ind w:left="592" w:right="1133"/>
        <w:jc w:val="left"/>
      </w:pPr>
      <w:r>
        <w:rPr/>
        <w:t>（</w:t>
      </w:r>
      <w:r>
        <w:rPr>
          <w:rFonts w:ascii="Arial" w:hAnsi="Arial" w:cs="Arial" w:eastAsia="Arial" w:hint="default"/>
        </w:rPr>
        <w:t>3</w:t>
      </w:r>
      <w:r>
        <w:rPr/>
        <w:t>）现金和现金等价物</w:t>
      </w:r>
    </w:p>
    <w:p>
      <w:pPr>
        <w:spacing w:line="240" w:lineRule="auto" w:before="8"/>
        <w:rPr>
          <w:rFonts w:ascii="宋体" w:hAnsi="宋体" w:cs="宋体" w:eastAsia="宋体" w:hint="default"/>
          <w:sz w:val="5"/>
          <w:szCs w:val="5"/>
        </w:rPr>
      </w:pPr>
    </w:p>
    <w:tbl>
      <w:tblPr>
        <w:tblW w:w="0" w:type="auto"/>
        <w:jc w:val="left"/>
        <w:tblInd w:w="580" w:type="dxa"/>
        <w:tblLayout w:type="fixed"/>
        <w:tblCellMar>
          <w:top w:w="0" w:type="dxa"/>
          <w:left w:w="0" w:type="dxa"/>
          <w:bottom w:w="0" w:type="dxa"/>
          <w:right w:w="0" w:type="dxa"/>
        </w:tblCellMar>
        <w:tblLook w:val="01E0"/>
      </w:tblPr>
      <w:tblGrid>
        <w:gridCol w:w="4661"/>
        <w:gridCol w:w="2038"/>
        <w:gridCol w:w="2040"/>
      </w:tblGrid>
      <w:tr>
        <w:trPr>
          <w:trHeight w:val="497" w:hRule="exact"/>
        </w:trPr>
        <w:tc>
          <w:tcPr>
            <w:tcW w:w="466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49"/>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3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9"/>
              <w:ind w:left="657"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204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49"/>
              <w:ind w:left="660"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485" w:hRule="exact"/>
        </w:trPr>
        <w:tc>
          <w:tcPr>
            <w:tcW w:w="46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20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2"/>
                <w:sz w:val="18"/>
              </w:rPr>
              <w:t>1,315,078,811.47</w:t>
            </w:r>
          </w:p>
        </w:tc>
        <w:tc>
          <w:tcPr>
            <w:tcW w:w="20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969,152,090.33</w:t>
            </w:r>
          </w:p>
        </w:tc>
      </w:tr>
      <w:tr>
        <w:trPr>
          <w:trHeight w:val="485" w:hRule="exact"/>
        </w:trPr>
        <w:tc>
          <w:tcPr>
            <w:tcW w:w="46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0"/>
              <w:ind w:left="1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0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37,782.62</w:t>
            </w:r>
          </w:p>
        </w:tc>
        <w:tc>
          <w:tcPr>
            <w:tcW w:w="20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37,749.79</w:t>
            </w:r>
          </w:p>
        </w:tc>
      </w:tr>
      <w:tr>
        <w:trPr>
          <w:trHeight w:val="487" w:hRule="exact"/>
        </w:trPr>
        <w:tc>
          <w:tcPr>
            <w:tcW w:w="46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2"/>
              <w:ind w:left="667"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0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1,315,041,028.85</w:t>
            </w:r>
          </w:p>
        </w:tc>
        <w:tc>
          <w:tcPr>
            <w:tcW w:w="20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2"/>
                <w:sz w:val="18"/>
              </w:rPr>
              <w:t>969,114,340.54</w:t>
            </w:r>
          </w:p>
        </w:tc>
      </w:tr>
      <w:tr>
        <w:trPr>
          <w:trHeight w:val="485" w:hRule="exact"/>
        </w:trPr>
        <w:tc>
          <w:tcPr>
            <w:tcW w:w="46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right="1472"/>
              <w:jc w:val="right"/>
              <w:rPr>
                <w:rFonts w:ascii="宋体" w:hAnsi="宋体" w:cs="宋体" w:eastAsia="宋体" w:hint="default"/>
                <w:sz w:val="18"/>
                <w:szCs w:val="18"/>
              </w:rPr>
            </w:pPr>
            <w:r>
              <w:rPr>
                <w:rFonts w:ascii="宋体" w:hAnsi="宋体" w:cs="宋体" w:eastAsia="宋体" w:hint="default"/>
                <w:spacing w:val="-1"/>
                <w:sz w:val="18"/>
                <w:szCs w:val="18"/>
              </w:rPr>
              <w:t>可随时用于支付的其他货币资金</w:t>
            </w:r>
          </w:p>
        </w:tc>
        <w:tc>
          <w:tcPr>
            <w:tcW w:w="2038" w:type="dxa"/>
            <w:tcBorders>
              <w:top w:val="single" w:sz="2" w:space="0" w:color="000000"/>
              <w:left w:val="single" w:sz="2" w:space="0" w:color="000000"/>
              <w:bottom w:val="single" w:sz="2" w:space="0" w:color="000000"/>
              <w:right w:val="single" w:sz="2" w:space="0" w:color="000000"/>
            </w:tcBorders>
          </w:tcPr>
          <w:p>
            <w:pPr/>
          </w:p>
        </w:tc>
        <w:tc>
          <w:tcPr>
            <w:tcW w:w="2040"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46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right="1472"/>
              <w:jc w:val="right"/>
              <w:rPr>
                <w:rFonts w:ascii="宋体" w:hAnsi="宋体" w:cs="宋体" w:eastAsia="宋体" w:hint="default"/>
                <w:sz w:val="18"/>
                <w:szCs w:val="18"/>
              </w:rPr>
            </w:pPr>
            <w:r>
              <w:rPr>
                <w:rFonts w:ascii="宋体" w:hAnsi="宋体" w:cs="宋体" w:eastAsia="宋体" w:hint="default"/>
                <w:spacing w:val="-1"/>
                <w:sz w:val="18"/>
                <w:szCs w:val="18"/>
              </w:rPr>
              <w:t>可用于支付的存放中央银行款项</w:t>
            </w:r>
          </w:p>
        </w:tc>
        <w:tc>
          <w:tcPr>
            <w:tcW w:w="2038" w:type="dxa"/>
            <w:tcBorders>
              <w:top w:val="single" w:sz="2" w:space="0" w:color="000000"/>
              <w:left w:val="single" w:sz="2" w:space="0" w:color="000000"/>
              <w:bottom w:val="single" w:sz="2" w:space="0" w:color="000000"/>
              <w:right w:val="single" w:sz="2" w:space="0" w:color="000000"/>
            </w:tcBorders>
          </w:tcPr>
          <w:p>
            <w:pPr/>
          </w:p>
        </w:tc>
        <w:tc>
          <w:tcPr>
            <w:tcW w:w="2040"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46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667"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2038" w:type="dxa"/>
            <w:tcBorders>
              <w:top w:val="single" w:sz="2" w:space="0" w:color="000000"/>
              <w:left w:val="single" w:sz="2" w:space="0" w:color="000000"/>
              <w:bottom w:val="single" w:sz="2" w:space="0" w:color="000000"/>
              <w:right w:val="single" w:sz="2" w:space="0" w:color="000000"/>
            </w:tcBorders>
          </w:tcPr>
          <w:p>
            <w:pPr/>
          </w:p>
        </w:tc>
        <w:tc>
          <w:tcPr>
            <w:tcW w:w="2040"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46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667"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2038" w:type="dxa"/>
            <w:tcBorders>
              <w:top w:val="single" w:sz="2" w:space="0" w:color="000000"/>
              <w:left w:val="single" w:sz="2" w:space="0" w:color="000000"/>
              <w:bottom w:val="single" w:sz="2" w:space="0" w:color="000000"/>
              <w:right w:val="single" w:sz="2" w:space="0" w:color="000000"/>
            </w:tcBorders>
          </w:tcPr>
          <w:p>
            <w:pPr/>
          </w:p>
        </w:tc>
        <w:tc>
          <w:tcPr>
            <w:tcW w:w="2040"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46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现金等价物</w:t>
            </w:r>
          </w:p>
        </w:tc>
        <w:tc>
          <w:tcPr>
            <w:tcW w:w="2038" w:type="dxa"/>
            <w:tcBorders>
              <w:top w:val="single" w:sz="2" w:space="0" w:color="000000"/>
              <w:left w:val="single" w:sz="2" w:space="0" w:color="000000"/>
              <w:bottom w:val="single" w:sz="2" w:space="0" w:color="000000"/>
              <w:right w:val="single" w:sz="2" w:space="0" w:color="000000"/>
            </w:tcBorders>
          </w:tcPr>
          <w:p>
            <w:pPr/>
          </w:p>
        </w:tc>
        <w:tc>
          <w:tcPr>
            <w:tcW w:w="2040" w:type="dxa"/>
            <w:tcBorders>
              <w:top w:val="single" w:sz="2" w:space="0" w:color="000000"/>
              <w:left w:val="single" w:sz="2" w:space="0" w:color="000000"/>
              <w:bottom w:val="single" w:sz="2" w:space="0" w:color="000000"/>
              <w:right w:val="nil" w:sz="6" w:space="0" w:color="auto"/>
            </w:tcBorders>
          </w:tcPr>
          <w:p>
            <w:pPr/>
          </w:p>
        </w:tc>
      </w:tr>
      <w:tr>
        <w:trPr>
          <w:trHeight w:val="499" w:hRule="exact"/>
        </w:trPr>
        <w:tc>
          <w:tcPr>
            <w:tcW w:w="466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2038" w:type="dxa"/>
            <w:tcBorders>
              <w:top w:val="single" w:sz="2" w:space="0" w:color="000000"/>
              <w:left w:val="single" w:sz="2" w:space="0" w:color="000000"/>
              <w:bottom w:val="single" w:sz="12" w:space="0" w:color="000000"/>
              <w:right w:val="single" w:sz="2" w:space="0" w:color="000000"/>
            </w:tcBorders>
          </w:tcPr>
          <w:p>
            <w:pPr/>
          </w:p>
        </w:tc>
        <w:tc>
          <w:tcPr>
            <w:tcW w:w="2040"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580" w:type="dxa"/>
        <w:tblLayout w:type="fixed"/>
        <w:tblCellMar>
          <w:top w:w="0" w:type="dxa"/>
          <w:left w:w="0" w:type="dxa"/>
          <w:bottom w:w="0" w:type="dxa"/>
          <w:right w:w="0" w:type="dxa"/>
        </w:tblCellMar>
        <w:tblLook w:val="01E0"/>
      </w:tblPr>
      <w:tblGrid>
        <w:gridCol w:w="4661"/>
        <w:gridCol w:w="2038"/>
        <w:gridCol w:w="2040"/>
      </w:tblGrid>
      <w:tr>
        <w:trPr>
          <w:trHeight w:val="500" w:hRule="exact"/>
        </w:trPr>
        <w:tc>
          <w:tcPr>
            <w:tcW w:w="466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2"/>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3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left="657"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204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left="660"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485" w:hRule="exact"/>
        </w:trPr>
        <w:tc>
          <w:tcPr>
            <w:tcW w:w="46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年末现金和现金等价物余额</w:t>
            </w:r>
          </w:p>
        </w:tc>
        <w:tc>
          <w:tcPr>
            <w:tcW w:w="20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42" w:right="0"/>
              <w:jc w:val="left"/>
              <w:rPr>
                <w:rFonts w:ascii="Arial" w:hAnsi="Arial" w:cs="Arial" w:eastAsia="Arial" w:hint="default"/>
                <w:sz w:val="18"/>
                <w:szCs w:val="18"/>
              </w:rPr>
            </w:pPr>
            <w:r>
              <w:rPr>
                <w:rFonts w:ascii="Arial"/>
                <w:sz w:val="18"/>
              </w:rPr>
              <w:t>1,315,078,811.47</w:t>
            </w:r>
          </w:p>
        </w:tc>
        <w:tc>
          <w:tcPr>
            <w:tcW w:w="20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682" w:right="0"/>
              <w:jc w:val="left"/>
              <w:rPr>
                <w:rFonts w:ascii="Arial" w:hAnsi="Arial" w:cs="Arial" w:eastAsia="Arial" w:hint="default"/>
                <w:sz w:val="18"/>
                <w:szCs w:val="18"/>
              </w:rPr>
            </w:pPr>
            <w:r>
              <w:rPr>
                <w:rFonts w:ascii="Arial"/>
                <w:sz w:val="18"/>
              </w:rPr>
              <w:t>969,152,090.33</w:t>
            </w:r>
          </w:p>
        </w:tc>
      </w:tr>
      <w:tr>
        <w:trPr>
          <w:trHeight w:val="898" w:hRule="exact"/>
        </w:trPr>
        <w:tc>
          <w:tcPr>
            <w:tcW w:w="4661" w:type="dxa"/>
            <w:tcBorders>
              <w:top w:val="single" w:sz="2" w:space="0" w:color="000000"/>
              <w:left w:val="nil" w:sz="6" w:space="0" w:color="auto"/>
              <w:bottom w:val="single" w:sz="12" w:space="0" w:color="000000"/>
              <w:right w:val="single" w:sz="2" w:space="0" w:color="000000"/>
            </w:tcBorders>
          </w:tcPr>
          <w:p>
            <w:pPr>
              <w:pStyle w:val="TableParagraph"/>
              <w:spacing w:line="405" w:lineRule="auto" w:before="149"/>
              <w:ind w:left="124" w:right="104"/>
              <w:jc w:val="left"/>
              <w:rPr>
                <w:rFonts w:ascii="宋体" w:hAnsi="宋体" w:cs="宋体" w:eastAsia="宋体" w:hint="default"/>
                <w:sz w:val="18"/>
                <w:szCs w:val="18"/>
              </w:rPr>
            </w:pPr>
            <w:r>
              <w:rPr>
                <w:rFonts w:ascii="宋体" w:hAnsi="宋体" w:cs="宋体" w:eastAsia="宋体" w:hint="default"/>
                <w:spacing w:val="-3"/>
                <w:sz w:val="18"/>
                <w:szCs w:val="18"/>
              </w:rPr>
              <w:t>其中：母公司或集团内子公司使用受限制的现金和现金等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价物</w:t>
            </w:r>
          </w:p>
        </w:tc>
        <w:tc>
          <w:tcPr>
            <w:tcW w:w="2038" w:type="dxa"/>
            <w:tcBorders>
              <w:top w:val="single" w:sz="2" w:space="0" w:color="000000"/>
              <w:left w:val="single" w:sz="2" w:space="0" w:color="000000"/>
              <w:bottom w:val="single" w:sz="12" w:space="0" w:color="000000"/>
              <w:right w:val="single" w:sz="2" w:space="0" w:color="000000"/>
            </w:tcBorders>
          </w:tcPr>
          <w:p>
            <w:pPr/>
          </w:p>
        </w:tc>
        <w:tc>
          <w:tcPr>
            <w:tcW w:w="2040" w:type="dxa"/>
            <w:tcBorders>
              <w:top w:val="single" w:sz="2" w:space="0" w:color="000000"/>
              <w:left w:val="single" w:sz="2" w:space="0" w:color="000000"/>
              <w:bottom w:val="single" w:sz="12" w:space="0" w:color="000000"/>
              <w:right w:val="nil" w:sz="6" w:space="0" w:color="auto"/>
            </w:tcBorders>
          </w:tcPr>
          <w:p>
            <w:pPr/>
          </w:p>
        </w:tc>
      </w:tr>
    </w:tbl>
    <w:p>
      <w:pPr>
        <w:pStyle w:val="Heading4"/>
        <w:tabs>
          <w:tab w:pos="1413" w:val="left" w:leader="none"/>
        </w:tabs>
        <w:spacing w:line="240" w:lineRule="auto"/>
        <w:ind w:right="1133"/>
        <w:jc w:val="left"/>
        <w:rPr>
          <w:b w:val="0"/>
          <w:bCs w:val="0"/>
        </w:rPr>
      </w:pPr>
      <w:r>
        <w:rPr>
          <w:rFonts w:ascii="Arial" w:hAnsi="Arial" w:cs="Arial" w:eastAsia="Arial" w:hint="default"/>
          <w:spacing w:val="-1"/>
        </w:rPr>
        <w:t>44</w:t>
      </w:r>
      <w:r>
        <w:rPr>
          <w:spacing w:val="-1"/>
        </w:rPr>
        <w:t>、</w:t>
        <w:tab/>
      </w:r>
      <w:r>
        <w:rPr/>
        <w:t>所有权或使用权受到限制的资产</w:t>
      </w:r>
      <w:r>
        <w:rPr>
          <w:b w:val="0"/>
          <w:bCs w:val="0"/>
        </w:rPr>
      </w:r>
    </w:p>
    <w:p>
      <w:pPr>
        <w:spacing w:line="240" w:lineRule="auto" w:before="9"/>
        <w:rPr>
          <w:rFonts w:ascii="宋体" w:hAnsi="宋体" w:cs="宋体" w:eastAsia="宋体" w:hint="default"/>
          <w:b/>
          <w:bCs/>
          <w:sz w:val="2"/>
          <w:szCs w:val="2"/>
        </w:rPr>
      </w:pPr>
    </w:p>
    <w:tbl>
      <w:tblPr>
        <w:tblW w:w="0" w:type="auto"/>
        <w:jc w:val="left"/>
        <w:tblInd w:w="580" w:type="dxa"/>
        <w:tblLayout w:type="fixed"/>
        <w:tblCellMar>
          <w:top w:w="0" w:type="dxa"/>
          <w:left w:w="0" w:type="dxa"/>
          <w:bottom w:w="0" w:type="dxa"/>
          <w:right w:w="0" w:type="dxa"/>
        </w:tblCellMar>
        <w:tblLook w:val="01E0"/>
      </w:tblPr>
      <w:tblGrid>
        <w:gridCol w:w="2249"/>
        <w:gridCol w:w="1985"/>
        <w:gridCol w:w="4506"/>
      </w:tblGrid>
      <w:tr>
        <w:trPr>
          <w:trHeight w:val="497" w:hRule="exact"/>
        </w:trPr>
        <w:tc>
          <w:tcPr>
            <w:tcW w:w="224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49"/>
              <w:ind w:right="932"/>
              <w:jc w:val="right"/>
              <w:rPr>
                <w:rFonts w:ascii="宋体" w:hAnsi="宋体" w:cs="宋体" w:eastAsia="宋体" w:hint="default"/>
                <w:sz w:val="18"/>
                <w:szCs w:val="18"/>
              </w:rPr>
            </w:pPr>
            <w:r>
              <w:rPr>
                <w:rFonts w:ascii="宋体" w:hAnsi="宋体" w:cs="宋体" w:eastAsia="宋体" w:hint="default"/>
                <w:sz w:val="18"/>
                <w:szCs w:val="18"/>
              </w:rPr>
              <w:t>项目</w:t>
            </w:r>
          </w:p>
        </w:tc>
        <w:tc>
          <w:tcPr>
            <w:tcW w:w="198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9"/>
              <w:ind w:left="451" w:right="0"/>
              <w:jc w:val="left"/>
              <w:rPr>
                <w:rFonts w:ascii="宋体" w:hAnsi="宋体" w:cs="宋体" w:eastAsia="宋体" w:hint="default"/>
                <w:sz w:val="18"/>
                <w:szCs w:val="18"/>
              </w:rPr>
            </w:pPr>
            <w:r>
              <w:rPr>
                <w:rFonts w:ascii="宋体" w:hAnsi="宋体" w:cs="宋体" w:eastAsia="宋体" w:hint="default"/>
                <w:sz w:val="18"/>
                <w:szCs w:val="18"/>
              </w:rPr>
              <w:t>年末账面价值</w:t>
            </w:r>
          </w:p>
        </w:tc>
        <w:tc>
          <w:tcPr>
            <w:tcW w:w="450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85" w:hRule="exact"/>
        </w:trPr>
        <w:tc>
          <w:tcPr>
            <w:tcW w:w="22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32,303,208.84</w:t>
            </w:r>
          </w:p>
        </w:tc>
        <w:tc>
          <w:tcPr>
            <w:tcW w:w="45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left="108" w:right="0"/>
              <w:jc w:val="left"/>
              <w:rPr>
                <w:rFonts w:ascii="宋体" w:hAnsi="宋体" w:cs="宋体" w:eastAsia="宋体" w:hint="default"/>
                <w:sz w:val="18"/>
                <w:szCs w:val="18"/>
              </w:rPr>
            </w:pPr>
            <w:r>
              <w:rPr>
                <w:rFonts w:ascii="宋体" w:hAnsi="宋体" w:cs="宋体" w:eastAsia="宋体" w:hint="default"/>
                <w:sz w:val="18"/>
                <w:szCs w:val="18"/>
              </w:rPr>
              <w:t>银行保函、履约保证金以及银行承兑汇票保证金</w:t>
            </w:r>
          </w:p>
        </w:tc>
      </w:tr>
      <w:tr>
        <w:trPr>
          <w:trHeight w:val="500" w:hRule="exact"/>
        </w:trPr>
        <w:tc>
          <w:tcPr>
            <w:tcW w:w="224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50"/>
              <w:ind w:right="932"/>
              <w:jc w:val="right"/>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32,303,208.84</w:t>
            </w:r>
          </w:p>
        </w:tc>
        <w:tc>
          <w:tcPr>
            <w:tcW w:w="450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2" w:right="0"/>
              <w:jc w:val="center"/>
              <w:rPr>
                <w:rFonts w:ascii="Arial" w:hAnsi="Arial" w:cs="Arial" w:eastAsia="Arial" w:hint="default"/>
                <w:sz w:val="18"/>
                <w:szCs w:val="18"/>
              </w:rPr>
            </w:pPr>
            <w:r>
              <w:rPr>
                <w:rFonts w:ascii="Arial" w:hAnsi="Arial" w:cs="Arial" w:eastAsia="Arial" w:hint="default"/>
                <w:sz w:val="18"/>
                <w:szCs w:val="18"/>
              </w:rPr>
              <w:t>—</w:t>
            </w:r>
          </w:p>
        </w:tc>
      </w:tr>
    </w:tbl>
    <w:p>
      <w:pPr>
        <w:tabs>
          <w:tab w:pos="1413" w:val="left" w:leader="none"/>
        </w:tabs>
        <w:spacing w:line="348" w:lineRule="auto" w:before="62"/>
        <w:ind w:left="592" w:right="8570" w:firstLine="2"/>
        <w:jc w:val="left"/>
        <w:rPr>
          <w:rFonts w:ascii="宋体" w:hAnsi="宋体" w:cs="宋体" w:eastAsia="宋体" w:hint="default"/>
          <w:sz w:val="22"/>
          <w:szCs w:val="22"/>
        </w:rPr>
      </w:pPr>
      <w:r>
        <w:rPr>
          <w:rFonts w:ascii="Arial" w:hAnsi="Arial" w:cs="Arial" w:eastAsia="Arial" w:hint="default"/>
          <w:b/>
          <w:bCs/>
          <w:spacing w:val="-1"/>
          <w:sz w:val="22"/>
          <w:szCs w:val="22"/>
        </w:rPr>
        <w:t>45</w:t>
      </w:r>
      <w:r>
        <w:rPr>
          <w:rFonts w:ascii="宋体" w:hAnsi="宋体" w:cs="宋体" w:eastAsia="宋体" w:hint="default"/>
          <w:b/>
          <w:bCs/>
          <w:spacing w:val="-1"/>
          <w:sz w:val="22"/>
          <w:szCs w:val="22"/>
        </w:rPr>
        <w:t>、</w:t>
        <w:tab/>
      </w:r>
      <w:r>
        <w:rPr>
          <w:rFonts w:ascii="宋体" w:hAnsi="宋体" w:cs="宋体" w:eastAsia="宋体" w:hint="default"/>
          <w:b/>
          <w:bCs/>
          <w:sz w:val="22"/>
          <w:szCs w:val="22"/>
        </w:rPr>
        <w:t>政府补助</w:t>
      </w:r>
      <w:r>
        <w:rPr>
          <w:rFonts w:ascii="宋体" w:hAnsi="宋体" w:cs="宋体" w:eastAsia="宋体" w:hint="default"/>
          <w:b/>
          <w:bCs/>
          <w:w w:val="99"/>
          <w:sz w:val="22"/>
          <w:szCs w:val="22"/>
        </w:rPr>
        <w:t> </w:t>
      </w:r>
      <w:r>
        <w:rPr>
          <w:rFonts w:ascii="宋体" w:hAnsi="宋体" w:cs="宋体" w:eastAsia="宋体" w:hint="default"/>
          <w:spacing w:val="-1"/>
          <w:sz w:val="22"/>
          <w:szCs w:val="22"/>
        </w:rPr>
        <w:t>政府补助基本情况</w:t>
      </w:r>
    </w:p>
    <w:tbl>
      <w:tblPr>
        <w:tblW w:w="0" w:type="auto"/>
        <w:jc w:val="left"/>
        <w:tblInd w:w="546" w:type="dxa"/>
        <w:tblLayout w:type="fixed"/>
        <w:tblCellMar>
          <w:top w:w="0" w:type="dxa"/>
          <w:left w:w="0" w:type="dxa"/>
          <w:bottom w:w="0" w:type="dxa"/>
          <w:right w:w="0" w:type="dxa"/>
        </w:tblCellMar>
        <w:tblLook w:val="01E0"/>
      </w:tblPr>
      <w:tblGrid>
        <w:gridCol w:w="3951"/>
        <w:gridCol w:w="1416"/>
        <w:gridCol w:w="1349"/>
        <w:gridCol w:w="2093"/>
      </w:tblGrid>
      <w:tr>
        <w:trPr>
          <w:trHeight w:val="499" w:hRule="exact"/>
        </w:trPr>
        <w:tc>
          <w:tcPr>
            <w:tcW w:w="395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42"/>
              <w:ind w:left="16"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4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4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09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42"/>
              <w:ind w:left="232"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85" w:hRule="exact"/>
        </w:trPr>
        <w:tc>
          <w:tcPr>
            <w:tcW w:w="39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0"/>
              <w:ind w:left="122" w:right="0"/>
              <w:jc w:val="left"/>
              <w:rPr>
                <w:rFonts w:ascii="宋体" w:hAnsi="宋体" w:cs="宋体" w:eastAsia="宋体" w:hint="default"/>
                <w:sz w:val="18"/>
                <w:szCs w:val="18"/>
              </w:rPr>
            </w:pPr>
            <w:r>
              <w:rPr>
                <w:rFonts w:ascii="宋体" w:hAnsi="宋体" w:cs="宋体" w:eastAsia="宋体" w:hint="default"/>
                <w:sz w:val="18"/>
                <w:szCs w:val="18"/>
              </w:rPr>
              <w:t>政府补贴收入</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12,215,549.98</w:t>
            </w:r>
          </w:p>
        </w:tc>
        <w:tc>
          <w:tcPr>
            <w:tcW w:w="13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0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12,215,549.98</w:t>
            </w:r>
          </w:p>
        </w:tc>
      </w:tr>
      <w:tr>
        <w:trPr>
          <w:trHeight w:val="886" w:hRule="exact"/>
        </w:trPr>
        <w:tc>
          <w:tcPr>
            <w:tcW w:w="3951" w:type="dxa"/>
            <w:tcBorders>
              <w:top w:val="single" w:sz="2" w:space="0" w:color="000000"/>
              <w:left w:val="nil" w:sz="6" w:space="0" w:color="auto"/>
              <w:bottom w:val="single" w:sz="2" w:space="0" w:color="000000"/>
              <w:right w:val="single" w:sz="2" w:space="0" w:color="000000"/>
            </w:tcBorders>
          </w:tcPr>
          <w:p>
            <w:pPr>
              <w:pStyle w:val="TableParagraph"/>
              <w:spacing w:line="405" w:lineRule="auto" w:before="140"/>
              <w:ind w:left="122" w:right="104"/>
              <w:jc w:val="left"/>
              <w:rPr>
                <w:rFonts w:ascii="宋体" w:hAnsi="宋体" w:cs="宋体" w:eastAsia="宋体" w:hint="default"/>
                <w:sz w:val="18"/>
                <w:szCs w:val="18"/>
              </w:rPr>
            </w:pPr>
            <w:r>
              <w:rPr>
                <w:rFonts w:ascii="宋体" w:hAnsi="宋体" w:cs="宋体" w:eastAsia="宋体" w:hint="default"/>
                <w:spacing w:val="-3"/>
                <w:sz w:val="18"/>
                <w:szCs w:val="18"/>
              </w:rPr>
              <w:t>浦东新区“十二五”财税贡献增量财政扶持资金</w:t>
            </w:r>
            <w:r>
              <w:rPr>
                <w:rFonts w:ascii="宋体" w:hAnsi="宋体" w:cs="宋体" w:eastAsia="宋体" w:hint="default"/>
                <w:sz w:val="18"/>
                <w:szCs w:val="18"/>
              </w:rPr>
              <w:t> 补贴</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03"/>
              <w:jc w:val="right"/>
              <w:rPr>
                <w:rFonts w:ascii="Arial" w:hAnsi="Arial" w:cs="Arial" w:eastAsia="Arial" w:hint="default"/>
                <w:sz w:val="18"/>
                <w:szCs w:val="18"/>
              </w:rPr>
            </w:pPr>
            <w:r>
              <w:rPr>
                <w:rFonts w:ascii="Arial"/>
                <w:spacing w:val="-1"/>
                <w:sz w:val="18"/>
              </w:rPr>
              <w:t>2,939,000.00</w:t>
            </w:r>
          </w:p>
        </w:tc>
        <w:tc>
          <w:tcPr>
            <w:tcW w:w="13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2093"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05"/>
              <w:jc w:val="right"/>
              <w:rPr>
                <w:rFonts w:ascii="Arial" w:hAnsi="Arial" w:cs="Arial" w:eastAsia="Arial" w:hint="default"/>
                <w:sz w:val="18"/>
                <w:szCs w:val="18"/>
              </w:rPr>
            </w:pPr>
            <w:r>
              <w:rPr>
                <w:rFonts w:ascii="Arial"/>
                <w:spacing w:val="-1"/>
                <w:sz w:val="18"/>
              </w:rPr>
              <w:t>2,939,000.00</w:t>
            </w:r>
          </w:p>
        </w:tc>
      </w:tr>
      <w:tr>
        <w:trPr>
          <w:trHeight w:val="485" w:hRule="exact"/>
        </w:trPr>
        <w:tc>
          <w:tcPr>
            <w:tcW w:w="39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0"/>
              <w:ind w:left="1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105,184.59</w:t>
            </w:r>
          </w:p>
        </w:tc>
        <w:tc>
          <w:tcPr>
            <w:tcW w:w="13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20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7"/>
              <w:jc w:val="right"/>
              <w:rPr>
                <w:rFonts w:ascii="Arial" w:hAnsi="Arial" w:cs="Arial" w:eastAsia="Arial" w:hint="default"/>
                <w:sz w:val="18"/>
                <w:szCs w:val="18"/>
              </w:rPr>
            </w:pPr>
            <w:r>
              <w:rPr>
                <w:rFonts w:ascii="Arial"/>
                <w:spacing w:val="-1"/>
                <w:sz w:val="18"/>
              </w:rPr>
              <w:t>105,184.59</w:t>
            </w:r>
          </w:p>
        </w:tc>
      </w:tr>
      <w:tr>
        <w:trPr>
          <w:trHeight w:val="886" w:hRule="exact"/>
        </w:trPr>
        <w:tc>
          <w:tcPr>
            <w:tcW w:w="3951" w:type="dxa"/>
            <w:tcBorders>
              <w:top w:val="single" w:sz="2" w:space="0" w:color="000000"/>
              <w:left w:val="nil" w:sz="6" w:space="0" w:color="auto"/>
              <w:bottom w:val="single" w:sz="2" w:space="0" w:color="000000"/>
              <w:right w:val="single" w:sz="2" w:space="0" w:color="000000"/>
            </w:tcBorders>
          </w:tcPr>
          <w:p>
            <w:pPr>
              <w:pStyle w:val="TableParagraph"/>
              <w:spacing w:line="405" w:lineRule="auto" w:before="140"/>
              <w:ind w:left="122" w:right="104"/>
              <w:jc w:val="left"/>
              <w:rPr>
                <w:rFonts w:ascii="宋体" w:hAnsi="宋体" w:cs="宋体" w:eastAsia="宋体" w:hint="default"/>
                <w:sz w:val="18"/>
                <w:szCs w:val="18"/>
              </w:rPr>
            </w:pPr>
            <w:r>
              <w:rPr>
                <w:rFonts w:ascii="宋体" w:hAnsi="宋体" w:cs="宋体" w:eastAsia="宋体" w:hint="default"/>
                <w:spacing w:val="-3"/>
                <w:sz w:val="18"/>
                <w:szCs w:val="18"/>
              </w:rPr>
              <w:t>研发中心综合楼（技术中心与集团数据中心）项</w:t>
            </w:r>
            <w:r>
              <w:rPr>
                <w:rFonts w:ascii="宋体" w:hAnsi="宋体" w:cs="宋体" w:eastAsia="宋体" w:hint="default"/>
                <w:sz w:val="18"/>
                <w:szCs w:val="18"/>
              </w:rPr>
              <w:t> 目</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03"/>
              <w:jc w:val="right"/>
              <w:rPr>
                <w:rFonts w:ascii="Arial" w:hAnsi="Arial" w:cs="Arial" w:eastAsia="Arial" w:hint="default"/>
                <w:sz w:val="18"/>
                <w:szCs w:val="18"/>
              </w:rPr>
            </w:pPr>
            <w:r>
              <w:rPr>
                <w:rFonts w:ascii="Arial"/>
                <w:spacing w:val="-1"/>
                <w:sz w:val="18"/>
              </w:rPr>
              <w:t>6,830,000.00</w:t>
            </w:r>
          </w:p>
        </w:tc>
        <w:tc>
          <w:tcPr>
            <w:tcW w:w="13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2093"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39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第一批信息化专项拨款</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Arial" w:hAnsi="Arial" w:cs="Arial" w:eastAsia="Arial" w:hint="default"/>
                <w:sz w:val="18"/>
                <w:szCs w:val="18"/>
              </w:rPr>
            </w:pPr>
            <w:r>
              <w:rPr>
                <w:rFonts w:ascii="Arial"/>
                <w:spacing w:val="-1"/>
                <w:sz w:val="18"/>
              </w:rPr>
              <w:t>300,000.00</w:t>
            </w:r>
          </w:p>
        </w:tc>
        <w:tc>
          <w:tcPr>
            <w:tcW w:w="13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2093" w:type="dxa"/>
            <w:tcBorders>
              <w:top w:val="single" w:sz="2" w:space="0" w:color="000000"/>
              <w:left w:val="single" w:sz="2" w:space="0" w:color="000000"/>
              <w:bottom w:val="single" w:sz="2" w:space="0" w:color="000000"/>
              <w:right w:val="nil" w:sz="6" w:space="0" w:color="auto"/>
            </w:tcBorders>
          </w:tcPr>
          <w:p>
            <w:pPr/>
          </w:p>
        </w:tc>
      </w:tr>
      <w:tr>
        <w:trPr>
          <w:trHeight w:val="497" w:hRule="exact"/>
        </w:trPr>
        <w:tc>
          <w:tcPr>
            <w:tcW w:w="395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第三批信息化专项拨款</w:t>
            </w: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Arial" w:hAnsi="Arial" w:cs="Arial" w:eastAsia="Arial" w:hint="default"/>
                <w:sz w:val="18"/>
                <w:szCs w:val="18"/>
              </w:rPr>
            </w:pPr>
            <w:r>
              <w:rPr>
                <w:rFonts w:ascii="Arial"/>
                <w:spacing w:val="-1"/>
                <w:sz w:val="18"/>
              </w:rPr>
              <w:t>845,000.00</w:t>
            </w:r>
          </w:p>
        </w:tc>
        <w:tc>
          <w:tcPr>
            <w:tcW w:w="134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2093" w:type="dxa"/>
            <w:tcBorders>
              <w:top w:val="single" w:sz="2" w:space="0" w:color="000000"/>
              <w:left w:val="single" w:sz="2" w:space="0" w:color="000000"/>
              <w:bottom w:val="single" w:sz="12" w:space="0" w:color="000000"/>
              <w:right w:val="nil" w:sz="6" w:space="0" w:color="auto"/>
            </w:tcBorders>
          </w:tcPr>
          <w:p>
            <w:pPr/>
          </w:p>
        </w:tc>
      </w:tr>
    </w:tbl>
    <w:p>
      <w:pPr>
        <w:spacing w:line="240" w:lineRule="auto" w:before="4"/>
        <w:rPr>
          <w:rFonts w:ascii="宋体" w:hAnsi="宋体" w:cs="宋体" w:eastAsia="宋体" w:hint="default"/>
          <w:sz w:val="17"/>
          <w:szCs w:val="17"/>
        </w:rPr>
      </w:pPr>
    </w:p>
    <w:p>
      <w:pPr>
        <w:pStyle w:val="Heading3"/>
        <w:spacing w:line="240" w:lineRule="auto" w:before="26"/>
        <w:ind w:right="1133"/>
        <w:jc w:val="left"/>
        <w:rPr>
          <w:b w:val="0"/>
          <w:bCs w:val="0"/>
        </w:rPr>
      </w:pPr>
      <w:r>
        <w:rPr/>
        <w:t>九、合并范围的变化</w:t>
      </w:r>
      <w:r>
        <w:rPr>
          <w:b w:val="0"/>
          <w:bCs w:val="0"/>
        </w:rPr>
      </w:r>
    </w:p>
    <w:p>
      <w:pPr>
        <w:spacing w:line="240" w:lineRule="auto" w:before="9"/>
        <w:rPr>
          <w:rFonts w:ascii="宋体" w:hAnsi="宋体" w:cs="宋体" w:eastAsia="宋体" w:hint="default"/>
          <w:b/>
          <w:bCs/>
          <w:sz w:val="30"/>
          <w:szCs w:val="30"/>
        </w:rPr>
      </w:pPr>
    </w:p>
    <w:p>
      <w:pPr>
        <w:pStyle w:val="BodyText"/>
        <w:spacing w:line="240" w:lineRule="auto"/>
        <w:ind w:left="592" w:right="1133"/>
        <w:jc w:val="left"/>
      </w:pPr>
      <w:r>
        <w:rPr/>
        <w:t>报告期本公司合并范围未发生变化。</w:t>
      </w:r>
    </w:p>
    <w:p>
      <w:pPr>
        <w:spacing w:line="240" w:lineRule="auto" w:before="9"/>
        <w:rPr>
          <w:rFonts w:ascii="宋体" w:hAnsi="宋体" w:cs="宋体" w:eastAsia="宋体" w:hint="default"/>
          <w:sz w:val="23"/>
          <w:szCs w:val="23"/>
        </w:rPr>
      </w:pPr>
    </w:p>
    <w:p>
      <w:pPr>
        <w:pStyle w:val="Heading3"/>
        <w:spacing w:line="240" w:lineRule="auto"/>
        <w:ind w:right="1133"/>
        <w:jc w:val="left"/>
        <w:rPr>
          <w:b w:val="0"/>
          <w:bCs w:val="0"/>
        </w:rPr>
      </w:pPr>
      <w:r>
        <w:rPr/>
        <w:t>十、在其他主体中的权益</w:t>
      </w:r>
      <w:r>
        <w:rPr>
          <w:b w:val="0"/>
          <w:bCs w:val="0"/>
        </w:rPr>
      </w:r>
    </w:p>
    <w:p>
      <w:pPr>
        <w:spacing w:line="240" w:lineRule="auto" w:before="8"/>
        <w:rPr>
          <w:rFonts w:ascii="宋体" w:hAnsi="宋体" w:cs="宋体" w:eastAsia="宋体" w:hint="default"/>
          <w:b/>
          <w:bCs/>
          <w:sz w:val="30"/>
          <w:szCs w:val="30"/>
        </w:rPr>
      </w:pPr>
    </w:p>
    <w:p>
      <w:pPr>
        <w:pStyle w:val="Heading4"/>
        <w:spacing w:line="240" w:lineRule="auto" w:before="0"/>
        <w:ind w:left="647" w:right="1133"/>
        <w:jc w:val="left"/>
        <w:rPr>
          <w:b w:val="0"/>
          <w:bCs w:val="0"/>
        </w:rPr>
      </w:pPr>
      <w:r>
        <w:rPr>
          <w:rFonts w:ascii="Arial" w:hAnsi="Arial" w:cs="Arial" w:eastAsia="Arial" w:hint="default"/>
        </w:rPr>
        <w:t>1</w:t>
      </w:r>
      <w:r>
        <w:rPr/>
        <w:t>、在子公司中的权益</w:t>
      </w:r>
      <w:r>
        <w:rPr>
          <w:b w:val="0"/>
          <w:bCs w:val="0"/>
        </w:rPr>
      </w:r>
    </w:p>
    <w:p>
      <w:pPr>
        <w:pStyle w:val="BodyText"/>
        <w:spacing w:line="240" w:lineRule="auto" w:before="138"/>
        <w:ind w:left="592" w:right="1133"/>
        <w:jc w:val="left"/>
      </w:pPr>
      <w:r>
        <w:rPr/>
        <w:t>（</w:t>
      </w:r>
      <w:r>
        <w:rPr>
          <w:rFonts w:ascii="Arial" w:hAnsi="Arial" w:cs="Arial" w:eastAsia="Arial" w:hint="default"/>
        </w:rPr>
        <w:t>1</w:t>
      </w:r>
      <w:r>
        <w:rPr/>
        <w:t>）企业集团的构成</w:t>
      </w:r>
    </w:p>
    <w:p>
      <w:pPr>
        <w:spacing w:line="240" w:lineRule="auto" w:before="8"/>
        <w:rPr>
          <w:rFonts w:ascii="宋体" w:hAnsi="宋体" w:cs="宋体" w:eastAsia="宋体" w:hint="default"/>
          <w:sz w:val="5"/>
          <w:szCs w:val="5"/>
        </w:rPr>
      </w:pPr>
    </w:p>
    <w:tbl>
      <w:tblPr>
        <w:tblW w:w="0" w:type="auto"/>
        <w:jc w:val="left"/>
        <w:tblInd w:w="580" w:type="dxa"/>
        <w:tblLayout w:type="fixed"/>
        <w:tblCellMar>
          <w:top w:w="0" w:type="dxa"/>
          <w:left w:w="0" w:type="dxa"/>
          <w:bottom w:w="0" w:type="dxa"/>
          <w:right w:w="0" w:type="dxa"/>
        </w:tblCellMar>
        <w:tblLook w:val="01E0"/>
      </w:tblPr>
      <w:tblGrid>
        <w:gridCol w:w="2816"/>
        <w:gridCol w:w="979"/>
        <w:gridCol w:w="866"/>
        <w:gridCol w:w="1275"/>
        <w:gridCol w:w="852"/>
        <w:gridCol w:w="709"/>
        <w:gridCol w:w="1243"/>
      </w:tblGrid>
      <w:tr>
        <w:trPr>
          <w:trHeight w:val="497" w:hRule="exact"/>
        </w:trPr>
        <w:tc>
          <w:tcPr>
            <w:tcW w:w="2816"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16"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979" w:type="dxa"/>
            <w:vMerge w:val="restart"/>
            <w:tcBorders>
              <w:top w:val="single" w:sz="12" w:space="0" w:color="000000"/>
              <w:left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405" w:lineRule="auto"/>
              <w:ind w:left="398" w:right="125" w:hanging="272"/>
              <w:jc w:val="left"/>
              <w:rPr>
                <w:rFonts w:ascii="宋体" w:hAnsi="宋体" w:cs="宋体" w:eastAsia="宋体" w:hint="default"/>
                <w:sz w:val="18"/>
                <w:szCs w:val="18"/>
              </w:rPr>
            </w:pPr>
            <w:r>
              <w:rPr>
                <w:rFonts w:ascii="宋体" w:hAnsi="宋体" w:cs="宋体" w:eastAsia="宋体" w:hint="default"/>
                <w:sz w:val="18"/>
                <w:szCs w:val="18"/>
              </w:rPr>
              <w:t>主要经营 地</w:t>
            </w:r>
          </w:p>
        </w:tc>
        <w:tc>
          <w:tcPr>
            <w:tcW w:w="866"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16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275"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27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61"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9"/>
              <w:ind w:left="278" w:right="0"/>
              <w:jc w:val="left"/>
              <w:rPr>
                <w:rFonts w:ascii="Arial" w:hAnsi="Arial" w:cs="Arial" w:eastAsia="Arial" w:hint="default"/>
                <w:sz w:val="18"/>
                <w:szCs w:val="18"/>
              </w:rPr>
            </w:pPr>
            <w:r>
              <w:rPr>
                <w:rFonts w:ascii="宋体" w:hAnsi="宋体" w:cs="宋体" w:eastAsia="宋体" w:hint="default"/>
                <w:sz w:val="18"/>
                <w:szCs w:val="18"/>
              </w:rPr>
              <w:t>持股比例</w:t>
            </w:r>
            <w:r>
              <w:rPr>
                <w:rFonts w:ascii="Arial" w:hAnsi="Arial" w:cs="Arial" w:eastAsia="Arial" w:hint="default"/>
                <w:sz w:val="18"/>
                <w:szCs w:val="18"/>
              </w:rPr>
              <w:t>(%)</w:t>
            </w:r>
          </w:p>
        </w:tc>
        <w:tc>
          <w:tcPr>
            <w:tcW w:w="1243" w:type="dxa"/>
            <w:vMerge w:val="restart"/>
            <w:tcBorders>
              <w:top w:val="single" w:sz="1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25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85" w:hRule="exact"/>
        </w:trPr>
        <w:tc>
          <w:tcPr>
            <w:tcW w:w="2816" w:type="dxa"/>
            <w:vMerge/>
            <w:tcBorders>
              <w:left w:val="nil" w:sz="6" w:space="0" w:color="auto"/>
              <w:bottom w:val="single" w:sz="2" w:space="0" w:color="000000"/>
              <w:right w:val="single" w:sz="2" w:space="0" w:color="000000"/>
            </w:tcBorders>
          </w:tcPr>
          <w:p>
            <w:pPr/>
          </w:p>
        </w:tc>
        <w:tc>
          <w:tcPr>
            <w:tcW w:w="979" w:type="dxa"/>
            <w:vMerge/>
            <w:tcBorders>
              <w:left w:val="single" w:sz="2" w:space="0" w:color="000000"/>
              <w:bottom w:val="single" w:sz="2" w:space="0" w:color="000000"/>
              <w:right w:val="single" w:sz="2" w:space="0" w:color="000000"/>
            </w:tcBorders>
          </w:tcPr>
          <w:p>
            <w:pPr/>
          </w:p>
        </w:tc>
        <w:tc>
          <w:tcPr>
            <w:tcW w:w="866" w:type="dxa"/>
            <w:vMerge/>
            <w:tcBorders>
              <w:left w:val="single" w:sz="2" w:space="0" w:color="000000"/>
              <w:bottom w:val="single" w:sz="2" w:space="0" w:color="000000"/>
              <w:right w:val="single" w:sz="2" w:space="0" w:color="000000"/>
            </w:tcBorders>
          </w:tcPr>
          <w:p>
            <w:pPr/>
          </w:p>
        </w:tc>
        <w:tc>
          <w:tcPr>
            <w:tcW w:w="1275" w:type="dxa"/>
            <w:vMerge/>
            <w:tcBorders>
              <w:left w:val="single" w:sz="2" w:space="0" w:color="000000"/>
              <w:bottom w:val="single" w:sz="2" w:space="0" w:color="000000"/>
              <w:right w:val="single" w:sz="2" w:space="0" w:color="000000"/>
            </w:tcBorders>
          </w:tcPr>
          <w:p>
            <w:pP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244"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170"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243" w:type="dxa"/>
            <w:vMerge/>
            <w:tcBorders>
              <w:left w:val="single" w:sz="2" w:space="0" w:color="000000"/>
              <w:bottom w:val="single" w:sz="2" w:space="0" w:color="000000"/>
              <w:right w:val="nil" w:sz="6" w:space="0" w:color="auto"/>
            </w:tcBorders>
          </w:tcPr>
          <w:p>
            <w:pPr/>
          </w:p>
        </w:tc>
      </w:tr>
      <w:tr>
        <w:trPr>
          <w:trHeight w:val="723" w:hRule="exact"/>
        </w:trPr>
        <w:tc>
          <w:tcPr>
            <w:tcW w:w="281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贵州新思维科技有限责任公司</w:t>
            </w:r>
          </w:p>
        </w:tc>
        <w:tc>
          <w:tcPr>
            <w:tcW w:w="97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贵阳</w:t>
            </w:r>
          </w:p>
        </w:tc>
        <w:tc>
          <w:tcPr>
            <w:tcW w:w="8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贵阳</w:t>
            </w:r>
          </w:p>
        </w:tc>
        <w:tc>
          <w:tcPr>
            <w:tcW w:w="1275" w:type="dxa"/>
            <w:tcBorders>
              <w:top w:val="single" w:sz="2" w:space="0" w:color="000000"/>
              <w:left w:val="single" w:sz="2" w:space="0" w:color="000000"/>
              <w:bottom w:val="single" w:sz="12" w:space="0" w:color="000000"/>
              <w:right w:val="single" w:sz="2" w:space="0" w:color="000000"/>
            </w:tcBorders>
          </w:tcPr>
          <w:p>
            <w:pPr>
              <w:pStyle w:val="TableParagraph"/>
              <w:spacing w:line="316" w:lineRule="auto" w:before="49"/>
              <w:ind w:left="105" w:right="103"/>
              <w:jc w:val="left"/>
              <w:rPr>
                <w:rFonts w:ascii="宋体" w:hAnsi="宋体" w:cs="宋体" w:eastAsia="宋体" w:hint="default"/>
                <w:sz w:val="18"/>
                <w:szCs w:val="18"/>
              </w:rPr>
            </w:pPr>
            <w:r>
              <w:rPr>
                <w:rFonts w:ascii="宋体" w:hAnsi="宋体" w:cs="宋体" w:eastAsia="宋体" w:hint="default"/>
                <w:spacing w:val="-4"/>
                <w:sz w:val="18"/>
                <w:szCs w:val="18"/>
              </w:rPr>
              <w:t>智能交通、系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统集成</w:t>
            </w:r>
          </w:p>
        </w:tc>
        <w:tc>
          <w:tcPr>
            <w:tcW w:w="8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92" w:right="0"/>
              <w:jc w:val="left"/>
              <w:rPr>
                <w:rFonts w:ascii="Arial" w:hAnsi="Arial" w:cs="Arial" w:eastAsia="Arial" w:hint="default"/>
                <w:sz w:val="18"/>
                <w:szCs w:val="18"/>
              </w:rPr>
            </w:pPr>
            <w:r>
              <w:rPr>
                <w:rFonts w:ascii="Arial"/>
                <w:sz w:val="18"/>
              </w:rPr>
              <w:t>60.00</w:t>
            </w:r>
          </w:p>
        </w:tc>
        <w:tc>
          <w:tcPr>
            <w:tcW w:w="709" w:type="dxa"/>
            <w:tcBorders>
              <w:top w:val="single" w:sz="2" w:space="0" w:color="000000"/>
              <w:left w:val="single" w:sz="2" w:space="0" w:color="000000"/>
              <w:bottom w:val="single" w:sz="12" w:space="0" w:color="000000"/>
              <w:right w:val="single" w:sz="2" w:space="0" w:color="000000"/>
            </w:tcBorders>
          </w:tcPr>
          <w:p>
            <w:pPr/>
          </w:p>
        </w:tc>
        <w:tc>
          <w:tcPr>
            <w:tcW w:w="124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非同一控制</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580" w:type="dxa"/>
        <w:tblLayout w:type="fixed"/>
        <w:tblCellMar>
          <w:top w:w="0" w:type="dxa"/>
          <w:left w:w="0" w:type="dxa"/>
          <w:bottom w:w="0" w:type="dxa"/>
          <w:right w:w="0" w:type="dxa"/>
        </w:tblCellMar>
        <w:tblLook w:val="01E0"/>
      </w:tblPr>
      <w:tblGrid>
        <w:gridCol w:w="2816"/>
        <w:gridCol w:w="979"/>
        <w:gridCol w:w="866"/>
        <w:gridCol w:w="1275"/>
        <w:gridCol w:w="852"/>
        <w:gridCol w:w="709"/>
        <w:gridCol w:w="1243"/>
      </w:tblGrid>
      <w:tr>
        <w:trPr>
          <w:trHeight w:val="500" w:hRule="exact"/>
        </w:trPr>
        <w:tc>
          <w:tcPr>
            <w:tcW w:w="2816"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16"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979" w:type="dxa"/>
            <w:vMerge w:val="restart"/>
            <w:tcBorders>
              <w:top w:val="single" w:sz="12" w:space="0" w:color="000000"/>
              <w:left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408" w:lineRule="auto"/>
              <w:ind w:left="398" w:right="125" w:hanging="272"/>
              <w:jc w:val="left"/>
              <w:rPr>
                <w:rFonts w:ascii="宋体" w:hAnsi="宋体" w:cs="宋体" w:eastAsia="宋体" w:hint="default"/>
                <w:sz w:val="18"/>
                <w:szCs w:val="18"/>
              </w:rPr>
            </w:pPr>
            <w:r>
              <w:rPr>
                <w:rFonts w:ascii="宋体" w:hAnsi="宋体" w:cs="宋体" w:eastAsia="宋体" w:hint="default"/>
                <w:sz w:val="18"/>
                <w:szCs w:val="18"/>
              </w:rPr>
              <w:t>主要经营 地</w:t>
            </w:r>
          </w:p>
        </w:tc>
        <w:tc>
          <w:tcPr>
            <w:tcW w:w="866"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16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275"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27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61"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left="278" w:right="0"/>
              <w:jc w:val="left"/>
              <w:rPr>
                <w:rFonts w:ascii="Arial" w:hAnsi="Arial" w:cs="Arial" w:eastAsia="Arial" w:hint="default"/>
                <w:sz w:val="18"/>
                <w:szCs w:val="18"/>
              </w:rPr>
            </w:pPr>
            <w:r>
              <w:rPr>
                <w:rFonts w:ascii="宋体" w:hAnsi="宋体" w:cs="宋体" w:eastAsia="宋体" w:hint="default"/>
                <w:sz w:val="18"/>
                <w:szCs w:val="18"/>
              </w:rPr>
              <w:t>持股比例</w:t>
            </w:r>
            <w:r>
              <w:rPr>
                <w:rFonts w:ascii="Arial" w:hAnsi="Arial" w:cs="Arial" w:eastAsia="Arial" w:hint="default"/>
                <w:sz w:val="18"/>
                <w:szCs w:val="18"/>
              </w:rPr>
              <w:t>(%)</w:t>
            </w:r>
          </w:p>
        </w:tc>
        <w:tc>
          <w:tcPr>
            <w:tcW w:w="1243" w:type="dxa"/>
            <w:vMerge w:val="restart"/>
            <w:tcBorders>
              <w:top w:val="single" w:sz="1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25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85" w:hRule="exact"/>
        </w:trPr>
        <w:tc>
          <w:tcPr>
            <w:tcW w:w="2816" w:type="dxa"/>
            <w:vMerge/>
            <w:tcBorders>
              <w:left w:val="nil" w:sz="6" w:space="0" w:color="auto"/>
              <w:bottom w:val="single" w:sz="2" w:space="0" w:color="000000"/>
              <w:right w:val="single" w:sz="2" w:space="0" w:color="000000"/>
            </w:tcBorders>
          </w:tcPr>
          <w:p>
            <w:pPr/>
          </w:p>
        </w:tc>
        <w:tc>
          <w:tcPr>
            <w:tcW w:w="979" w:type="dxa"/>
            <w:vMerge/>
            <w:tcBorders>
              <w:left w:val="single" w:sz="2" w:space="0" w:color="000000"/>
              <w:bottom w:val="single" w:sz="2" w:space="0" w:color="000000"/>
              <w:right w:val="single" w:sz="2" w:space="0" w:color="000000"/>
            </w:tcBorders>
          </w:tcPr>
          <w:p>
            <w:pPr/>
          </w:p>
        </w:tc>
        <w:tc>
          <w:tcPr>
            <w:tcW w:w="866" w:type="dxa"/>
            <w:vMerge/>
            <w:tcBorders>
              <w:left w:val="single" w:sz="2" w:space="0" w:color="000000"/>
              <w:bottom w:val="single" w:sz="2" w:space="0" w:color="000000"/>
              <w:right w:val="single" w:sz="2" w:space="0" w:color="000000"/>
            </w:tcBorders>
          </w:tcPr>
          <w:p>
            <w:pPr/>
          </w:p>
        </w:tc>
        <w:tc>
          <w:tcPr>
            <w:tcW w:w="1275" w:type="dxa"/>
            <w:vMerge/>
            <w:tcBorders>
              <w:left w:val="single" w:sz="2" w:space="0" w:color="000000"/>
              <w:bottom w:val="single" w:sz="2" w:space="0" w:color="000000"/>
              <w:right w:val="single" w:sz="2" w:space="0" w:color="000000"/>
            </w:tcBorders>
          </w:tcPr>
          <w:p>
            <w:pP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2"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170"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243" w:type="dxa"/>
            <w:vMerge/>
            <w:tcBorders>
              <w:left w:val="single" w:sz="2" w:space="0" w:color="000000"/>
              <w:bottom w:val="single" w:sz="2" w:space="0" w:color="000000"/>
              <w:right w:val="nil" w:sz="6" w:space="0" w:color="auto"/>
            </w:tcBorders>
          </w:tcPr>
          <w:p>
            <w:pPr/>
          </w:p>
        </w:tc>
      </w:tr>
      <w:tr>
        <w:trPr>
          <w:trHeight w:val="444" w:hRule="exact"/>
        </w:trPr>
        <w:tc>
          <w:tcPr>
            <w:tcW w:w="2816" w:type="dxa"/>
            <w:tcBorders>
              <w:top w:val="single" w:sz="2" w:space="0" w:color="000000"/>
              <w:left w:val="nil" w:sz="6" w:space="0" w:color="auto"/>
              <w:bottom w:val="single" w:sz="2" w:space="0" w:color="000000"/>
              <w:right w:val="single" w:sz="2" w:space="0" w:color="000000"/>
            </w:tcBorders>
          </w:tcPr>
          <w:p>
            <w:pPr/>
          </w:p>
        </w:tc>
        <w:tc>
          <w:tcPr>
            <w:tcW w:w="979" w:type="dxa"/>
            <w:tcBorders>
              <w:top w:val="single" w:sz="2" w:space="0" w:color="000000"/>
              <w:left w:val="single" w:sz="2" w:space="0" w:color="000000"/>
              <w:bottom w:val="single" w:sz="2" w:space="0" w:color="000000"/>
              <w:right w:val="single" w:sz="2" w:space="0" w:color="000000"/>
            </w:tcBorders>
          </w:tcPr>
          <w:p>
            <w:pPr/>
          </w:p>
        </w:tc>
        <w:tc>
          <w:tcPr>
            <w:tcW w:w="866" w:type="dxa"/>
            <w:tcBorders>
              <w:top w:val="single" w:sz="2" w:space="0" w:color="000000"/>
              <w:left w:val="single" w:sz="2" w:space="0" w:color="000000"/>
              <w:bottom w:val="single" w:sz="2" w:space="0" w:color="000000"/>
              <w:right w:val="single" w:sz="2" w:space="0" w:color="000000"/>
            </w:tcBorders>
          </w:tcPr>
          <w:p>
            <w:pPr/>
          </w:p>
        </w:tc>
        <w:tc>
          <w:tcPr>
            <w:tcW w:w="1275" w:type="dxa"/>
            <w:tcBorders>
              <w:top w:val="single" w:sz="2" w:space="0" w:color="000000"/>
              <w:left w:val="single" w:sz="2" w:space="0" w:color="000000"/>
              <w:bottom w:val="single" w:sz="2" w:space="0" w:color="000000"/>
              <w:right w:val="single" w:sz="2" w:space="0" w:color="000000"/>
            </w:tcBorders>
          </w:tcPr>
          <w:p>
            <w:pPr/>
          </w:p>
        </w:tc>
        <w:tc>
          <w:tcPr>
            <w:tcW w:w="852"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single" w:sz="2" w:space="0" w:color="000000"/>
            </w:tcBorders>
          </w:tcPr>
          <w:p>
            <w:pPr/>
          </w:p>
        </w:tc>
        <w:tc>
          <w:tcPr>
            <w:tcW w:w="12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9"/>
              <w:ind w:left="167" w:right="0"/>
              <w:jc w:val="left"/>
              <w:rPr>
                <w:rFonts w:ascii="宋体" w:hAnsi="宋体" w:cs="宋体" w:eastAsia="宋体" w:hint="default"/>
                <w:sz w:val="18"/>
                <w:szCs w:val="18"/>
              </w:rPr>
            </w:pPr>
            <w:r>
              <w:rPr>
                <w:rFonts w:ascii="宋体" w:hAnsi="宋体" w:cs="宋体" w:eastAsia="宋体" w:hint="default"/>
                <w:sz w:val="18"/>
                <w:szCs w:val="18"/>
              </w:rPr>
              <w:t>下企业合并</w:t>
            </w:r>
          </w:p>
        </w:tc>
      </w:tr>
      <w:tr>
        <w:trPr>
          <w:trHeight w:val="886" w:hRule="exact"/>
        </w:trPr>
        <w:tc>
          <w:tcPr>
            <w:tcW w:w="28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中远海运科技（北京）有限公司</w:t>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8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314" w:lineRule="auto" w:before="137"/>
              <w:ind w:left="105" w:right="103"/>
              <w:jc w:val="left"/>
              <w:rPr>
                <w:rFonts w:ascii="宋体" w:hAnsi="宋体" w:cs="宋体" w:eastAsia="宋体" w:hint="default"/>
                <w:sz w:val="18"/>
                <w:szCs w:val="18"/>
              </w:rPr>
            </w:pPr>
            <w:r>
              <w:rPr>
                <w:rFonts w:ascii="宋体" w:hAnsi="宋体" w:cs="宋体" w:eastAsia="宋体" w:hint="default"/>
                <w:spacing w:val="-4"/>
                <w:sz w:val="18"/>
                <w:szCs w:val="18"/>
              </w:rPr>
              <w:t>软件开发、系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统集成</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92" w:right="0"/>
              <w:jc w:val="center"/>
              <w:rPr>
                <w:rFonts w:ascii="Arial" w:hAnsi="Arial" w:cs="Arial" w:eastAsia="Arial" w:hint="default"/>
                <w:sz w:val="18"/>
                <w:szCs w:val="18"/>
              </w:rPr>
            </w:pPr>
            <w:r>
              <w:rPr>
                <w:rFonts w:ascii="Arial"/>
                <w:sz w:val="18"/>
              </w:rPr>
              <w:t>100.00</w:t>
            </w:r>
          </w:p>
        </w:tc>
        <w:tc>
          <w:tcPr>
            <w:tcW w:w="709" w:type="dxa"/>
            <w:tcBorders>
              <w:top w:val="single" w:sz="2" w:space="0" w:color="000000"/>
              <w:left w:val="single" w:sz="2" w:space="0" w:color="000000"/>
              <w:bottom w:val="single" w:sz="2" w:space="0" w:color="000000"/>
              <w:right w:val="single" w:sz="2" w:space="0" w:color="000000"/>
            </w:tcBorders>
          </w:tcPr>
          <w:p>
            <w:pPr/>
          </w:p>
        </w:tc>
        <w:tc>
          <w:tcPr>
            <w:tcW w:w="1243" w:type="dxa"/>
            <w:tcBorders>
              <w:top w:val="single" w:sz="2" w:space="0" w:color="000000"/>
              <w:left w:val="single" w:sz="2" w:space="0" w:color="000000"/>
              <w:bottom w:val="single" w:sz="2" w:space="0" w:color="000000"/>
              <w:right w:val="nil" w:sz="6" w:space="0" w:color="auto"/>
            </w:tcBorders>
          </w:tcPr>
          <w:p>
            <w:pPr>
              <w:pStyle w:val="TableParagraph"/>
              <w:spacing w:line="405" w:lineRule="auto" w:before="149"/>
              <w:ind w:left="259" w:right="170" w:hanging="92"/>
              <w:jc w:val="left"/>
              <w:rPr>
                <w:rFonts w:ascii="宋体" w:hAnsi="宋体" w:cs="宋体" w:eastAsia="宋体" w:hint="default"/>
                <w:sz w:val="18"/>
                <w:szCs w:val="18"/>
              </w:rPr>
            </w:pPr>
            <w:r>
              <w:rPr>
                <w:rFonts w:ascii="宋体" w:hAnsi="宋体" w:cs="宋体" w:eastAsia="宋体" w:hint="default"/>
                <w:sz w:val="18"/>
                <w:szCs w:val="18"/>
              </w:rPr>
              <w:t>同一控制下 企业合并</w:t>
            </w:r>
          </w:p>
        </w:tc>
      </w:tr>
      <w:tr>
        <w:trPr>
          <w:trHeight w:val="1020" w:hRule="exact"/>
        </w:trPr>
        <w:tc>
          <w:tcPr>
            <w:tcW w:w="281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24" w:right="0"/>
              <w:jc w:val="left"/>
              <w:rPr>
                <w:rFonts w:ascii="宋体" w:hAnsi="宋体" w:cs="宋体" w:eastAsia="宋体" w:hint="default"/>
                <w:sz w:val="18"/>
                <w:szCs w:val="18"/>
              </w:rPr>
            </w:pPr>
            <w:r>
              <w:rPr>
                <w:rFonts w:ascii="宋体" w:hAnsi="宋体" w:cs="宋体" w:eastAsia="宋体" w:hint="default"/>
                <w:sz w:val="18"/>
                <w:szCs w:val="18"/>
              </w:rPr>
              <w:t>北京中远海运数字科技有限公司</w:t>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8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49"/>
              <w:ind w:left="105" w:right="101"/>
              <w:jc w:val="both"/>
              <w:rPr>
                <w:rFonts w:ascii="宋体" w:hAnsi="宋体" w:cs="宋体" w:eastAsia="宋体" w:hint="default"/>
                <w:sz w:val="18"/>
                <w:szCs w:val="18"/>
              </w:rPr>
            </w:pPr>
            <w:r>
              <w:rPr>
                <w:rFonts w:ascii="宋体" w:hAnsi="宋体" w:cs="宋体" w:eastAsia="宋体" w:hint="default"/>
                <w:spacing w:val="-4"/>
                <w:sz w:val="18"/>
                <w:szCs w:val="18"/>
              </w:rPr>
              <w:t>计算机、软件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w:t>
            </w:r>
            <w:r>
              <w:rPr>
                <w:rFonts w:ascii="宋体" w:hAnsi="宋体" w:cs="宋体" w:eastAsia="宋体" w:hint="default"/>
                <w:spacing w:val="-50"/>
                <w:sz w:val="18"/>
                <w:szCs w:val="18"/>
              </w:rPr>
              <w:t> </w:t>
            </w:r>
            <w:r>
              <w:rPr>
                <w:rFonts w:ascii="宋体" w:hAnsi="宋体" w:cs="宋体" w:eastAsia="宋体" w:hint="default"/>
                <w:sz w:val="18"/>
                <w:szCs w:val="18"/>
              </w:rPr>
              <w:t>辅</w:t>
            </w:r>
            <w:r>
              <w:rPr>
                <w:rFonts w:ascii="宋体" w:hAnsi="宋体" w:cs="宋体" w:eastAsia="宋体" w:hint="default"/>
                <w:spacing w:val="-50"/>
                <w:sz w:val="18"/>
                <w:szCs w:val="18"/>
              </w:rPr>
              <w:t> </w:t>
            </w:r>
            <w:r>
              <w:rPr>
                <w:rFonts w:ascii="宋体" w:hAnsi="宋体" w:cs="宋体" w:eastAsia="宋体" w:hint="default"/>
                <w:sz w:val="18"/>
                <w:szCs w:val="18"/>
              </w:rPr>
              <w:t>助</w:t>
            </w:r>
            <w:r>
              <w:rPr>
                <w:rFonts w:ascii="宋体" w:hAnsi="宋体" w:cs="宋体" w:eastAsia="宋体" w:hint="default"/>
                <w:spacing w:val="-52"/>
                <w:sz w:val="18"/>
                <w:szCs w:val="18"/>
              </w:rPr>
              <w:t> </w:t>
            </w:r>
            <w:r>
              <w:rPr>
                <w:rFonts w:ascii="宋体" w:hAnsi="宋体" w:cs="宋体" w:eastAsia="宋体" w:hint="default"/>
                <w:sz w:val="18"/>
                <w:szCs w:val="18"/>
              </w:rPr>
              <w:t>设</w:t>
            </w:r>
            <w:r>
              <w:rPr>
                <w:rFonts w:ascii="宋体" w:hAnsi="宋体" w:cs="宋体" w:eastAsia="宋体" w:hint="default"/>
                <w:spacing w:val="-50"/>
                <w:sz w:val="18"/>
                <w:szCs w:val="18"/>
              </w:rPr>
              <w:t> </w:t>
            </w:r>
            <w:r>
              <w:rPr>
                <w:rFonts w:ascii="宋体" w:hAnsi="宋体" w:cs="宋体" w:eastAsia="宋体" w:hint="default"/>
                <w:sz w:val="18"/>
                <w:szCs w:val="18"/>
              </w:rPr>
              <w:t>备</w:t>
            </w:r>
            <w:r>
              <w:rPr>
                <w:rFonts w:ascii="宋体" w:hAnsi="宋体" w:cs="宋体" w:eastAsia="宋体" w:hint="default"/>
                <w:sz w:val="18"/>
                <w:szCs w:val="18"/>
              </w:rPr>
              <w:t> 批发</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92" w:right="0"/>
              <w:jc w:val="center"/>
              <w:rPr>
                <w:rFonts w:ascii="Arial" w:hAnsi="Arial" w:cs="Arial" w:eastAsia="Arial" w:hint="default"/>
                <w:sz w:val="18"/>
                <w:szCs w:val="18"/>
              </w:rPr>
            </w:pPr>
            <w:r>
              <w:rPr>
                <w:rFonts w:ascii="Arial"/>
                <w:sz w:val="18"/>
              </w:rPr>
              <w:t>100.00</w:t>
            </w:r>
          </w:p>
        </w:tc>
        <w:tc>
          <w:tcPr>
            <w:tcW w:w="709" w:type="dxa"/>
            <w:tcBorders>
              <w:top w:val="single" w:sz="2" w:space="0" w:color="000000"/>
              <w:left w:val="single" w:sz="2" w:space="0" w:color="000000"/>
              <w:bottom w:val="single" w:sz="2" w:space="0" w:color="000000"/>
              <w:right w:val="single" w:sz="2" w:space="0" w:color="000000"/>
            </w:tcBorders>
          </w:tcPr>
          <w:p>
            <w:pPr/>
          </w:p>
        </w:tc>
        <w:tc>
          <w:tcPr>
            <w:tcW w:w="12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405" w:lineRule="auto"/>
              <w:ind w:left="259" w:right="170" w:hanging="92"/>
              <w:jc w:val="left"/>
              <w:rPr>
                <w:rFonts w:ascii="宋体" w:hAnsi="宋体" w:cs="宋体" w:eastAsia="宋体" w:hint="default"/>
                <w:sz w:val="18"/>
                <w:szCs w:val="18"/>
              </w:rPr>
            </w:pPr>
            <w:r>
              <w:rPr>
                <w:rFonts w:ascii="宋体" w:hAnsi="宋体" w:cs="宋体" w:eastAsia="宋体" w:hint="default"/>
                <w:sz w:val="18"/>
                <w:szCs w:val="18"/>
              </w:rPr>
              <w:t>同一控制下 企业合并</w:t>
            </w:r>
          </w:p>
        </w:tc>
      </w:tr>
      <w:tr>
        <w:trPr>
          <w:trHeight w:val="898" w:hRule="exact"/>
        </w:trPr>
        <w:tc>
          <w:tcPr>
            <w:tcW w:w="281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中远网络航海科技有限公司</w:t>
            </w:r>
          </w:p>
        </w:tc>
        <w:tc>
          <w:tcPr>
            <w:tcW w:w="97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8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275" w:type="dxa"/>
            <w:tcBorders>
              <w:top w:val="single" w:sz="2" w:space="0" w:color="000000"/>
              <w:left w:val="single" w:sz="2" w:space="0" w:color="000000"/>
              <w:bottom w:val="single" w:sz="12" w:space="0" w:color="000000"/>
              <w:right w:val="single" w:sz="2" w:space="0" w:color="000000"/>
            </w:tcBorders>
          </w:tcPr>
          <w:p>
            <w:pPr>
              <w:pStyle w:val="TableParagraph"/>
              <w:spacing w:line="316" w:lineRule="auto" w:before="138"/>
              <w:ind w:left="105" w:right="103"/>
              <w:jc w:val="left"/>
              <w:rPr>
                <w:rFonts w:ascii="宋体" w:hAnsi="宋体" w:cs="宋体" w:eastAsia="宋体" w:hint="default"/>
                <w:sz w:val="18"/>
                <w:szCs w:val="18"/>
              </w:rPr>
            </w:pPr>
            <w:r>
              <w:rPr>
                <w:rFonts w:ascii="宋体" w:hAnsi="宋体" w:cs="宋体" w:eastAsia="宋体" w:hint="default"/>
                <w:spacing w:val="-4"/>
                <w:sz w:val="18"/>
                <w:szCs w:val="18"/>
              </w:rPr>
              <w:t>软件开发、系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统集成</w:t>
            </w:r>
          </w:p>
        </w:tc>
        <w:tc>
          <w:tcPr>
            <w:tcW w:w="8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92" w:right="0"/>
              <w:jc w:val="center"/>
              <w:rPr>
                <w:rFonts w:ascii="Arial" w:hAnsi="Arial" w:cs="Arial" w:eastAsia="Arial" w:hint="default"/>
                <w:sz w:val="18"/>
                <w:szCs w:val="18"/>
              </w:rPr>
            </w:pPr>
            <w:r>
              <w:rPr>
                <w:rFonts w:ascii="Arial"/>
                <w:sz w:val="18"/>
              </w:rPr>
              <w:t>100.00</w:t>
            </w:r>
          </w:p>
        </w:tc>
        <w:tc>
          <w:tcPr>
            <w:tcW w:w="709" w:type="dxa"/>
            <w:tcBorders>
              <w:top w:val="single" w:sz="2" w:space="0" w:color="000000"/>
              <w:left w:val="single" w:sz="2" w:space="0" w:color="000000"/>
              <w:bottom w:val="single" w:sz="12" w:space="0" w:color="000000"/>
              <w:right w:val="single" w:sz="2" w:space="0" w:color="000000"/>
            </w:tcBorders>
          </w:tcPr>
          <w:p>
            <w:pPr/>
          </w:p>
        </w:tc>
        <w:tc>
          <w:tcPr>
            <w:tcW w:w="1243" w:type="dxa"/>
            <w:tcBorders>
              <w:top w:val="single" w:sz="2" w:space="0" w:color="000000"/>
              <w:left w:val="single" w:sz="2" w:space="0" w:color="000000"/>
              <w:bottom w:val="single" w:sz="12" w:space="0" w:color="000000"/>
              <w:right w:val="nil" w:sz="6" w:space="0" w:color="auto"/>
            </w:tcBorders>
          </w:tcPr>
          <w:p>
            <w:pPr>
              <w:pStyle w:val="TableParagraph"/>
              <w:spacing w:line="400" w:lineRule="exact" w:before="40"/>
              <w:ind w:left="259" w:right="170" w:hanging="92"/>
              <w:jc w:val="left"/>
              <w:rPr>
                <w:rFonts w:ascii="宋体" w:hAnsi="宋体" w:cs="宋体" w:eastAsia="宋体" w:hint="default"/>
                <w:sz w:val="18"/>
                <w:szCs w:val="18"/>
              </w:rPr>
            </w:pPr>
            <w:r>
              <w:rPr>
                <w:rFonts w:ascii="宋体" w:hAnsi="宋体" w:cs="宋体" w:eastAsia="宋体" w:hint="default"/>
                <w:sz w:val="18"/>
                <w:szCs w:val="18"/>
              </w:rPr>
              <w:t>同一控制下 企业合并</w:t>
            </w:r>
          </w:p>
        </w:tc>
      </w:tr>
    </w:tbl>
    <w:p>
      <w:pPr>
        <w:spacing w:line="240" w:lineRule="auto" w:before="5"/>
        <w:rPr>
          <w:rFonts w:ascii="宋体" w:hAnsi="宋体" w:cs="宋体" w:eastAsia="宋体" w:hint="default"/>
          <w:sz w:val="5"/>
          <w:szCs w:val="5"/>
        </w:rPr>
      </w:pPr>
    </w:p>
    <w:p>
      <w:pPr>
        <w:pStyle w:val="BodyText"/>
        <w:spacing w:line="240" w:lineRule="auto" w:before="32"/>
        <w:ind w:left="592" w:right="1133"/>
        <w:jc w:val="left"/>
      </w:pPr>
      <w:r>
        <w:rPr/>
        <w:t>（</w:t>
      </w:r>
      <w:r>
        <w:rPr>
          <w:rFonts w:ascii="Arial" w:hAnsi="Arial" w:cs="Arial" w:eastAsia="Arial" w:hint="default"/>
        </w:rPr>
        <w:t>2</w:t>
      </w:r>
      <w:r>
        <w:rPr/>
        <w:t>）重要的非全资子公司</w:t>
      </w:r>
    </w:p>
    <w:p>
      <w:pPr>
        <w:spacing w:line="240" w:lineRule="auto" w:before="8"/>
        <w:rPr>
          <w:rFonts w:ascii="宋体" w:hAnsi="宋体" w:cs="宋体" w:eastAsia="宋体" w:hint="default"/>
          <w:sz w:val="5"/>
          <w:szCs w:val="5"/>
        </w:rPr>
      </w:pPr>
    </w:p>
    <w:tbl>
      <w:tblPr>
        <w:tblW w:w="0" w:type="auto"/>
        <w:jc w:val="left"/>
        <w:tblInd w:w="483" w:type="dxa"/>
        <w:tblLayout w:type="fixed"/>
        <w:tblCellMar>
          <w:top w:w="0" w:type="dxa"/>
          <w:left w:w="0" w:type="dxa"/>
          <w:bottom w:w="0" w:type="dxa"/>
          <w:right w:w="0" w:type="dxa"/>
        </w:tblCellMar>
        <w:tblLook w:val="01E0"/>
      </w:tblPr>
      <w:tblGrid>
        <w:gridCol w:w="2891"/>
        <w:gridCol w:w="1034"/>
        <w:gridCol w:w="1416"/>
        <w:gridCol w:w="1699"/>
        <w:gridCol w:w="1921"/>
      </w:tblGrid>
      <w:tr>
        <w:trPr>
          <w:trHeight w:val="943" w:hRule="exact"/>
        </w:trPr>
        <w:tc>
          <w:tcPr>
            <w:tcW w:w="2891"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43"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0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408" w:lineRule="auto"/>
              <w:ind w:left="155" w:right="151"/>
              <w:jc w:val="left"/>
              <w:rPr>
                <w:rFonts w:ascii="宋体" w:hAnsi="宋体" w:cs="宋体" w:eastAsia="宋体" w:hint="default"/>
                <w:sz w:val="18"/>
                <w:szCs w:val="18"/>
              </w:rPr>
            </w:pPr>
            <w:r>
              <w:rPr>
                <w:rFonts w:ascii="宋体" w:hAnsi="宋体" w:cs="宋体" w:eastAsia="宋体" w:hint="default"/>
                <w:sz w:val="18"/>
                <w:szCs w:val="18"/>
              </w:rPr>
              <w:t>少数股东 持股比例</w:t>
            </w:r>
          </w:p>
        </w:tc>
        <w:tc>
          <w:tcPr>
            <w:tcW w:w="14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408" w:lineRule="auto"/>
              <w:ind w:left="165" w:right="165"/>
              <w:jc w:val="left"/>
              <w:rPr>
                <w:rFonts w:ascii="宋体" w:hAnsi="宋体" w:cs="宋体" w:eastAsia="宋体" w:hint="default"/>
                <w:sz w:val="18"/>
                <w:szCs w:val="18"/>
              </w:rPr>
            </w:pPr>
            <w:r>
              <w:rPr>
                <w:rFonts w:ascii="宋体" w:hAnsi="宋体" w:cs="宋体" w:eastAsia="宋体" w:hint="default"/>
                <w:sz w:val="18"/>
                <w:szCs w:val="18"/>
              </w:rPr>
              <w:t>本年归属于少 数股东的损益</w:t>
            </w:r>
          </w:p>
        </w:tc>
        <w:tc>
          <w:tcPr>
            <w:tcW w:w="16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408" w:lineRule="auto"/>
              <w:ind w:left="307" w:right="125" w:hanging="180"/>
              <w:jc w:val="left"/>
              <w:rPr>
                <w:rFonts w:ascii="宋体" w:hAnsi="宋体" w:cs="宋体" w:eastAsia="宋体" w:hint="default"/>
                <w:sz w:val="18"/>
                <w:szCs w:val="18"/>
              </w:rPr>
            </w:pPr>
            <w:r>
              <w:rPr>
                <w:rFonts w:ascii="宋体" w:hAnsi="宋体" w:cs="宋体" w:eastAsia="宋体" w:hint="default"/>
                <w:sz w:val="18"/>
                <w:szCs w:val="18"/>
              </w:rPr>
              <w:t>本年向少数股东宣 告分派的股利</w:t>
            </w:r>
          </w:p>
        </w:tc>
        <w:tc>
          <w:tcPr>
            <w:tcW w:w="192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408" w:lineRule="auto"/>
              <w:ind w:left="855" w:right="162" w:hanging="721"/>
              <w:jc w:val="left"/>
              <w:rPr>
                <w:rFonts w:ascii="宋体" w:hAnsi="宋体" w:cs="宋体" w:eastAsia="宋体" w:hint="default"/>
                <w:sz w:val="18"/>
                <w:szCs w:val="18"/>
              </w:rPr>
            </w:pPr>
            <w:r>
              <w:rPr>
                <w:rFonts w:ascii="宋体" w:hAnsi="宋体" w:cs="宋体" w:eastAsia="宋体" w:hint="default"/>
                <w:sz w:val="18"/>
                <w:szCs w:val="18"/>
              </w:rPr>
              <w:t>年末少数股东权益余 额</w:t>
            </w:r>
          </w:p>
        </w:tc>
      </w:tr>
      <w:tr>
        <w:trPr>
          <w:trHeight w:val="499" w:hRule="exact"/>
        </w:trPr>
        <w:tc>
          <w:tcPr>
            <w:tcW w:w="289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149" w:right="0"/>
              <w:jc w:val="left"/>
              <w:rPr>
                <w:rFonts w:ascii="宋体" w:hAnsi="宋体" w:cs="宋体" w:eastAsia="宋体" w:hint="default"/>
                <w:sz w:val="18"/>
                <w:szCs w:val="18"/>
              </w:rPr>
            </w:pPr>
            <w:r>
              <w:rPr>
                <w:rFonts w:ascii="宋体" w:hAnsi="宋体" w:cs="宋体" w:eastAsia="宋体" w:hint="default"/>
                <w:sz w:val="18"/>
                <w:szCs w:val="18"/>
              </w:rPr>
              <w:t>贵州新思维科技有限责任公司</w:t>
            </w:r>
          </w:p>
        </w:tc>
        <w:tc>
          <w:tcPr>
            <w:tcW w:w="10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66" w:right="0"/>
              <w:jc w:val="left"/>
              <w:rPr>
                <w:rFonts w:ascii="Arial" w:hAnsi="Arial" w:cs="Arial" w:eastAsia="Arial" w:hint="default"/>
                <w:sz w:val="18"/>
                <w:szCs w:val="18"/>
              </w:rPr>
            </w:pPr>
            <w:r>
              <w:rPr>
                <w:rFonts w:ascii="Arial"/>
                <w:sz w:val="18"/>
              </w:rPr>
              <w:t>40%</w:t>
            </w: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w w:val="95"/>
                <w:sz w:val="18"/>
              </w:rPr>
              <w:t>40%</w:t>
            </w:r>
            <w:r>
              <w:rPr>
                <w:rFonts w:ascii="Arial"/>
                <w:sz w:val="18"/>
              </w:rPr>
            </w:r>
          </w:p>
        </w:tc>
        <w:tc>
          <w:tcPr>
            <w:tcW w:w="16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37" w:right="0"/>
              <w:jc w:val="left"/>
              <w:rPr>
                <w:rFonts w:ascii="Arial" w:hAnsi="Arial" w:cs="Arial" w:eastAsia="Arial" w:hint="default"/>
                <w:sz w:val="18"/>
                <w:szCs w:val="18"/>
              </w:rPr>
            </w:pPr>
            <w:r>
              <w:rPr>
                <w:rFonts w:ascii="Arial"/>
                <w:sz w:val="18"/>
              </w:rPr>
              <w:t>4,000,000.00</w:t>
            </w:r>
          </w:p>
        </w:tc>
        <w:tc>
          <w:tcPr>
            <w:tcW w:w="192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634" w:right="0"/>
              <w:jc w:val="left"/>
              <w:rPr>
                <w:rFonts w:ascii="Arial" w:hAnsi="Arial" w:cs="Arial" w:eastAsia="Arial" w:hint="default"/>
                <w:sz w:val="18"/>
                <w:szCs w:val="18"/>
              </w:rPr>
            </w:pPr>
            <w:r>
              <w:rPr>
                <w:rFonts w:ascii="Arial"/>
                <w:sz w:val="18"/>
              </w:rPr>
              <w:t>16,381,789.29</w:t>
            </w:r>
          </w:p>
        </w:tc>
      </w:tr>
    </w:tbl>
    <w:p>
      <w:pPr>
        <w:spacing w:line="240" w:lineRule="auto" w:before="5"/>
        <w:rPr>
          <w:rFonts w:ascii="宋体" w:hAnsi="宋体" w:cs="宋体" w:eastAsia="宋体" w:hint="default"/>
          <w:sz w:val="5"/>
          <w:szCs w:val="5"/>
        </w:rPr>
      </w:pPr>
    </w:p>
    <w:p>
      <w:pPr>
        <w:pStyle w:val="BodyText"/>
        <w:spacing w:line="240" w:lineRule="auto" w:before="32"/>
        <w:ind w:left="592" w:right="1133"/>
        <w:jc w:val="left"/>
      </w:pPr>
      <w:r>
        <w:rPr/>
        <w:t>（</w:t>
      </w:r>
      <w:r>
        <w:rPr>
          <w:rFonts w:ascii="Arial" w:hAnsi="Arial" w:cs="Arial" w:eastAsia="Arial" w:hint="default"/>
        </w:rPr>
        <w:t>3</w:t>
      </w:r>
      <w:r>
        <w:rPr/>
        <w:t>）重要非全资子公司的主要财务信息</w:t>
      </w:r>
    </w:p>
    <w:p>
      <w:pPr>
        <w:spacing w:line="240" w:lineRule="auto" w:before="8"/>
        <w:rPr>
          <w:rFonts w:ascii="宋体" w:hAnsi="宋体" w:cs="宋体" w:eastAsia="宋体" w:hint="default"/>
          <w:sz w:val="5"/>
          <w:szCs w:val="5"/>
        </w:rPr>
      </w:pPr>
    </w:p>
    <w:tbl>
      <w:tblPr>
        <w:tblW w:w="0" w:type="auto"/>
        <w:jc w:val="left"/>
        <w:tblInd w:w="450" w:type="dxa"/>
        <w:tblLayout w:type="fixed"/>
        <w:tblCellMar>
          <w:top w:w="0" w:type="dxa"/>
          <w:left w:w="0" w:type="dxa"/>
          <w:bottom w:w="0" w:type="dxa"/>
          <w:right w:w="0" w:type="dxa"/>
        </w:tblCellMar>
        <w:tblLook w:val="01E0"/>
      </w:tblPr>
      <w:tblGrid>
        <w:gridCol w:w="1202"/>
        <w:gridCol w:w="1486"/>
        <w:gridCol w:w="1274"/>
        <w:gridCol w:w="1469"/>
        <w:gridCol w:w="1385"/>
        <w:gridCol w:w="766"/>
        <w:gridCol w:w="1418"/>
      </w:tblGrid>
      <w:tr>
        <w:trPr>
          <w:trHeight w:val="497" w:hRule="exact"/>
        </w:trPr>
        <w:tc>
          <w:tcPr>
            <w:tcW w:w="1202"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7799" w:type="dxa"/>
            <w:gridSpan w:val="6"/>
            <w:tcBorders>
              <w:top w:val="single" w:sz="12" w:space="0" w:color="000000"/>
              <w:left w:val="single" w:sz="2" w:space="0" w:color="000000"/>
              <w:bottom w:val="single" w:sz="2" w:space="0" w:color="000000"/>
              <w:right w:val="nil" w:sz="6" w:space="0" w:color="auto"/>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710" w:hRule="exact"/>
        </w:trPr>
        <w:tc>
          <w:tcPr>
            <w:tcW w:w="1202" w:type="dxa"/>
            <w:vMerge/>
            <w:tcBorders>
              <w:left w:val="nil" w:sz="6" w:space="0" w:color="auto"/>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非流动资产</w:t>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766"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49"/>
              <w:ind w:left="201" w:right="110" w:hanging="92"/>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14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负债合计</w:t>
            </w:r>
          </w:p>
        </w:tc>
      </w:tr>
      <w:tr>
        <w:trPr>
          <w:trHeight w:val="1034" w:hRule="exact"/>
        </w:trPr>
        <w:tc>
          <w:tcPr>
            <w:tcW w:w="1202" w:type="dxa"/>
            <w:tcBorders>
              <w:top w:val="single" w:sz="2" w:space="0" w:color="000000"/>
              <w:left w:val="nil" w:sz="6" w:space="0" w:color="auto"/>
              <w:bottom w:val="single" w:sz="12" w:space="0" w:color="000000"/>
              <w:right w:val="single" w:sz="2" w:space="0" w:color="000000"/>
            </w:tcBorders>
          </w:tcPr>
          <w:p>
            <w:pPr>
              <w:pStyle w:val="TableParagraph"/>
              <w:spacing w:line="316" w:lineRule="auto" w:before="49"/>
              <w:ind w:left="124" w:right="101"/>
              <w:jc w:val="both"/>
              <w:rPr>
                <w:rFonts w:ascii="宋体" w:hAnsi="宋体" w:cs="宋体" w:eastAsia="宋体" w:hint="default"/>
                <w:sz w:val="18"/>
                <w:szCs w:val="18"/>
              </w:rPr>
            </w:pPr>
            <w:r>
              <w:rPr>
                <w:rFonts w:ascii="宋体" w:hAnsi="宋体" w:cs="宋体" w:eastAsia="宋体" w:hint="default"/>
                <w:spacing w:val="14"/>
                <w:sz w:val="18"/>
                <w:szCs w:val="18"/>
              </w:rPr>
              <w:t>贵州新思维</w:t>
            </w:r>
            <w:r>
              <w:rPr>
                <w:rFonts w:ascii="宋体" w:hAnsi="宋体" w:cs="宋体" w:eastAsia="宋体" w:hint="default"/>
                <w:sz w:val="18"/>
                <w:szCs w:val="18"/>
              </w:rPr>
              <w:t> </w:t>
            </w:r>
            <w:r>
              <w:rPr>
                <w:rFonts w:ascii="宋体" w:hAnsi="宋体" w:cs="宋体" w:eastAsia="宋体" w:hint="default"/>
                <w:spacing w:val="14"/>
                <w:sz w:val="18"/>
                <w:szCs w:val="18"/>
              </w:rPr>
              <w:t>科技有限责</w:t>
            </w:r>
            <w:r>
              <w:rPr>
                <w:rFonts w:ascii="宋体" w:hAnsi="宋体" w:cs="宋体" w:eastAsia="宋体" w:hint="default"/>
                <w:sz w:val="18"/>
                <w:szCs w:val="18"/>
              </w:rPr>
              <w:t> 任公司</w:t>
            </w:r>
          </w:p>
        </w:tc>
        <w:tc>
          <w:tcPr>
            <w:tcW w:w="14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4" w:right="0"/>
              <w:jc w:val="center"/>
              <w:rPr>
                <w:rFonts w:ascii="Arial" w:hAnsi="Arial" w:cs="Arial" w:eastAsia="Arial" w:hint="default"/>
                <w:sz w:val="18"/>
                <w:szCs w:val="18"/>
              </w:rPr>
            </w:pPr>
            <w:r>
              <w:rPr>
                <w:rFonts w:ascii="Arial"/>
                <w:sz w:val="18"/>
              </w:rPr>
              <w:t>102,046,470.18</w:t>
            </w:r>
          </w:p>
        </w:tc>
        <w:tc>
          <w:tcPr>
            <w:tcW w:w="12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2" w:right="0"/>
              <w:jc w:val="center"/>
              <w:rPr>
                <w:rFonts w:ascii="Arial" w:hAnsi="Arial" w:cs="Arial" w:eastAsia="Arial" w:hint="default"/>
                <w:sz w:val="18"/>
                <w:szCs w:val="18"/>
              </w:rPr>
            </w:pPr>
            <w:r>
              <w:rPr>
                <w:rFonts w:ascii="Arial"/>
                <w:sz w:val="18"/>
              </w:rPr>
              <w:t>2,471,389.13</w:t>
            </w:r>
          </w:p>
        </w:tc>
        <w:tc>
          <w:tcPr>
            <w:tcW w:w="14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 w:right="0"/>
              <w:jc w:val="center"/>
              <w:rPr>
                <w:rFonts w:ascii="Arial" w:hAnsi="Arial" w:cs="Arial" w:eastAsia="Arial" w:hint="default"/>
                <w:sz w:val="18"/>
                <w:szCs w:val="18"/>
              </w:rPr>
            </w:pPr>
            <w:r>
              <w:rPr>
                <w:rFonts w:ascii="Arial"/>
                <w:sz w:val="18"/>
              </w:rPr>
              <w:t>104,517,859.31</w:t>
            </w:r>
          </w:p>
        </w:tc>
        <w:tc>
          <w:tcPr>
            <w:tcW w:w="13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6" w:right="0"/>
              <w:jc w:val="center"/>
              <w:rPr>
                <w:rFonts w:ascii="Arial" w:hAnsi="Arial" w:cs="Arial" w:eastAsia="Arial" w:hint="default"/>
                <w:sz w:val="18"/>
                <w:szCs w:val="18"/>
              </w:rPr>
            </w:pPr>
            <w:r>
              <w:rPr>
                <w:rFonts w:ascii="Arial"/>
                <w:sz w:val="18"/>
              </w:rPr>
              <w:t>63,563,386.11</w:t>
            </w:r>
          </w:p>
        </w:tc>
        <w:tc>
          <w:tcPr>
            <w:tcW w:w="766" w:type="dxa"/>
            <w:tcBorders>
              <w:top w:val="single" w:sz="2" w:space="0" w:color="000000"/>
              <w:left w:val="single" w:sz="2" w:space="0" w:color="000000"/>
              <w:bottom w:val="single" w:sz="12" w:space="0" w:color="000000"/>
              <w:right w:val="single" w:sz="2" w:space="0" w:color="000000"/>
            </w:tcBorders>
          </w:tcPr>
          <w:p>
            <w:pPr/>
          </w:p>
        </w:tc>
        <w:tc>
          <w:tcPr>
            <w:tcW w:w="1418"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63" w:right="0"/>
              <w:jc w:val="center"/>
              <w:rPr>
                <w:rFonts w:ascii="Arial" w:hAnsi="Arial" w:cs="Arial" w:eastAsia="Arial" w:hint="default"/>
                <w:sz w:val="18"/>
                <w:szCs w:val="18"/>
              </w:rPr>
            </w:pPr>
            <w:r>
              <w:rPr>
                <w:rFonts w:ascii="Arial"/>
                <w:sz w:val="18"/>
              </w:rPr>
              <w:t>63,563,386.11</w:t>
            </w:r>
          </w:p>
        </w:tc>
      </w:tr>
    </w:tbl>
    <w:p>
      <w:pPr>
        <w:spacing w:line="240" w:lineRule="auto" w:before="5"/>
        <w:rPr>
          <w:rFonts w:ascii="宋体" w:hAnsi="宋体" w:cs="宋体" w:eastAsia="宋体" w:hint="default"/>
          <w:sz w:val="5"/>
          <w:szCs w:val="5"/>
        </w:rPr>
      </w:pPr>
    </w:p>
    <w:p>
      <w:pPr>
        <w:pStyle w:val="BodyText"/>
        <w:spacing w:line="240" w:lineRule="auto" w:before="32"/>
        <w:ind w:left="592" w:right="1133"/>
        <w:jc w:val="left"/>
      </w:pPr>
      <w:r>
        <w:rPr/>
        <w:t>（续）</w:t>
      </w:r>
    </w:p>
    <w:p>
      <w:pPr>
        <w:spacing w:line="240" w:lineRule="auto" w:before="11"/>
        <w:rPr>
          <w:rFonts w:ascii="宋体" w:hAnsi="宋体" w:cs="宋体" w:eastAsia="宋体" w:hint="default"/>
          <w:sz w:val="6"/>
          <w:szCs w:val="6"/>
        </w:rPr>
      </w:pPr>
    </w:p>
    <w:tbl>
      <w:tblPr>
        <w:tblW w:w="0" w:type="auto"/>
        <w:jc w:val="left"/>
        <w:tblInd w:w="494" w:type="dxa"/>
        <w:tblLayout w:type="fixed"/>
        <w:tblCellMar>
          <w:top w:w="0" w:type="dxa"/>
          <w:left w:w="0" w:type="dxa"/>
          <w:bottom w:w="0" w:type="dxa"/>
          <w:right w:w="0" w:type="dxa"/>
        </w:tblCellMar>
        <w:tblLook w:val="01E0"/>
      </w:tblPr>
      <w:tblGrid>
        <w:gridCol w:w="1253"/>
        <w:gridCol w:w="1369"/>
        <w:gridCol w:w="1267"/>
        <w:gridCol w:w="1368"/>
        <w:gridCol w:w="1368"/>
        <w:gridCol w:w="833"/>
        <w:gridCol w:w="1454"/>
      </w:tblGrid>
      <w:tr>
        <w:trPr>
          <w:trHeight w:val="497" w:hRule="exact"/>
        </w:trPr>
        <w:tc>
          <w:tcPr>
            <w:tcW w:w="1253"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7660" w:type="dxa"/>
            <w:gridSpan w:val="6"/>
            <w:tcBorders>
              <w:top w:val="single" w:sz="12" w:space="0" w:color="000000"/>
              <w:left w:val="single" w:sz="2" w:space="0" w:color="000000"/>
              <w:bottom w:val="single" w:sz="2" w:space="0" w:color="000000"/>
              <w:right w:val="nil" w:sz="6" w:space="0" w:color="auto"/>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710" w:hRule="exact"/>
        </w:trPr>
        <w:tc>
          <w:tcPr>
            <w:tcW w:w="1253" w:type="dxa"/>
            <w:vMerge/>
            <w:tcBorders>
              <w:left w:val="nil" w:sz="6" w:space="0" w:color="auto"/>
              <w:bottom w:val="single" w:sz="2" w:space="0" w:color="000000"/>
              <w:right w:val="single" w:sz="2" w:space="0" w:color="000000"/>
            </w:tcBorders>
          </w:tcPr>
          <w:p>
            <w:pP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非流动资产</w:t>
            </w:r>
          </w:p>
        </w:tc>
        <w:tc>
          <w:tcPr>
            <w:tcW w:w="13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3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833"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49"/>
              <w:ind w:left="235" w:right="140"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14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负债合计</w:t>
            </w:r>
          </w:p>
        </w:tc>
      </w:tr>
      <w:tr>
        <w:trPr>
          <w:trHeight w:val="1034" w:hRule="exact"/>
        </w:trPr>
        <w:tc>
          <w:tcPr>
            <w:tcW w:w="1253" w:type="dxa"/>
            <w:tcBorders>
              <w:top w:val="single" w:sz="2" w:space="0" w:color="000000"/>
              <w:left w:val="nil" w:sz="6" w:space="0" w:color="auto"/>
              <w:bottom w:val="single" w:sz="12" w:space="0" w:color="000000"/>
              <w:right w:val="single" w:sz="2" w:space="0" w:color="000000"/>
            </w:tcBorders>
          </w:tcPr>
          <w:p>
            <w:pPr>
              <w:pStyle w:val="TableParagraph"/>
              <w:spacing w:line="316" w:lineRule="auto" w:before="49"/>
              <w:ind w:left="124" w:right="67"/>
              <w:jc w:val="both"/>
              <w:rPr>
                <w:rFonts w:ascii="宋体" w:hAnsi="宋体" w:cs="宋体" w:eastAsia="宋体" w:hint="default"/>
                <w:sz w:val="18"/>
                <w:szCs w:val="18"/>
              </w:rPr>
            </w:pPr>
            <w:r>
              <w:rPr>
                <w:rFonts w:ascii="宋体" w:hAnsi="宋体" w:cs="宋体" w:eastAsia="宋体" w:hint="default"/>
                <w:spacing w:val="24"/>
                <w:sz w:val="18"/>
                <w:szCs w:val="18"/>
              </w:rPr>
              <w:t>贵州新思维</w:t>
            </w:r>
            <w:r>
              <w:rPr>
                <w:rFonts w:ascii="宋体" w:hAnsi="宋体" w:cs="宋体" w:eastAsia="宋体" w:hint="default"/>
                <w:spacing w:val="-86"/>
                <w:sz w:val="18"/>
                <w:szCs w:val="18"/>
              </w:rPr>
              <w:t> </w:t>
            </w:r>
            <w:r>
              <w:rPr>
                <w:rFonts w:ascii="宋体" w:hAnsi="宋体" w:cs="宋体" w:eastAsia="宋体" w:hint="default"/>
                <w:spacing w:val="24"/>
                <w:sz w:val="18"/>
                <w:szCs w:val="18"/>
              </w:rPr>
              <w:t>科技有限责</w:t>
            </w:r>
            <w:r>
              <w:rPr>
                <w:rFonts w:ascii="宋体" w:hAnsi="宋体" w:cs="宋体" w:eastAsia="宋体" w:hint="default"/>
                <w:spacing w:val="-86"/>
                <w:sz w:val="18"/>
                <w:szCs w:val="18"/>
              </w:rPr>
              <w:t> </w:t>
            </w:r>
            <w:r>
              <w:rPr>
                <w:rFonts w:ascii="宋体" w:hAnsi="宋体" w:cs="宋体" w:eastAsia="宋体" w:hint="default"/>
                <w:sz w:val="18"/>
                <w:szCs w:val="18"/>
              </w:rPr>
              <w:t>任公司</w:t>
            </w:r>
          </w:p>
        </w:tc>
        <w:tc>
          <w:tcPr>
            <w:tcW w:w="13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4" w:right="0"/>
              <w:jc w:val="center"/>
              <w:rPr>
                <w:rFonts w:ascii="Arial" w:hAnsi="Arial" w:cs="Arial" w:eastAsia="Arial" w:hint="default"/>
                <w:sz w:val="18"/>
                <w:szCs w:val="18"/>
              </w:rPr>
            </w:pPr>
            <w:r>
              <w:rPr>
                <w:rFonts w:ascii="Arial"/>
                <w:sz w:val="18"/>
              </w:rPr>
              <w:t>75,915,782.60</w:t>
            </w:r>
          </w:p>
        </w:tc>
        <w:tc>
          <w:tcPr>
            <w:tcW w:w="12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5" w:right="0"/>
              <w:jc w:val="center"/>
              <w:rPr>
                <w:rFonts w:ascii="Arial" w:hAnsi="Arial" w:cs="Arial" w:eastAsia="Arial" w:hint="default"/>
                <w:sz w:val="18"/>
                <w:szCs w:val="18"/>
              </w:rPr>
            </w:pPr>
            <w:r>
              <w:rPr>
                <w:rFonts w:ascii="Arial"/>
                <w:sz w:val="18"/>
              </w:rPr>
              <w:t>2,803,668.20</w:t>
            </w:r>
          </w:p>
        </w:tc>
        <w:tc>
          <w:tcPr>
            <w:tcW w:w="13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4" w:right="0"/>
              <w:jc w:val="center"/>
              <w:rPr>
                <w:rFonts w:ascii="Arial" w:hAnsi="Arial" w:cs="Arial" w:eastAsia="Arial" w:hint="default"/>
                <w:sz w:val="18"/>
                <w:szCs w:val="18"/>
              </w:rPr>
            </w:pPr>
            <w:r>
              <w:rPr>
                <w:rFonts w:ascii="Arial"/>
                <w:sz w:val="18"/>
              </w:rPr>
              <w:t>78,719,450.80</w:t>
            </w:r>
          </w:p>
        </w:tc>
        <w:tc>
          <w:tcPr>
            <w:tcW w:w="13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5" w:right="0"/>
              <w:jc w:val="center"/>
              <w:rPr>
                <w:rFonts w:ascii="Arial" w:hAnsi="Arial" w:cs="Arial" w:eastAsia="Arial" w:hint="default"/>
                <w:sz w:val="18"/>
                <w:szCs w:val="18"/>
              </w:rPr>
            </w:pPr>
            <w:r>
              <w:rPr>
                <w:rFonts w:ascii="Arial"/>
                <w:sz w:val="18"/>
              </w:rPr>
              <w:t>43,364,821.69</w:t>
            </w:r>
          </w:p>
        </w:tc>
        <w:tc>
          <w:tcPr>
            <w:tcW w:w="833" w:type="dxa"/>
            <w:tcBorders>
              <w:top w:val="single" w:sz="2" w:space="0" w:color="000000"/>
              <w:left w:val="single" w:sz="2" w:space="0" w:color="000000"/>
              <w:bottom w:val="single" w:sz="12" w:space="0" w:color="000000"/>
              <w:right w:val="single" w:sz="2" w:space="0" w:color="000000"/>
            </w:tcBorders>
          </w:tcPr>
          <w:p>
            <w:pPr/>
          </w:p>
        </w:tc>
        <w:tc>
          <w:tcPr>
            <w:tcW w:w="1454"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89" w:right="0"/>
              <w:jc w:val="center"/>
              <w:rPr>
                <w:rFonts w:ascii="Arial" w:hAnsi="Arial" w:cs="Arial" w:eastAsia="Arial" w:hint="default"/>
                <w:sz w:val="18"/>
                <w:szCs w:val="18"/>
              </w:rPr>
            </w:pPr>
            <w:r>
              <w:rPr>
                <w:rFonts w:ascii="Arial"/>
                <w:sz w:val="18"/>
              </w:rPr>
              <w:t>43,364,821.69</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tbl>
      <w:tblPr>
        <w:tblW w:w="0" w:type="auto"/>
        <w:jc w:val="left"/>
        <w:tblInd w:w="580" w:type="dxa"/>
        <w:tblLayout w:type="fixed"/>
        <w:tblCellMar>
          <w:top w:w="0" w:type="dxa"/>
          <w:left w:w="0" w:type="dxa"/>
          <w:bottom w:w="0" w:type="dxa"/>
          <w:right w:w="0" w:type="dxa"/>
        </w:tblCellMar>
        <w:tblLook w:val="01E0"/>
      </w:tblPr>
      <w:tblGrid>
        <w:gridCol w:w="1687"/>
        <w:gridCol w:w="1700"/>
        <w:gridCol w:w="1700"/>
        <w:gridCol w:w="1699"/>
        <w:gridCol w:w="1954"/>
      </w:tblGrid>
      <w:tr>
        <w:trPr>
          <w:trHeight w:val="497" w:hRule="exact"/>
        </w:trPr>
        <w:tc>
          <w:tcPr>
            <w:tcW w:w="1687"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4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7053"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本年发生额</w:t>
            </w:r>
          </w:p>
        </w:tc>
      </w:tr>
      <w:tr>
        <w:trPr>
          <w:trHeight w:val="485" w:hRule="exact"/>
        </w:trPr>
        <w:tc>
          <w:tcPr>
            <w:tcW w:w="1687" w:type="dxa"/>
            <w:vMerge/>
            <w:tcBorders>
              <w:left w:val="nil" w:sz="6" w:space="0" w:color="auto"/>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49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307"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left="254"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499" w:hRule="exact"/>
        </w:trPr>
        <w:tc>
          <w:tcPr>
            <w:tcW w:w="168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贵州新思维科技有</w:t>
            </w: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39" w:right="0"/>
              <w:jc w:val="left"/>
              <w:rPr>
                <w:rFonts w:ascii="Arial" w:hAnsi="Arial" w:cs="Arial" w:eastAsia="Arial" w:hint="default"/>
                <w:sz w:val="18"/>
                <w:szCs w:val="18"/>
              </w:rPr>
            </w:pPr>
            <w:r>
              <w:rPr>
                <w:rFonts w:ascii="Arial"/>
                <w:sz w:val="18"/>
              </w:rPr>
              <w:t>90,622,139.54</w:t>
            </w: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39" w:right="0"/>
              <w:jc w:val="left"/>
              <w:rPr>
                <w:rFonts w:ascii="Arial" w:hAnsi="Arial" w:cs="Arial" w:eastAsia="Arial" w:hint="default"/>
                <w:sz w:val="18"/>
                <w:szCs w:val="18"/>
              </w:rPr>
            </w:pPr>
            <w:r>
              <w:rPr>
                <w:rFonts w:ascii="Arial"/>
                <w:sz w:val="18"/>
              </w:rPr>
              <w:t>15,599,844.09</w:t>
            </w:r>
          </w:p>
        </w:tc>
        <w:tc>
          <w:tcPr>
            <w:tcW w:w="16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36" w:right="0"/>
              <w:jc w:val="left"/>
              <w:rPr>
                <w:rFonts w:ascii="Arial" w:hAnsi="Arial" w:cs="Arial" w:eastAsia="Arial" w:hint="default"/>
                <w:sz w:val="18"/>
                <w:szCs w:val="18"/>
              </w:rPr>
            </w:pPr>
            <w:r>
              <w:rPr>
                <w:rFonts w:ascii="Arial"/>
                <w:sz w:val="18"/>
              </w:rPr>
              <w:t>15,599,844.09</w:t>
            </w:r>
          </w:p>
        </w:tc>
        <w:tc>
          <w:tcPr>
            <w:tcW w:w="195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691" w:right="0"/>
              <w:jc w:val="left"/>
              <w:rPr>
                <w:rFonts w:ascii="Arial" w:hAnsi="Arial" w:cs="Arial" w:eastAsia="Arial" w:hint="default"/>
                <w:sz w:val="18"/>
                <w:szCs w:val="18"/>
              </w:rPr>
            </w:pPr>
            <w:r>
              <w:rPr>
                <w:rFonts w:ascii="Arial"/>
                <w:sz w:val="18"/>
              </w:rPr>
              <w:t>18,798,172.67</w:t>
            </w:r>
          </w:p>
        </w:tc>
      </w:tr>
    </w:tbl>
    <w:p>
      <w:pPr>
        <w:spacing w:after="0" w:line="240" w:lineRule="auto"/>
        <w:jc w:val="left"/>
        <w:rPr>
          <w:rFonts w:ascii="Arial" w:hAnsi="Arial" w:cs="Arial" w:eastAsia="Arial"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580" w:type="dxa"/>
        <w:tblLayout w:type="fixed"/>
        <w:tblCellMar>
          <w:top w:w="0" w:type="dxa"/>
          <w:left w:w="0" w:type="dxa"/>
          <w:bottom w:w="0" w:type="dxa"/>
          <w:right w:w="0" w:type="dxa"/>
        </w:tblCellMar>
        <w:tblLook w:val="01E0"/>
      </w:tblPr>
      <w:tblGrid>
        <w:gridCol w:w="1687"/>
        <w:gridCol w:w="1700"/>
        <w:gridCol w:w="1700"/>
        <w:gridCol w:w="1699"/>
        <w:gridCol w:w="1954"/>
      </w:tblGrid>
      <w:tr>
        <w:trPr>
          <w:trHeight w:val="500" w:hRule="exact"/>
        </w:trPr>
        <w:tc>
          <w:tcPr>
            <w:tcW w:w="168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2"/>
              <w:ind w:left="4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7053"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本年发生额</w:t>
            </w:r>
          </w:p>
        </w:tc>
      </w:tr>
      <w:tr>
        <w:trPr>
          <w:trHeight w:val="456" w:hRule="exact"/>
        </w:trPr>
        <w:tc>
          <w:tcPr>
            <w:tcW w:w="168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9"/>
              <w:ind w:left="124"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1700" w:type="dxa"/>
            <w:tcBorders>
              <w:top w:val="single" w:sz="2" w:space="0" w:color="000000"/>
              <w:left w:val="single" w:sz="2" w:space="0" w:color="000000"/>
              <w:bottom w:val="single" w:sz="12" w:space="0" w:color="000000"/>
              <w:right w:val="single" w:sz="2" w:space="0" w:color="000000"/>
            </w:tcBorders>
          </w:tcPr>
          <w:p>
            <w:pPr/>
          </w:p>
        </w:tc>
        <w:tc>
          <w:tcPr>
            <w:tcW w:w="1700" w:type="dxa"/>
            <w:tcBorders>
              <w:top w:val="single" w:sz="2" w:space="0" w:color="000000"/>
              <w:left w:val="single" w:sz="2" w:space="0" w:color="000000"/>
              <w:bottom w:val="single" w:sz="12" w:space="0" w:color="000000"/>
              <w:right w:val="single" w:sz="2" w:space="0" w:color="000000"/>
            </w:tcBorders>
          </w:tcPr>
          <w:p>
            <w:pPr/>
          </w:p>
        </w:tc>
        <w:tc>
          <w:tcPr>
            <w:tcW w:w="1699" w:type="dxa"/>
            <w:tcBorders>
              <w:top w:val="single" w:sz="2" w:space="0" w:color="000000"/>
              <w:left w:val="single" w:sz="2" w:space="0" w:color="000000"/>
              <w:bottom w:val="single" w:sz="12" w:space="0" w:color="000000"/>
              <w:right w:val="single" w:sz="2" w:space="0" w:color="000000"/>
            </w:tcBorders>
          </w:tcPr>
          <w:p>
            <w:pPr/>
          </w:p>
        </w:tc>
        <w:tc>
          <w:tcPr>
            <w:tcW w:w="1954" w:type="dxa"/>
            <w:tcBorders>
              <w:top w:val="single" w:sz="2" w:space="0" w:color="000000"/>
              <w:left w:val="single" w:sz="2" w:space="0" w:color="000000"/>
              <w:bottom w:val="single" w:sz="12" w:space="0" w:color="000000"/>
              <w:right w:val="nil" w:sz="6" w:space="0" w:color="auto"/>
            </w:tcBorders>
          </w:tcPr>
          <w:p>
            <w:pPr/>
          </w:p>
        </w:tc>
      </w:tr>
    </w:tbl>
    <w:p>
      <w:pPr>
        <w:spacing w:line="240" w:lineRule="auto" w:before="5"/>
        <w:rPr>
          <w:rFonts w:ascii="宋体" w:hAnsi="宋体" w:cs="宋体" w:eastAsia="宋体" w:hint="default"/>
          <w:sz w:val="5"/>
          <w:szCs w:val="5"/>
        </w:rPr>
      </w:pPr>
    </w:p>
    <w:p>
      <w:pPr>
        <w:pStyle w:val="BodyText"/>
        <w:spacing w:line="240" w:lineRule="auto" w:before="32"/>
        <w:ind w:left="592" w:right="1133"/>
        <w:jc w:val="left"/>
      </w:pPr>
      <w:r>
        <w:rPr/>
        <w:t>（续）</w:t>
      </w:r>
    </w:p>
    <w:p>
      <w:pPr>
        <w:spacing w:line="240" w:lineRule="auto" w:before="11"/>
        <w:rPr>
          <w:rFonts w:ascii="宋体" w:hAnsi="宋体" w:cs="宋体" w:eastAsia="宋体" w:hint="default"/>
          <w:sz w:val="6"/>
          <w:szCs w:val="6"/>
        </w:rPr>
      </w:pPr>
    </w:p>
    <w:tbl>
      <w:tblPr>
        <w:tblW w:w="0" w:type="auto"/>
        <w:jc w:val="left"/>
        <w:tblInd w:w="580" w:type="dxa"/>
        <w:tblLayout w:type="fixed"/>
        <w:tblCellMar>
          <w:top w:w="0" w:type="dxa"/>
          <w:left w:w="0" w:type="dxa"/>
          <w:bottom w:w="0" w:type="dxa"/>
          <w:right w:w="0" w:type="dxa"/>
        </w:tblCellMar>
        <w:tblLook w:val="01E0"/>
      </w:tblPr>
      <w:tblGrid>
        <w:gridCol w:w="1682"/>
        <w:gridCol w:w="1702"/>
        <w:gridCol w:w="1702"/>
        <w:gridCol w:w="1702"/>
        <w:gridCol w:w="1952"/>
      </w:tblGrid>
      <w:tr>
        <w:trPr>
          <w:trHeight w:val="499" w:hRule="exact"/>
        </w:trPr>
        <w:tc>
          <w:tcPr>
            <w:tcW w:w="1682"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40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7057"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485" w:hRule="exact"/>
        </w:trPr>
        <w:tc>
          <w:tcPr>
            <w:tcW w:w="1682" w:type="dxa"/>
            <w:vMerge/>
            <w:tcBorders>
              <w:left w:val="nil" w:sz="6" w:space="0" w:color="auto"/>
              <w:bottom w:val="single" w:sz="2" w:space="0" w:color="000000"/>
              <w:right w:val="single" w:sz="2" w:space="0" w:color="000000"/>
            </w:tcBorders>
          </w:tcPr>
          <w:p>
            <w:pP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49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4"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307"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left="252"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898" w:hRule="exact"/>
        </w:trPr>
        <w:tc>
          <w:tcPr>
            <w:tcW w:w="1682" w:type="dxa"/>
            <w:tcBorders>
              <w:top w:val="single" w:sz="2" w:space="0" w:color="000000"/>
              <w:left w:val="nil" w:sz="6" w:space="0" w:color="auto"/>
              <w:bottom w:val="single" w:sz="12" w:space="0" w:color="000000"/>
              <w:right w:val="single" w:sz="2" w:space="0" w:color="000000"/>
            </w:tcBorders>
          </w:tcPr>
          <w:p>
            <w:pPr>
              <w:pStyle w:val="TableParagraph"/>
              <w:spacing w:line="405" w:lineRule="auto" w:before="149"/>
              <w:ind w:left="124" w:right="100"/>
              <w:jc w:val="left"/>
              <w:rPr>
                <w:rFonts w:ascii="宋体" w:hAnsi="宋体" w:cs="宋体" w:eastAsia="宋体" w:hint="default"/>
                <w:sz w:val="18"/>
                <w:szCs w:val="18"/>
              </w:rPr>
            </w:pPr>
            <w:r>
              <w:rPr>
                <w:rFonts w:ascii="宋体" w:hAnsi="宋体" w:cs="宋体" w:eastAsia="宋体" w:hint="default"/>
                <w:sz w:val="18"/>
                <w:szCs w:val="18"/>
              </w:rPr>
              <w:t>贵州新思维科技有</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限责任公司</w:t>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441" w:right="0"/>
              <w:jc w:val="left"/>
              <w:rPr>
                <w:rFonts w:ascii="Arial" w:hAnsi="Arial" w:cs="Arial" w:eastAsia="Arial" w:hint="default"/>
                <w:sz w:val="18"/>
                <w:szCs w:val="18"/>
              </w:rPr>
            </w:pPr>
            <w:r>
              <w:rPr>
                <w:rFonts w:ascii="Arial"/>
                <w:sz w:val="18"/>
              </w:rPr>
              <w:t>80,589,169.88</w:t>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441" w:right="0"/>
              <w:jc w:val="left"/>
              <w:rPr>
                <w:rFonts w:ascii="Arial" w:hAnsi="Arial" w:cs="Arial" w:eastAsia="Arial" w:hint="default"/>
                <w:sz w:val="18"/>
                <w:szCs w:val="18"/>
              </w:rPr>
            </w:pPr>
            <w:r>
              <w:rPr>
                <w:rFonts w:ascii="Arial"/>
                <w:sz w:val="18"/>
              </w:rPr>
              <w:t>17,155,501.88</w:t>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439" w:right="0"/>
              <w:jc w:val="left"/>
              <w:rPr>
                <w:rFonts w:ascii="Arial" w:hAnsi="Arial" w:cs="Arial" w:eastAsia="Arial" w:hint="default"/>
                <w:sz w:val="18"/>
                <w:szCs w:val="18"/>
              </w:rPr>
            </w:pPr>
            <w:r>
              <w:rPr>
                <w:rFonts w:ascii="Arial"/>
                <w:sz w:val="18"/>
              </w:rPr>
              <w:t>17,155,501.88</w:t>
            </w:r>
          </w:p>
        </w:tc>
        <w:tc>
          <w:tcPr>
            <w:tcW w:w="1952"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790" w:right="0"/>
              <w:jc w:val="left"/>
              <w:rPr>
                <w:rFonts w:ascii="Arial" w:hAnsi="Arial" w:cs="Arial" w:eastAsia="Arial" w:hint="default"/>
                <w:sz w:val="18"/>
                <w:szCs w:val="18"/>
              </w:rPr>
            </w:pPr>
            <w:r>
              <w:rPr>
                <w:rFonts w:ascii="Arial"/>
                <w:sz w:val="18"/>
              </w:rPr>
              <w:t>5,800,991.89</w:t>
            </w:r>
          </w:p>
        </w:tc>
      </w:tr>
    </w:tbl>
    <w:p>
      <w:pPr>
        <w:pStyle w:val="Heading4"/>
        <w:spacing w:line="240" w:lineRule="auto"/>
        <w:ind w:left="647" w:right="1133"/>
        <w:jc w:val="left"/>
        <w:rPr>
          <w:b w:val="0"/>
          <w:bCs w:val="0"/>
        </w:rPr>
      </w:pPr>
      <w:r>
        <w:rPr>
          <w:rFonts w:ascii="Arial" w:hAnsi="Arial" w:cs="Arial" w:eastAsia="Arial" w:hint="default"/>
        </w:rPr>
        <w:t>2</w:t>
      </w:r>
      <w:r>
        <w:rPr/>
        <w:t>、在合营企业或联营企业中的权益</w:t>
      </w:r>
      <w:r>
        <w:rPr>
          <w:b w:val="0"/>
          <w:bCs w:val="0"/>
        </w:rPr>
      </w:r>
    </w:p>
    <w:p>
      <w:pPr>
        <w:pStyle w:val="BodyText"/>
        <w:spacing w:line="240" w:lineRule="auto" w:before="138"/>
        <w:ind w:left="592" w:right="1133"/>
        <w:jc w:val="left"/>
      </w:pPr>
      <w:r>
        <w:rPr/>
        <w:t>（</w:t>
      </w:r>
      <w:r>
        <w:rPr>
          <w:rFonts w:ascii="Arial" w:hAnsi="Arial" w:cs="Arial" w:eastAsia="Arial" w:hint="default"/>
        </w:rPr>
        <w:t>1</w:t>
      </w:r>
      <w:r>
        <w:rPr/>
        <w:t>）重要的合营企业或联营企业</w:t>
      </w:r>
    </w:p>
    <w:p>
      <w:pPr>
        <w:spacing w:line="240" w:lineRule="auto" w:before="8"/>
        <w:rPr>
          <w:rFonts w:ascii="宋体" w:hAnsi="宋体" w:cs="宋体" w:eastAsia="宋体" w:hint="default"/>
          <w:sz w:val="5"/>
          <w:szCs w:val="5"/>
        </w:rPr>
      </w:pPr>
    </w:p>
    <w:tbl>
      <w:tblPr>
        <w:tblW w:w="0" w:type="auto"/>
        <w:jc w:val="left"/>
        <w:tblInd w:w="580" w:type="dxa"/>
        <w:tblLayout w:type="fixed"/>
        <w:tblCellMar>
          <w:top w:w="0" w:type="dxa"/>
          <w:left w:w="0" w:type="dxa"/>
          <w:bottom w:w="0" w:type="dxa"/>
          <w:right w:w="0" w:type="dxa"/>
        </w:tblCellMar>
        <w:tblLook w:val="01E0"/>
      </w:tblPr>
      <w:tblGrid>
        <w:gridCol w:w="2677"/>
        <w:gridCol w:w="994"/>
        <w:gridCol w:w="850"/>
        <w:gridCol w:w="1275"/>
        <w:gridCol w:w="850"/>
        <w:gridCol w:w="778"/>
        <w:gridCol w:w="1318"/>
      </w:tblGrid>
      <w:tr>
        <w:trPr>
          <w:trHeight w:val="415" w:hRule="exact"/>
        </w:trPr>
        <w:tc>
          <w:tcPr>
            <w:tcW w:w="2677"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994"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03" w:right="132" w:hanging="269"/>
              <w:jc w:val="left"/>
              <w:rPr>
                <w:rFonts w:ascii="宋体" w:hAnsi="宋体" w:cs="宋体" w:eastAsia="宋体" w:hint="default"/>
                <w:sz w:val="18"/>
                <w:szCs w:val="18"/>
              </w:rPr>
            </w:pPr>
            <w:r>
              <w:rPr>
                <w:rFonts w:ascii="宋体" w:hAnsi="宋体" w:cs="宋体" w:eastAsia="宋体" w:hint="default"/>
                <w:sz w:val="18"/>
                <w:szCs w:val="18"/>
              </w:rPr>
              <w:t>主要经营 地</w:t>
            </w:r>
          </w:p>
        </w:tc>
        <w:tc>
          <w:tcPr>
            <w:tcW w:w="850"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275"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628"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1"/>
              <w:ind w:left="309" w:right="0"/>
              <w:jc w:val="left"/>
              <w:rPr>
                <w:rFonts w:ascii="Arial" w:hAnsi="Arial" w:cs="Arial" w:eastAsia="Arial" w:hint="default"/>
                <w:sz w:val="18"/>
                <w:szCs w:val="18"/>
              </w:rPr>
            </w:pPr>
            <w:r>
              <w:rPr>
                <w:rFonts w:ascii="宋体" w:hAnsi="宋体" w:cs="宋体" w:eastAsia="宋体" w:hint="default"/>
                <w:sz w:val="18"/>
                <w:szCs w:val="18"/>
              </w:rPr>
              <w:t>持股比例</w:t>
            </w:r>
            <w:r>
              <w:rPr>
                <w:rFonts w:ascii="Arial" w:hAnsi="Arial" w:cs="Arial" w:eastAsia="Arial" w:hint="default"/>
                <w:sz w:val="18"/>
                <w:szCs w:val="18"/>
              </w:rPr>
              <w:t>(%)</w:t>
            </w:r>
          </w:p>
        </w:tc>
        <w:tc>
          <w:tcPr>
            <w:tcW w:w="1318" w:type="dxa"/>
            <w:vMerge w:val="restart"/>
            <w:tcBorders>
              <w:top w:val="single" w:sz="12" w:space="0" w:color="000000"/>
              <w:left w:val="single" w:sz="2" w:space="0" w:color="000000"/>
              <w:right w:val="nil" w:sz="6" w:space="0" w:color="auto"/>
            </w:tcBorders>
          </w:tcPr>
          <w:p>
            <w:pPr>
              <w:pStyle w:val="TableParagraph"/>
              <w:spacing w:line="316" w:lineRule="auto" w:before="49"/>
              <w:ind w:left="117" w:right="115"/>
              <w:jc w:val="center"/>
              <w:rPr>
                <w:rFonts w:ascii="宋体" w:hAnsi="宋体" w:cs="宋体" w:eastAsia="宋体" w:hint="default"/>
                <w:sz w:val="18"/>
                <w:szCs w:val="18"/>
              </w:rPr>
            </w:pPr>
            <w:r>
              <w:rPr>
                <w:rFonts w:ascii="宋体" w:hAnsi="宋体" w:cs="宋体" w:eastAsia="宋体" w:hint="default"/>
                <w:sz w:val="18"/>
                <w:szCs w:val="18"/>
              </w:rPr>
              <w:t>对合营企业或 联营企业投资 的会计处理方 法</w:t>
            </w:r>
          </w:p>
        </w:tc>
      </w:tr>
      <w:tr>
        <w:trPr>
          <w:trHeight w:val="931" w:hRule="exact"/>
        </w:trPr>
        <w:tc>
          <w:tcPr>
            <w:tcW w:w="2677" w:type="dxa"/>
            <w:vMerge/>
            <w:tcBorders>
              <w:left w:val="nil" w:sz="6" w:space="0" w:color="auto"/>
              <w:bottom w:val="single" w:sz="2" w:space="0" w:color="000000"/>
              <w:right w:val="single" w:sz="2" w:space="0" w:color="000000"/>
            </w:tcBorders>
          </w:tcPr>
          <w:p>
            <w:pPr/>
          </w:p>
        </w:tc>
        <w:tc>
          <w:tcPr>
            <w:tcW w:w="994" w:type="dxa"/>
            <w:vMerge/>
            <w:tcBorders>
              <w:left w:val="single" w:sz="2" w:space="0" w:color="000000"/>
              <w:bottom w:val="single" w:sz="2" w:space="0" w:color="000000"/>
              <w:right w:val="single" w:sz="2" w:space="0" w:color="000000"/>
            </w:tcBorders>
          </w:tcPr>
          <w:p>
            <w:pPr/>
          </w:p>
        </w:tc>
        <w:tc>
          <w:tcPr>
            <w:tcW w:w="850" w:type="dxa"/>
            <w:vMerge/>
            <w:tcBorders>
              <w:left w:val="single" w:sz="2" w:space="0" w:color="000000"/>
              <w:bottom w:val="single" w:sz="2" w:space="0" w:color="000000"/>
              <w:right w:val="single" w:sz="2" w:space="0" w:color="000000"/>
            </w:tcBorders>
          </w:tcPr>
          <w:p>
            <w:pPr/>
          </w:p>
        </w:tc>
        <w:tc>
          <w:tcPr>
            <w:tcW w:w="1275" w:type="dxa"/>
            <w:vMerge/>
            <w:tcBorders>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7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318" w:type="dxa"/>
            <w:vMerge/>
            <w:tcBorders>
              <w:left w:val="single" w:sz="2" w:space="0" w:color="000000"/>
              <w:bottom w:val="single" w:sz="2" w:space="0" w:color="000000"/>
              <w:right w:val="nil" w:sz="6" w:space="0" w:color="auto"/>
            </w:tcBorders>
          </w:tcPr>
          <w:p>
            <w:pPr/>
          </w:p>
        </w:tc>
      </w:tr>
      <w:tr>
        <w:trPr>
          <w:trHeight w:val="1020"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124" w:right="104"/>
              <w:jc w:val="left"/>
              <w:rPr>
                <w:rFonts w:ascii="宋体" w:hAnsi="宋体" w:cs="宋体" w:eastAsia="宋体" w:hint="default"/>
                <w:sz w:val="18"/>
                <w:szCs w:val="18"/>
              </w:rPr>
            </w:pPr>
            <w:r>
              <w:rPr>
                <w:rFonts w:ascii="宋体" w:hAnsi="宋体" w:cs="宋体" w:eastAsia="宋体" w:hint="default"/>
                <w:spacing w:val="-6"/>
                <w:sz w:val="18"/>
                <w:szCs w:val="18"/>
              </w:rPr>
              <w:t>中远海运古野通信导航科技（上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海）有限公司</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49"/>
              <w:ind w:left="105" w:right="102"/>
              <w:jc w:val="both"/>
              <w:rPr>
                <w:rFonts w:ascii="宋体" w:hAnsi="宋体" w:cs="宋体" w:eastAsia="宋体" w:hint="default"/>
                <w:sz w:val="18"/>
                <w:szCs w:val="18"/>
              </w:rPr>
            </w:pPr>
            <w:r>
              <w:rPr>
                <w:rFonts w:ascii="宋体" w:hAnsi="宋体" w:cs="宋体" w:eastAsia="宋体" w:hint="default"/>
                <w:sz w:val="18"/>
                <w:szCs w:val="18"/>
              </w:rPr>
              <w:t>船</w:t>
            </w:r>
            <w:r>
              <w:rPr>
                <w:rFonts w:ascii="宋体" w:hAnsi="宋体" w:cs="宋体" w:eastAsia="宋体" w:hint="default"/>
                <w:spacing w:val="-50"/>
                <w:sz w:val="18"/>
                <w:szCs w:val="18"/>
              </w:rPr>
              <w:t> </w:t>
            </w:r>
            <w:r>
              <w:rPr>
                <w:rFonts w:ascii="宋体" w:hAnsi="宋体" w:cs="宋体" w:eastAsia="宋体" w:hint="default"/>
                <w:sz w:val="18"/>
                <w:szCs w:val="18"/>
              </w:rPr>
              <w:t>舶</w:t>
            </w:r>
            <w:r>
              <w:rPr>
                <w:rFonts w:ascii="宋体" w:hAnsi="宋体" w:cs="宋体" w:eastAsia="宋体" w:hint="default"/>
                <w:spacing w:val="-50"/>
                <w:sz w:val="18"/>
                <w:szCs w:val="18"/>
              </w:rPr>
              <w:t> </w:t>
            </w:r>
            <w:r>
              <w:rPr>
                <w:rFonts w:ascii="宋体" w:hAnsi="宋体" w:cs="宋体" w:eastAsia="宋体" w:hint="default"/>
                <w:sz w:val="18"/>
                <w:szCs w:val="18"/>
              </w:rPr>
              <w:t>通</w:t>
            </w:r>
            <w:r>
              <w:rPr>
                <w:rFonts w:ascii="宋体" w:hAnsi="宋体" w:cs="宋体" w:eastAsia="宋体" w:hint="default"/>
                <w:spacing w:val="-52"/>
                <w:sz w:val="18"/>
                <w:szCs w:val="18"/>
              </w:rPr>
              <w:t> </w:t>
            </w:r>
            <w:r>
              <w:rPr>
                <w:rFonts w:ascii="宋体" w:hAnsi="宋体" w:cs="宋体" w:eastAsia="宋体" w:hint="default"/>
                <w:sz w:val="18"/>
                <w:szCs w:val="18"/>
              </w:rPr>
              <w:t>信</w:t>
            </w:r>
            <w:r>
              <w:rPr>
                <w:rFonts w:ascii="宋体" w:hAnsi="宋体" w:cs="宋体" w:eastAsia="宋体" w:hint="default"/>
                <w:spacing w:val="-50"/>
                <w:sz w:val="18"/>
                <w:szCs w:val="18"/>
              </w:rPr>
              <w:t> </w:t>
            </w:r>
            <w:r>
              <w:rPr>
                <w:rFonts w:ascii="宋体" w:hAnsi="宋体" w:cs="宋体" w:eastAsia="宋体" w:hint="default"/>
                <w:sz w:val="18"/>
                <w:szCs w:val="18"/>
              </w:rPr>
              <w:t>设</w:t>
            </w:r>
            <w:r>
              <w:rPr>
                <w:rFonts w:ascii="宋体" w:hAnsi="宋体" w:cs="宋体" w:eastAsia="宋体" w:hint="default"/>
                <w:sz w:val="18"/>
                <w:szCs w:val="18"/>
              </w:rPr>
              <w:t> </w:t>
            </w:r>
            <w:r>
              <w:rPr>
                <w:rFonts w:ascii="宋体" w:hAnsi="宋体" w:cs="宋体" w:eastAsia="宋体" w:hint="default"/>
                <w:spacing w:val="-4"/>
                <w:sz w:val="18"/>
                <w:szCs w:val="18"/>
              </w:rPr>
              <w:t>备销售、技术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服务</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7" w:right="0"/>
              <w:jc w:val="left"/>
              <w:rPr>
                <w:rFonts w:ascii="Arial" w:hAnsi="Arial" w:cs="Arial" w:eastAsia="Arial" w:hint="default"/>
                <w:sz w:val="18"/>
                <w:szCs w:val="18"/>
              </w:rPr>
            </w:pPr>
            <w:r>
              <w:rPr>
                <w:rFonts w:ascii="Arial"/>
                <w:sz w:val="18"/>
              </w:rPr>
              <w:t>50.00</w:t>
            </w:r>
          </w:p>
        </w:tc>
        <w:tc>
          <w:tcPr>
            <w:tcW w:w="77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权益法</w:t>
            </w:r>
          </w:p>
        </w:tc>
      </w:tr>
      <w:tr>
        <w:trPr>
          <w:trHeight w:val="710"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316" w:lineRule="auto" w:before="49"/>
              <w:ind w:left="124" w:right="104"/>
              <w:jc w:val="left"/>
              <w:rPr>
                <w:rFonts w:ascii="宋体" w:hAnsi="宋体" w:cs="宋体" w:eastAsia="宋体" w:hint="default"/>
                <w:sz w:val="18"/>
                <w:szCs w:val="18"/>
              </w:rPr>
            </w:pPr>
            <w:r>
              <w:rPr>
                <w:rFonts w:ascii="宋体" w:hAnsi="宋体" w:cs="宋体" w:eastAsia="宋体" w:hint="default"/>
                <w:spacing w:val="7"/>
                <w:sz w:val="18"/>
                <w:szCs w:val="18"/>
              </w:rPr>
              <w:t>深圳一海通全球供应链管理有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限公司</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87" w:right="0"/>
              <w:jc w:val="left"/>
              <w:rPr>
                <w:rFonts w:ascii="Arial" w:hAnsi="Arial" w:cs="Arial" w:eastAsia="Arial" w:hint="default"/>
                <w:sz w:val="18"/>
                <w:szCs w:val="18"/>
              </w:rPr>
            </w:pPr>
            <w:r>
              <w:rPr>
                <w:rFonts w:ascii="Arial"/>
                <w:sz w:val="18"/>
              </w:rPr>
              <w:t>25.00</w:t>
            </w:r>
          </w:p>
        </w:tc>
        <w:tc>
          <w:tcPr>
            <w:tcW w:w="77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权益法</w:t>
            </w:r>
          </w:p>
        </w:tc>
      </w:tr>
      <w:tr>
        <w:trPr>
          <w:trHeight w:val="1020"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24" w:right="0"/>
              <w:jc w:val="left"/>
              <w:rPr>
                <w:rFonts w:ascii="宋体" w:hAnsi="宋体" w:cs="宋体" w:eastAsia="宋体" w:hint="default"/>
                <w:sz w:val="18"/>
                <w:szCs w:val="18"/>
              </w:rPr>
            </w:pPr>
            <w:r>
              <w:rPr>
                <w:rFonts w:ascii="宋体" w:hAnsi="宋体" w:cs="宋体" w:eastAsia="宋体" w:hint="default"/>
                <w:sz w:val="18"/>
                <w:szCs w:val="18"/>
              </w:rPr>
              <w:t>上海中远资讯科技有限公司</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49"/>
              <w:ind w:left="105" w:right="102"/>
              <w:jc w:val="both"/>
              <w:rPr>
                <w:rFonts w:ascii="宋体" w:hAnsi="宋体" w:cs="宋体" w:eastAsia="宋体" w:hint="default"/>
                <w:sz w:val="18"/>
                <w:szCs w:val="18"/>
              </w:rPr>
            </w:pPr>
            <w:r>
              <w:rPr>
                <w:rFonts w:ascii="宋体" w:hAnsi="宋体" w:cs="宋体" w:eastAsia="宋体" w:hint="default"/>
                <w:spacing w:val="-4"/>
                <w:sz w:val="18"/>
                <w:szCs w:val="18"/>
              </w:rPr>
              <w:t>信息传输、软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件</w:t>
            </w:r>
            <w:r>
              <w:rPr>
                <w:rFonts w:ascii="宋体" w:hAnsi="宋体" w:cs="宋体" w:eastAsia="宋体" w:hint="default"/>
                <w:spacing w:val="-50"/>
                <w:sz w:val="18"/>
                <w:szCs w:val="18"/>
              </w:rPr>
              <w:t> </w:t>
            </w:r>
            <w:r>
              <w:rPr>
                <w:rFonts w:ascii="宋体" w:hAnsi="宋体" w:cs="宋体" w:eastAsia="宋体" w:hint="default"/>
                <w:sz w:val="18"/>
                <w:szCs w:val="18"/>
              </w:rPr>
              <w:t>和</w:t>
            </w:r>
            <w:r>
              <w:rPr>
                <w:rFonts w:ascii="宋体" w:hAnsi="宋体" w:cs="宋体" w:eastAsia="宋体" w:hint="default"/>
                <w:spacing w:val="-50"/>
                <w:sz w:val="18"/>
                <w:szCs w:val="18"/>
              </w:rPr>
              <w:t> </w:t>
            </w:r>
            <w:r>
              <w:rPr>
                <w:rFonts w:ascii="宋体" w:hAnsi="宋体" w:cs="宋体" w:eastAsia="宋体" w:hint="default"/>
                <w:sz w:val="18"/>
                <w:szCs w:val="18"/>
              </w:rPr>
              <w:t>信</w:t>
            </w:r>
            <w:r>
              <w:rPr>
                <w:rFonts w:ascii="宋体" w:hAnsi="宋体" w:cs="宋体" w:eastAsia="宋体" w:hint="default"/>
                <w:spacing w:val="-52"/>
                <w:sz w:val="18"/>
                <w:szCs w:val="18"/>
              </w:rPr>
              <w:t> </w:t>
            </w:r>
            <w:r>
              <w:rPr>
                <w:rFonts w:ascii="宋体" w:hAnsi="宋体" w:cs="宋体" w:eastAsia="宋体" w:hint="default"/>
                <w:sz w:val="18"/>
                <w:szCs w:val="18"/>
              </w:rPr>
              <w:t>息</w:t>
            </w:r>
            <w:r>
              <w:rPr>
                <w:rFonts w:ascii="宋体" w:hAnsi="宋体" w:cs="宋体" w:eastAsia="宋体" w:hint="default"/>
                <w:spacing w:val="-50"/>
                <w:sz w:val="18"/>
                <w:szCs w:val="18"/>
              </w:rPr>
              <w:t> </w:t>
            </w:r>
            <w:r>
              <w:rPr>
                <w:rFonts w:ascii="宋体" w:hAnsi="宋体" w:cs="宋体" w:eastAsia="宋体" w:hint="default"/>
                <w:sz w:val="18"/>
                <w:szCs w:val="18"/>
              </w:rPr>
              <w:t>技</w:t>
            </w:r>
            <w:r>
              <w:rPr>
                <w:rFonts w:ascii="宋体" w:hAnsi="宋体" w:cs="宋体" w:eastAsia="宋体" w:hint="default"/>
                <w:sz w:val="18"/>
                <w:szCs w:val="18"/>
              </w:rPr>
              <w:t> 术服务</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7" w:right="0"/>
              <w:jc w:val="left"/>
              <w:rPr>
                <w:rFonts w:ascii="Arial" w:hAnsi="Arial" w:cs="Arial" w:eastAsia="Arial" w:hint="default"/>
                <w:sz w:val="18"/>
                <w:szCs w:val="18"/>
              </w:rPr>
            </w:pPr>
            <w:r>
              <w:rPr>
                <w:rFonts w:ascii="Arial"/>
                <w:sz w:val="18"/>
              </w:rPr>
              <w:t>40.00</w:t>
            </w:r>
          </w:p>
        </w:tc>
        <w:tc>
          <w:tcPr>
            <w:tcW w:w="77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权益法</w:t>
            </w:r>
          </w:p>
        </w:tc>
      </w:tr>
      <w:tr>
        <w:trPr>
          <w:trHeight w:val="722" w:hRule="exact"/>
        </w:trPr>
        <w:tc>
          <w:tcPr>
            <w:tcW w:w="267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宁夏交投科技发展有限公司</w:t>
            </w:r>
          </w:p>
        </w:tc>
        <w:tc>
          <w:tcPr>
            <w:tcW w:w="9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银川</w:t>
            </w:r>
          </w:p>
        </w:tc>
        <w:tc>
          <w:tcPr>
            <w:tcW w:w="8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银川</w:t>
            </w:r>
          </w:p>
        </w:tc>
        <w:tc>
          <w:tcPr>
            <w:tcW w:w="1275" w:type="dxa"/>
            <w:tcBorders>
              <w:top w:val="single" w:sz="2" w:space="0" w:color="000000"/>
              <w:left w:val="single" w:sz="2" w:space="0" w:color="000000"/>
              <w:bottom w:val="single" w:sz="12" w:space="0" w:color="000000"/>
              <w:right w:val="single" w:sz="2" w:space="0" w:color="000000"/>
            </w:tcBorders>
          </w:tcPr>
          <w:p>
            <w:pPr>
              <w:pStyle w:val="TableParagraph"/>
              <w:spacing w:line="316" w:lineRule="auto" w:before="49"/>
              <w:ind w:left="105" w:right="102"/>
              <w:jc w:val="left"/>
              <w:rPr>
                <w:rFonts w:ascii="宋体" w:hAnsi="宋体" w:cs="宋体" w:eastAsia="宋体" w:hint="default"/>
                <w:sz w:val="18"/>
                <w:szCs w:val="18"/>
              </w:rPr>
            </w:pPr>
            <w:r>
              <w:rPr>
                <w:rFonts w:ascii="宋体" w:hAnsi="宋体" w:cs="宋体" w:eastAsia="宋体" w:hint="default"/>
                <w:sz w:val="18"/>
                <w:szCs w:val="18"/>
              </w:rPr>
              <w:t>软</w:t>
            </w:r>
            <w:r>
              <w:rPr>
                <w:rFonts w:ascii="宋体" w:hAnsi="宋体" w:cs="宋体" w:eastAsia="宋体" w:hint="default"/>
                <w:spacing w:val="-50"/>
                <w:sz w:val="18"/>
                <w:szCs w:val="18"/>
              </w:rPr>
              <w:t> </w:t>
            </w:r>
            <w:r>
              <w:rPr>
                <w:rFonts w:ascii="宋体" w:hAnsi="宋体" w:cs="宋体" w:eastAsia="宋体" w:hint="default"/>
                <w:sz w:val="18"/>
                <w:szCs w:val="18"/>
              </w:rPr>
              <w:t>件</w:t>
            </w:r>
            <w:r>
              <w:rPr>
                <w:rFonts w:ascii="宋体" w:hAnsi="宋体" w:cs="宋体" w:eastAsia="宋体" w:hint="default"/>
                <w:spacing w:val="-50"/>
                <w:sz w:val="18"/>
                <w:szCs w:val="18"/>
              </w:rPr>
              <w:t> </w:t>
            </w:r>
            <w:r>
              <w:rPr>
                <w:rFonts w:ascii="宋体" w:hAnsi="宋体" w:cs="宋体" w:eastAsia="宋体" w:hint="default"/>
                <w:sz w:val="18"/>
                <w:szCs w:val="18"/>
              </w:rPr>
              <w:t>和</w:t>
            </w:r>
            <w:r>
              <w:rPr>
                <w:rFonts w:ascii="宋体" w:hAnsi="宋体" w:cs="宋体" w:eastAsia="宋体" w:hint="default"/>
                <w:spacing w:val="-52"/>
                <w:sz w:val="18"/>
                <w:szCs w:val="18"/>
              </w:rPr>
              <w:t> </w:t>
            </w:r>
            <w:r>
              <w:rPr>
                <w:rFonts w:ascii="宋体" w:hAnsi="宋体" w:cs="宋体" w:eastAsia="宋体" w:hint="default"/>
                <w:sz w:val="18"/>
                <w:szCs w:val="18"/>
              </w:rPr>
              <w:t>信</w:t>
            </w:r>
            <w:r>
              <w:rPr>
                <w:rFonts w:ascii="宋体" w:hAnsi="宋体" w:cs="宋体" w:eastAsia="宋体" w:hint="default"/>
                <w:spacing w:val="-50"/>
                <w:sz w:val="18"/>
                <w:szCs w:val="18"/>
              </w:rPr>
              <w:t> </w:t>
            </w:r>
            <w:r>
              <w:rPr>
                <w:rFonts w:ascii="宋体" w:hAnsi="宋体" w:cs="宋体" w:eastAsia="宋体" w:hint="default"/>
                <w:sz w:val="18"/>
                <w:szCs w:val="18"/>
              </w:rPr>
              <w:t>息</w:t>
            </w:r>
            <w:r>
              <w:rPr>
                <w:rFonts w:ascii="宋体" w:hAnsi="宋体" w:cs="宋体" w:eastAsia="宋体" w:hint="default"/>
                <w:sz w:val="18"/>
                <w:szCs w:val="18"/>
              </w:rPr>
              <w:t> 技术服务业</w:t>
            </w:r>
          </w:p>
        </w:tc>
        <w:tc>
          <w:tcPr>
            <w:tcW w:w="8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87" w:right="0"/>
              <w:jc w:val="left"/>
              <w:rPr>
                <w:rFonts w:ascii="Arial" w:hAnsi="Arial" w:cs="Arial" w:eastAsia="Arial" w:hint="default"/>
                <w:sz w:val="18"/>
                <w:szCs w:val="18"/>
              </w:rPr>
            </w:pPr>
            <w:r>
              <w:rPr>
                <w:rFonts w:ascii="Arial"/>
                <w:sz w:val="18"/>
              </w:rPr>
              <w:t>49.00</w:t>
            </w:r>
          </w:p>
        </w:tc>
        <w:tc>
          <w:tcPr>
            <w:tcW w:w="778" w:type="dxa"/>
            <w:tcBorders>
              <w:top w:val="single" w:sz="2" w:space="0" w:color="000000"/>
              <w:left w:val="single" w:sz="2" w:space="0" w:color="000000"/>
              <w:bottom w:val="single" w:sz="12" w:space="0" w:color="000000"/>
              <w:right w:val="single" w:sz="2" w:space="0" w:color="000000"/>
            </w:tcBorders>
          </w:tcPr>
          <w:p>
            <w:pPr/>
          </w:p>
        </w:tc>
        <w:tc>
          <w:tcPr>
            <w:tcW w:w="13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5"/>
        <w:rPr>
          <w:rFonts w:ascii="宋体" w:hAnsi="宋体" w:cs="宋体" w:eastAsia="宋体" w:hint="default"/>
          <w:sz w:val="5"/>
          <w:szCs w:val="5"/>
        </w:rPr>
      </w:pPr>
    </w:p>
    <w:p>
      <w:pPr>
        <w:pStyle w:val="BodyText"/>
        <w:spacing w:line="240" w:lineRule="auto" w:before="32"/>
        <w:ind w:left="592" w:right="1133"/>
        <w:jc w:val="left"/>
      </w:pPr>
      <w:r>
        <w:rPr/>
        <w:t>（</w:t>
      </w:r>
      <w:r>
        <w:rPr>
          <w:rFonts w:ascii="Arial" w:hAnsi="Arial" w:cs="Arial" w:eastAsia="Arial" w:hint="default"/>
        </w:rPr>
        <w:t>2</w:t>
      </w:r>
      <w:r>
        <w:rPr/>
        <w:t>）重要的合营企业的主要财务信息</w:t>
      </w:r>
    </w:p>
    <w:p>
      <w:pPr>
        <w:spacing w:line="240" w:lineRule="auto" w:before="8"/>
        <w:rPr>
          <w:rFonts w:ascii="宋体" w:hAnsi="宋体" w:cs="宋体" w:eastAsia="宋体" w:hint="default"/>
          <w:sz w:val="5"/>
          <w:szCs w:val="5"/>
        </w:rPr>
      </w:pPr>
    </w:p>
    <w:tbl>
      <w:tblPr>
        <w:tblW w:w="0" w:type="auto"/>
        <w:jc w:val="left"/>
        <w:tblInd w:w="580" w:type="dxa"/>
        <w:tblLayout w:type="fixed"/>
        <w:tblCellMar>
          <w:top w:w="0" w:type="dxa"/>
          <w:left w:w="0" w:type="dxa"/>
          <w:bottom w:w="0" w:type="dxa"/>
          <w:right w:w="0" w:type="dxa"/>
        </w:tblCellMar>
        <w:tblLook w:val="01E0"/>
      </w:tblPr>
      <w:tblGrid>
        <w:gridCol w:w="3243"/>
        <w:gridCol w:w="2873"/>
        <w:gridCol w:w="2624"/>
      </w:tblGrid>
      <w:tr>
        <w:trPr>
          <w:trHeight w:val="497" w:hRule="exact"/>
        </w:trPr>
        <w:tc>
          <w:tcPr>
            <w:tcW w:w="3243"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7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0"/>
              <w:ind w:left="511" w:right="0"/>
              <w:jc w:val="left"/>
              <w:rPr>
                <w:rFonts w:ascii="宋体" w:hAnsi="宋体" w:cs="宋体" w:eastAsia="宋体" w:hint="default"/>
                <w:sz w:val="18"/>
                <w:szCs w:val="18"/>
              </w:rPr>
            </w:pPr>
            <w:r>
              <w:rPr>
                <w:rFonts w:ascii="宋体" w:hAnsi="宋体" w:cs="宋体" w:eastAsia="宋体" w:hint="default"/>
                <w:sz w:val="18"/>
                <w:szCs w:val="18"/>
              </w:rPr>
              <w:t>年末余额 </w:t>
            </w:r>
            <w:r>
              <w:rPr>
                <w:rFonts w:ascii="Arial" w:hAnsi="Arial" w:cs="Arial" w:eastAsia="Arial" w:hint="default"/>
                <w:sz w:val="18"/>
                <w:szCs w:val="18"/>
              </w:rPr>
              <w:t>/</w:t>
            </w:r>
            <w:r>
              <w:rPr>
                <w:rFonts w:ascii="Arial" w:hAnsi="Arial" w:cs="Arial" w:eastAsia="Arial" w:hint="default"/>
                <w:spacing w:val="42"/>
                <w:sz w:val="18"/>
                <w:szCs w:val="18"/>
              </w:rPr>
              <w:t> </w:t>
            </w:r>
            <w:r>
              <w:rPr>
                <w:rFonts w:ascii="宋体" w:hAnsi="宋体" w:cs="宋体" w:eastAsia="宋体" w:hint="default"/>
                <w:sz w:val="18"/>
                <w:szCs w:val="18"/>
              </w:rPr>
              <w:t>本年发生额</w:t>
            </w:r>
          </w:p>
        </w:tc>
        <w:tc>
          <w:tcPr>
            <w:tcW w:w="262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0"/>
              <w:ind w:left="384" w:right="0"/>
              <w:jc w:val="left"/>
              <w:rPr>
                <w:rFonts w:ascii="宋体" w:hAnsi="宋体" w:cs="宋体" w:eastAsia="宋体" w:hint="default"/>
                <w:sz w:val="18"/>
                <w:szCs w:val="18"/>
              </w:rPr>
            </w:pPr>
            <w:r>
              <w:rPr>
                <w:rFonts w:ascii="宋体" w:hAnsi="宋体" w:cs="宋体" w:eastAsia="宋体" w:hint="default"/>
                <w:sz w:val="18"/>
                <w:szCs w:val="18"/>
              </w:rPr>
              <w:t>年初余额 </w:t>
            </w:r>
            <w:r>
              <w:rPr>
                <w:rFonts w:ascii="Arial" w:hAnsi="Arial" w:cs="Arial" w:eastAsia="Arial" w:hint="default"/>
                <w:sz w:val="18"/>
                <w:szCs w:val="18"/>
              </w:rPr>
              <w:t>/</w:t>
            </w:r>
            <w:r>
              <w:rPr>
                <w:rFonts w:ascii="Arial" w:hAnsi="Arial" w:cs="Arial" w:eastAsia="Arial" w:hint="default"/>
                <w:spacing w:val="42"/>
                <w:sz w:val="18"/>
                <w:szCs w:val="18"/>
              </w:rPr>
              <w:t> </w:t>
            </w:r>
            <w:r>
              <w:rPr>
                <w:rFonts w:ascii="宋体" w:hAnsi="宋体" w:cs="宋体" w:eastAsia="宋体" w:hint="default"/>
                <w:sz w:val="18"/>
                <w:szCs w:val="18"/>
              </w:rPr>
              <w:t>上年发生额</w:t>
            </w:r>
          </w:p>
        </w:tc>
      </w:tr>
      <w:tr>
        <w:trPr>
          <w:trHeight w:val="886" w:hRule="exact"/>
        </w:trPr>
        <w:tc>
          <w:tcPr>
            <w:tcW w:w="3243" w:type="dxa"/>
            <w:vMerge/>
            <w:tcBorders>
              <w:left w:val="nil" w:sz="6" w:space="0" w:color="auto"/>
              <w:bottom w:val="single" w:sz="2" w:space="0" w:color="000000"/>
              <w:right w:val="single" w:sz="2" w:space="0" w:color="000000"/>
            </w:tcBorders>
          </w:tcPr>
          <w:p>
            <w:pPr/>
          </w:p>
        </w:tc>
        <w:tc>
          <w:tcPr>
            <w:tcW w:w="2873" w:type="dxa"/>
            <w:tcBorders>
              <w:top w:val="single" w:sz="2" w:space="0" w:color="000000"/>
              <w:left w:val="single" w:sz="2" w:space="0" w:color="000000"/>
              <w:bottom w:val="single" w:sz="2" w:space="0" w:color="000000"/>
              <w:right w:val="single" w:sz="2" w:space="0" w:color="000000"/>
            </w:tcBorders>
          </w:tcPr>
          <w:p>
            <w:pPr>
              <w:pStyle w:val="TableParagraph"/>
              <w:spacing w:line="400" w:lineRule="exact" w:before="40"/>
              <w:ind w:left="895" w:right="171" w:hanging="720"/>
              <w:jc w:val="left"/>
              <w:rPr>
                <w:rFonts w:ascii="宋体" w:hAnsi="宋体" w:cs="宋体" w:eastAsia="宋体" w:hint="default"/>
                <w:sz w:val="18"/>
                <w:szCs w:val="18"/>
              </w:rPr>
            </w:pPr>
            <w:r>
              <w:rPr>
                <w:rFonts w:ascii="宋体" w:hAnsi="宋体" w:cs="宋体" w:eastAsia="宋体" w:hint="default"/>
                <w:sz w:val="18"/>
                <w:szCs w:val="18"/>
              </w:rPr>
              <w:t>中远海运古野通信导航科技（上 海）有限公司</w:t>
            </w:r>
          </w:p>
        </w:tc>
        <w:tc>
          <w:tcPr>
            <w:tcW w:w="26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3"/>
              <w:jc w:val="center"/>
              <w:rPr>
                <w:rFonts w:ascii="宋体" w:hAnsi="宋体" w:cs="宋体" w:eastAsia="宋体" w:hint="default"/>
                <w:sz w:val="18"/>
                <w:szCs w:val="18"/>
              </w:rPr>
            </w:pPr>
            <w:r>
              <w:rPr>
                <w:rFonts w:ascii="宋体" w:hAnsi="宋体" w:cs="宋体" w:eastAsia="宋体" w:hint="default"/>
                <w:sz w:val="18"/>
                <w:szCs w:val="18"/>
              </w:rPr>
              <w:t>中远海运古野通信导航科技</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（上海）有限公司</w:t>
            </w:r>
          </w:p>
        </w:tc>
      </w:tr>
      <w:tr>
        <w:trPr>
          <w:trHeight w:val="485" w:hRule="exact"/>
        </w:trPr>
        <w:tc>
          <w:tcPr>
            <w:tcW w:w="32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8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2"/>
                <w:sz w:val="18"/>
              </w:rPr>
              <w:t>11,480,974.31</w:t>
            </w:r>
          </w:p>
        </w:tc>
        <w:tc>
          <w:tcPr>
            <w:tcW w:w="26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14,157,188.00</w:t>
            </w:r>
          </w:p>
        </w:tc>
      </w:tr>
      <w:tr>
        <w:trPr>
          <w:trHeight w:val="485" w:hRule="exact"/>
        </w:trPr>
        <w:tc>
          <w:tcPr>
            <w:tcW w:w="32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其中：现金和现金等价物</w:t>
            </w:r>
          </w:p>
        </w:tc>
        <w:tc>
          <w:tcPr>
            <w:tcW w:w="28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10,351,862.46</w:t>
            </w:r>
          </w:p>
        </w:tc>
        <w:tc>
          <w:tcPr>
            <w:tcW w:w="26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13,983,790.88</w:t>
            </w:r>
          </w:p>
        </w:tc>
      </w:tr>
      <w:tr>
        <w:trPr>
          <w:trHeight w:val="485" w:hRule="exact"/>
        </w:trPr>
        <w:tc>
          <w:tcPr>
            <w:tcW w:w="32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8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00"/>
              <w:jc w:val="right"/>
              <w:rPr>
                <w:rFonts w:ascii="Arial" w:hAnsi="Arial" w:cs="Arial" w:eastAsia="Arial" w:hint="default"/>
                <w:sz w:val="18"/>
                <w:szCs w:val="18"/>
              </w:rPr>
            </w:pPr>
            <w:r>
              <w:rPr>
                <w:rFonts w:ascii="Arial"/>
                <w:spacing w:val="-1"/>
                <w:sz w:val="18"/>
              </w:rPr>
              <w:t>413,533.65</w:t>
            </w:r>
          </w:p>
        </w:tc>
        <w:tc>
          <w:tcPr>
            <w:tcW w:w="26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4"/>
              <w:jc w:val="right"/>
              <w:rPr>
                <w:rFonts w:ascii="Arial" w:hAnsi="Arial" w:cs="Arial" w:eastAsia="Arial" w:hint="default"/>
                <w:sz w:val="18"/>
                <w:szCs w:val="18"/>
              </w:rPr>
            </w:pPr>
            <w:r>
              <w:rPr>
                <w:rFonts w:ascii="Arial"/>
                <w:spacing w:val="-1"/>
                <w:sz w:val="18"/>
              </w:rPr>
              <w:t>613,316.42</w:t>
            </w:r>
          </w:p>
        </w:tc>
      </w:tr>
      <w:tr>
        <w:trPr>
          <w:trHeight w:val="485" w:hRule="exact"/>
        </w:trPr>
        <w:tc>
          <w:tcPr>
            <w:tcW w:w="32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8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2"/>
                <w:sz w:val="18"/>
              </w:rPr>
              <w:t>11,894,507.96</w:t>
            </w:r>
          </w:p>
        </w:tc>
        <w:tc>
          <w:tcPr>
            <w:tcW w:w="26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14,770,504.42</w:t>
            </w:r>
          </w:p>
        </w:tc>
      </w:tr>
      <w:tr>
        <w:trPr>
          <w:trHeight w:val="488" w:hRule="exact"/>
        </w:trPr>
        <w:tc>
          <w:tcPr>
            <w:tcW w:w="32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2"/>
              <w:ind w:left="1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8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456,048.41</w:t>
            </w:r>
          </w:p>
        </w:tc>
        <w:tc>
          <w:tcPr>
            <w:tcW w:w="26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4"/>
              <w:jc w:val="right"/>
              <w:rPr>
                <w:rFonts w:ascii="Arial" w:hAnsi="Arial" w:cs="Arial" w:eastAsia="Arial" w:hint="default"/>
                <w:sz w:val="18"/>
                <w:szCs w:val="18"/>
              </w:rPr>
            </w:pPr>
            <w:r>
              <w:rPr>
                <w:rFonts w:ascii="Arial"/>
                <w:spacing w:val="-1"/>
                <w:sz w:val="18"/>
              </w:rPr>
              <w:t>690,867.21</w:t>
            </w:r>
          </w:p>
        </w:tc>
      </w:tr>
      <w:tr>
        <w:trPr>
          <w:trHeight w:val="497" w:hRule="exact"/>
        </w:trPr>
        <w:tc>
          <w:tcPr>
            <w:tcW w:w="324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873" w:type="dxa"/>
            <w:tcBorders>
              <w:top w:val="single" w:sz="2" w:space="0" w:color="000000"/>
              <w:left w:val="single" w:sz="2" w:space="0" w:color="000000"/>
              <w:bottom w:val="single" w:sz="12" w:space="0" w:color="000000"/>
              <w:right w:val="single" w:sz="2" w:space="0" w:color="000000"/>
            </w:tcBorders>
          </w:tcPr>
          <w:p>
            <w:pPr/>
          </w:p>
        </w:tc>
        <w:tc>
          <w:tcPr>
            <w:tcW w:w="2624"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580" w:type="dxa"/>
        <w:tblLayout w:type="fixed"/>
        <w:tblCellMar>
          <w:top w:w="0" w:type="dxa"/>
          <w:left w:w="0" w:type="dxa"/>
          <w:bottom w:w="0" w:type="dxa"/>
          <w:right w:w="0" w:type="dxa"/>
        </w:tblCellMar>
        <w:tblLook w:val="01E0"/>
      </w:tblPr>
      <w:tblGrid>
        <w:gridCol w:w="3243"/>
        <w:gridCol w:w="2873"/>
        <w:gridCol w:w="2624"/>
      </w:tblGrid>
      <w:tr>
        <w:trPr>
          <w:trHeight w:val="500" w:hRule="exact"/>
        </w:trPr>
        <w:tc>
          <w:tcPr>
            <w:tcW w:w="3243"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7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left="511" w:right="0"/>
              <w:jc w:val="left"/>
              <w:rPr>
                <w:rFonts w:ascii="宋体" w:hAnsi="宋体" w:cs="宋体" w:eastAsia="宋体" w:hint="default"/>
                <w:sz w:val="18"/>
                <w:szCs w:val="18"/>
              </w:rPr>
            </w:pPr>
            <w:r>
              <w:rPr>
                <w:rFonts w:ascii="宋体" w:hAnsi="宋体" w:cs="宋体" w:eastAsia="宋体" w:hint="default"/>
                <w:sz w:val="18"/>
                <w:szCs w:val="18"/>
              </w:rPr>
              <w:t>年末余额 </w:t>
            </w:r>
            <w:r>
              <w:rPr>
                <w:rFonts w:ascii="Arial" w:hAnsi="Arial" w:cs="Arial" w:eastAsia="Arial" w:hint="default"/>
                <w:sz w:val="18"/>
                <w:szCs w:val="18"/>
              </w:rPr>
              <w:t>/</w:t>
            </w:r>
            <w:r>
              <w:rPr>
                <w:rFonts w:ascii="Arial" w:hAnsi="Arial" w:cs="Arial" w:eastAsia="Arial" w:hint="default"/>
                <w:spacing w:val="42"/>
                <w:sz w:val="18"/>
                <w:szCs w:val="18"/>
              </w:rPr>
              <w:t> </w:t>
            </w:r>
            <w:r>
              <w:rPr>
                <w:rFonts w:ascii="宋体" w:hAnsi="宋体" w:cs="宋体" w:eastAsia="宋体" w:hint="default"/>
                <w:sz w:val="18"/>
                <w:szCs w:val="18"/>
              </w:rPr>
              <w:t>本年发生额</w:t>
            </w:r>
          </w:p>
        </w:tc>
        <w:tc>
          <w:tcPr>
            <w:tcW w:w="262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left="384" w:right="0"/>
              <w:jc w:val="left"/>
              <w:rPr>
                <w:rFonts w:ascii="宋体" w:hAnsi="宋体" w:cs="宋体" w:eastAsia="宋体" w:hint="default"/>
                <w:sz w:val="18"/>
                <w:szCs w:val="18"/>
              </w:rPr>
            </w:pPr>
            <w:r>
              <w:rPr>
                <w:rFonts w:ascii="宋体" w:hAnsi="宋体" w:cs="宋体" w:eastAsia="宋体" w:hint="default"/>
                <w:sz w:val="18"/>
                <w:szCs w:val="18"/>
              </w:rPr>
              <w:t>年初余额 </w:t>
            </w:r>
            <w:r>
              <w:rPr>
                <w:rFonts w:ascii="Arial" w:hAnsi="Arial" w:cs="Arial" w:eastAsia="Arial" w:hint="default"/>
                <w:sz w:val="18"/>
                <w:szCs w:val="18"/>
              </w:rPr>
              <w:t>/</w:t>
            </w:r>
            <w:r>
              <w:rPr>
                <w:rFonts w:ascii="Arial" w:hAnsi="Arial" w:cs="Arial" w:eastAsia="Arial" w:hint="default"/>
                <w:spacing w:val="42"/>
                <w:sz w:val="18"/>
                <w:szCs w:val="18"/>
              </w:rPr>
              <w:t> </w:t>
            </w:r>
            <w:r>
              <w:rPr>
                <w:rFonts w:ascii="宋体" w:hAnsi="宋体" w:cs="宋体" w:eastAsia="宋体" w:hint="default"/>
                <w:sz w:val="18"/>
                <w:szCs w:val="18"/>
              </w:rPr>
              <w:t>上年发生额</w:t>
            </w:r>
          </w:p>
        </w:tc>
      </w:tr>
      <w:tr>
        <w:trPr>
          <w:trHeight w:val="883" w:hRule="exact"/>
        </w:trPr>
        <w:tc>
          <w:tcPr>
            <w:tcW w:w="3243" w:type="dxa"/>
            <w:vMerge/>
            <w:tcBorders>
              <w:left w:val="nil" w:sz="6" w:space="0" w:color="auto"/>
              <w:bottom w:val="single" w:sz="2" w:space="0" w:color="000000"/>
              <w:right w:val="single" w:sz="2" w:space="0" w:color="000000"/>
            </w:tcBorders>
          </w:tcPr>
          <w:p>
            <w:pPr/>
          </w:p>
        </w:tc>
        <w:tc>
          <w:tcPr>
            <w:tcW w:w="2873" w:type="dxa"/>
            <w:tcBorders>
              <w:top w:val="single" w:sz="2" w:space="0" w:color="000000"/>
              <w:left w:val="single" w:sz="2" w:space="0" w:color="000000"/>
              <w:bottom w:val="single" w:sz="2" w:space="0" w:color="000000"/>
              <w:right w:val="single" w:sz="2" w:space="0" w:color="000000"/>
            </w:tcBorders>
          </w:tcPr>
          <w:p>
            <w:pPr>
              <w:pStyle w:val="TableParagraph"/>
              <w:spacing w:line="405" w:lineRule="auto" w:before="149"/>
              <w:ind w:left="895" w:right="171" w:hanging="720"/>
              <w:jc w:val="left"/>
              <w:rPr>
                <w:rFonts w:ascii="宋体" w:hAnsi="宋体" w:cs="宋体" w:eastAsia="宋体" w:hint="default"/>
                <w:sz w:val="18"/>
                <w:szCs w:val="18"/>
              </w:rPr>
            </w:pPr>
            <w:r>
              <w:rPr>
                <w:rFonts w:ascii="宋体" w:hAnsi="宋体" w:cs="宋体" w:eastAsia="宋体" w:hint="default"/>
                <w:sz w:val="18"/>
                <w:szCs w:val="18"/>
              </w:rPr>
              <w:t>中远海运古野通信导航科技（上 海）有限公司</w:t>
            </w:r>
          </w:p>
        </w:tc>
        <w:tc>
          <w:tcPr>
            <w:tcW w:w="26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3"/>
              <w:jc w:val="center"/>
              <w:rPr>
                <w:rFonts w:ascii="宋体" w:hAnsi="宋体" w:cs="宋体" w:eastAsia="宋体" w:hint="default"/>
                <w:sz w:val="18"/>
                <w:szCs w:val="18"/>
              </w:rPr>
            </w:pPr>
            <w:r>
              <w:rPr>
                <w:rFonts w:ascii="宋体" w:hAnsi="宋体" w:cs="宋体" w:eastAsia="宋体" w:hint="default"/>
                <w:sz w:val="18"/>
                <w:szCs w:val="18"/>
              </w:rPr>
              <w:t>中远海运古野通信导航科技</w:t>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（上海）有限公司</w:t>
            </w:r>
          </w:p>
        </w:tc>
      </w:tr>
      <w:tr>
        <w:trPr>
          <w:trHeight w:val="485" w:hRule="exact"/>
        </w:trPr>
        <w:tc>
          <w:tcPr>
            <w:tcW w:w="32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8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456,048.41</w:t>
            </w:r>
          </w:p>
        </w:tc>
        <w:tc>
          <w:tcPr>
            <w:tcW w:w="26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4"/>
              <w:jc w:val="right"/>
              <w:rPr>
                <w:rFonts w:ascii="Arial" w:hAnsi="Arial" w:cs="Arial" w:eastAsia="Arial" w:hint="default"/>
                <w:sz w:val="18"/>
                <w:szCs w:val="18"/>
              </w:rPr>
            </w:pPr>
            <w:r>
              <w:rPr>
                <w:rFonts w:ascii="Arial"/>
                <w:spacing w:val="-1"/>
                <w:sz w:val="18"/>
              </w:rPr>
              <w:t>690,867.21</w:t>
            </w:r>
          </w:p>
        </w:tc>
      </w:tr>
      <w:tr>
        <w:trPr>
          <w:trHeight w:val="485" w:hRule="exact"/>
        </w:trPr>
        <w:tc>
          <w:tcPr>
            <w:tcW w:w="32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873" w:type="dxa"/>
            <w:tcBorders>
              <w:top w:val="single" w:sz="2" w:space="0" w:color="000000"/>
              <w:left w:val="single" w:sz="2" w:space="0" w:color="000000"/>
              <w:bottom w:val="single" w:sz="2" w:space="0" w:color="000000"/>
              <w:right w:val="single" w:sz="2" w:space="0" w:color="000000"/>
            </w:tcBorders>
          </w:tcPr>
          <w:p>
            <w:pPr/>
          </w:p>
        </w:tc>
        <w:tc>
          <w:tcPr>
            <w:tcW w:w="2624" w:type="dxa"/>
            <w:tcBorders>
              <w:top w:val="single" w:sz="2" w:space="0" w:color="000000"/>
              <w:left w:val="single" w:sz="2" w:space="0" w:color="000000"/>
              <w:bottom w:val="single" w:sz="2" w:space="0" w:color="000000"/>
              <w:right w:val="nil" w:sz="6" w:space="0" w:color="auto"/>
            </w:tcBorders>
          </w:tcPr>
          <w:p>
            <w:pPr/>
          </w:p>
        </w:tc>
      </w:tr>
      <w:tr>
        <w:trPr>
          <w:trHeight w:val="487" w:hRule="exact"/>
        </w:trPr>
        <w:tc>
          <w:tcPr>
            <w:tcW w:w="32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2"/>
              <w:ind w:left="124"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28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2"/>
                <w:sz w:val="18"/>
              </w:rPr>
              <w:t>11,438,459.55</w:t>
            </w:r>
          </w:p>
        </w:tc>
        <w:tc>
          <w:tcPr>
            <w:tcW w:w="26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14,079,637.21</w:t>
            </w:r>
          </w:p>
        </w:tc>
      </w:tr>
      <w:tr>
        <w:trPr>
          <w:trHeight w:val="485" w:hRule="exact"/>
        </w:trPr>
        <w:tc>
          <w:tcPr>
            <w:tcW w:w="32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28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5,719,229.78</w:t>
            </w:r>
          </w:p>
        </w:tc>
        <w:tc>
          <w:tcPr>
            <w:tcW w:w="26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7,039,818.61</w:t>
            </w:r>
          </w:p>
        </w:tc>
      </w:tr>
      <w:tr>
        <w:trPr>
          <w:trHeight w:val="485" w:hRule="exact"/>
        </w:trPr>
        <w:tc>
          <w:tcPr>
            <w:tcW w:w="32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0"/>
              <w:ind w:left="124"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28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5,830.60</w:t>
            </w:r>
          </w:p>
        </w:tc>
        <w:tc>
          <w:tcPr>
            <w:tcW w:w="26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4"/>
              <w:jc w:val="right"/>
              <w:rPr>
                <w:rFonts w:ascii="Arial" w:hAnsi="Arial" w:cs="Arial" w:eastAsia="Arial" w:hint="default"/>
                <w:sz w:val="18"/>
                <w:szCs w:val="18"/>
              </w:rPr>
            </w:pPr>
            <w:r>
              <w:rPr>
                <w:rFonts w:ascii="Arial"/>
                <w:spacing w:val="-1"/>
                <w:sz w:val="18"/>
              </w:rPr>
              <w:t>5,830.60</w:t>
            </w:r>
          </w:p>
        </w:tc>
      </w:tr>
      <w:tr>
        <w:trPr>
          <w:trHeight w:val="485" w:hRule="exact"/>
        </w:trPr>
        <w:tc>
          <w:tcPr>
            <w:tcW w:w="32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其他</w:t>
            </w:r>
          </w:p>
        </w:tc>
        <w:tc>
          <w:tcPr>
            <w:tcW w:w="28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5,830.60</w:t>
            </w:r>
          </w:p>
        </w:tc>
        <w:tc>
          <w:tcPr>
            <w:tcW w:w="26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4"/>
              <w:jc w:val="right"/>
              <w:rPr>
                <w:rFonts w:ascii="Arial" w:hAnsi="Arial" w:cs="Arial" w:eastAsia="Arial" w:hint="default"/>
                <w:sz w:val="18"/>
                <w:szCs w:val="18"/>
              </w:rPr>
            </w:pPr>
            <w:r>
              <w:rPr>
                <w:rFonts w:ascii="Arial"/>
                <w:spacing w:val="-1"/>
                <w:sz w:val="18"/>
              </w:rPr>
              <w:t>5,830.60</w:t>
            </w:r>
          </w:p>
        </w:tc>
      </w:tr>
      <w:tr>
        <w:trPr>
          <w:trHeight w:val="485" w:hRule="exact"/>
        </w:trPr>
        <w:tc>
          <w:tcPr>
            <w:tcW w:w="32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对合营企业权益投资的账面价值</w:t>
            </w:r>
          </w:p>
        </w:tc>
        <w:tc>
          <w:tcPr>
            <w:tcW w:w="28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5,725,060.38</w:t>
            </w:r>
          </w:p>
        </w:tc>
        <w:tc>
          <w:tcPr>
            <w:tcW w:w="26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7,045,649.21</w:t>
            </w:r>
          </w:p>
        </w:tc>
      </w:tr>
      <w:tr>
        <w:trPr>
          <w:trHeight w:val="886" w:hRule="exact"/>
        </w:trPr>
        <w:tc>
          <w:tcPr>
            <w:tcW w:w="3243" w:type="dxa"/>
            <w:tcBorders>
              <w:top w:val="single" w:sz="2" w:space="0" w:color="000000"/>
              <w:left w:val="nil" w:sz="6" w:space="0" w:color="auto"/>
              <w:bottom w:val="single" w:sz="2" w:space="0" w:color="000000"/>
              <w:right w:val="single" w:sz="2" w:space="0" w:color="000000"/>
            </w:tcBorders>
          </w:tcPr>
          <w:p>
            <w:pPr>
              <w:pStyle w:val="TableParagraph"/>
              <w:spacing w:line="405" w:lineRule="auto" w:before="149"/>
              <w:ind w:left="124" w:right="105"/>
              <w:jc w:val="left"/>
              <w:rPr>
                <w:rFonts w:ascii="宋体" w:hAnsi="宋体" w:cs="宋体" w:eastAsia="宋体" w:hint="default"/>
                <w:sz w:val="18"/>
                <w:szCs w:val="18"/>
              </w:rPr>
            </w:pPr>
            <w:r>
              <w:rPr>
                <w:rFonts w:ascii="宋体" w:hAnsi="宋体" w:cs="宋体" w:eastAsia="宋体" w:hint="default"/>
                <w:spacing w:val="7"/>
                <w:sz w:val="18"/>
                <w:szCs w:val="18"/>
              </w:rPr>
              <w:t>存在公开报价的合营企业权益投资的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公允价值</w:t>
            </w:r>
          </w:p>
        </w:tc>
        <w:tc>
          <w:tcPr>
            <w:tcW w:w="2873" w:type="dxa"/>
            <w:tcBorders>
              <w:top w:val="single" w:sz="2" w:space="0" w:color="000000"/>
              <w:left w:val="single" w:sz="2" w:space="0" w:color="000000"/>
              <w:bottom w:val="single" w:sz="2" w:space="0" w:color="000000"/>
              <w:right w:val="single" w:sz="2" w:space="0" w:color="000000"/>
            </w:tcBorders>
          </w:tcPr>
          <w:p>
            <w:pPr/>
          </w:p>
        </w:tc>
        <w:tc>
          <w:tcPr>
            <w:tcW w:w="2624"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32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8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1,255,056.65</w:t>
            </w:r>
          </w:p>
        </w:tc>
        <w:tc>
          <w:tcPr>
            <w:tcW w:w="2624"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32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8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-2,641,177.66</w:t>
            </w:r>
          </w:p>
        </w:tc>
        <w:tc>
          <w:tcPr>
            <w:tcW w:w="26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4"/>
              <w:jc w:val="right"/>
              <w:rPr>
                <w:rFonts w:ascii="Arial" w:hAnsi="Arial" w:cs="Arial" w:eastAsia="Arial" w:hint="default"/>
                <w:sz w:val="18"/>
                <w:szCs w:val="18"/>
              </w:rPr>
            </w:pPr>
            <w:r>
              <w:rPr>
                <w:rFonts w:ascii="Arial"/>
                <w:spacing w:val="-1"/>
                <w:sz w:val="18"/>
              </w:rPr>
              <w:t>-908,701.58</w:t>
            </w:r>
          </w:p>
        </w:tc>
      </w:tr>
      <w:tr>
        <w:trPr>
          <w:trHeight w:val="485" w:hRule="exact"/>
        </w:trPr>
        <w:tc>
          <w:tcPr>
            <w:tcW w:w="32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2873" w:type="dxa"/>
            <w:tcBorders>
              <w:top w:val="single" w:sz="2" w:space="0" w:color="000000"/>
              <w:left w:val="single" w:sz="2" w:space="0" w:color="000000"/>
              <w:bottom w:val="single" w:sz="2" w:space="0" w:color="000000"/>
              <w:right w:val="single" w:sz="2" w:space="0" w:color="000000"/>
            </w:tcBorders>
          </w:tcPr>
          <w:p>
            <w:pPr/>
          </w:p>
        </w:tc>
        <w:tc>
          <w:tcPr>
            <w:tcW w:w="2624"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32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873" w:type="dxa"/>
            <w:tcBorders>
              <w:top w:val="single" w:sz="2" w:space="0" w:color="000000"/>
              <w:left w:val="single" w:sz="2" w:space="0" w:color="000000"/>
              <w:bottom w:val="single" w:sz="2" w:space="0" w:color="000000"/>
              <w:right w:val="single" w:sz="2" w:space="0" w:color="000000"/>
            </w:tcBorders>
          </w:tcPr>
          <w:p>
            <w:pPr/>
          </w:p>
        </w:tc>
        <w:tc>
          <w:tcPr>
            <w:tcW w:w="2624"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32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8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-2,641,177.66</w:t>
            </w:r>
          </w:p>
        </w:tc>
        <w:tc>
          <w:tcPr>
            <w:tcW w:w="26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4"/>
              <w:jc w:val="right"/>
              <w:rPr>
                <w:rFonts w:ascii="Arial" w:hAnsi="Arial" w:cs="Arial" w:eastAsia="Arial" w:hint="default"/>
                <w:sz w:val="18"/>
                <w:szCs w:val="18"/>
              </w:rPr>
            </w:pPr>
            <w:r>
              <w:rPr>
                <w:rFonts w:ascii="Arial"/>
                <w:spacing w:val="-1"/>
                <w:sz w:val="18"/>
              </w:rPr>
              <w:t>-908,701.58</w:t>
            </w:r>
          </w:p>
        </w:tc>
      </w:tr>
      <w:tr>
        <w:trPr>
          <w:trHeight w:val="499" w:hRule="exact"/>
        </w:trPr>
        <w:tc>
          <w:tcPr>
            <w:tcW w:w="324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本年度收到的来自合营企业的股利</w:t>
            </w:r>
          </w:p>
        </w:tc>
        <w:tc>
          <w:tcPr>
            <w:tcW w:w="2873" w:type="dxa"/>
            <w:tcBorders>
              <w:top w:val="single" w:sz="2" w:space="0" w:color="000000"/>
              <w:left w:val="single" w:sz="2" w:space="0" w:color="000000"/>
              <w:bottom w:val="single" w:sz="12" w:space="0" w:color="000000"/>
              <w:right w:val="single" w:sz="2" w:space="0" w:color="000000"/>
            </w:tcBorders>
          </w:tcPr>
          <w:p>
            <w:pPr/>
          </w:p>
        </w:tc>
        <w:tc>
          <w:tcPr>
            <w:tcW w:w="2624" w:type="dxa"/>
            <w:tcBorders>
              <w:top w:val="single" w:sz="2" w:space="0" w:color="000000"/>
              <w:left w:val="single" w:sz="2" w:space="0" w:color="000000"/>
              <w:bottom w:val="single" w:sz="12" w:space="0" w:color="000000"/>
              <w:right w:val="nil" w:sz="6" w:space="0" w:color="auto"/>
            </w:tcBorders>
          </w:tcPr>
          <w:p>
            <w:pPr/>
          </w:p>
        </w:tc>
      </w:tr>
    </w:tbl>
    <w:p>
      <w:pPr>
        <w:spacing w:line="240" w:lineRule="auto" w:before="5"/>
        <w:rPr>
          <w:rFonts w:ascii="宋体" w:hAnsi="宋体" w:cs="宋体" w:eastAsia="宋体" w:hint="default"/>
          <w:sz w:val="5"/>
          <w:szCs w:val="5"/>
        </w:rPr>
      </w:pPr>
    </w:p>
    <w:p>
      <w:pPr>
        <w:pStyle w:val="BodyText"/>
        <w:spacing w:line="240" w:lineRule="auto" w:before="32"/>
        <w:ind w:left="592" w:right="1133"/>
        <w:jc w:val="left"/>
      </w:pPr>
      <w:r>
        <w:rPr/>
        <w:t>（</w:t>
      </w:r>
      <w:r>
        <w:rPr>
          <w:rFonts w:ascii="Arial" w:hAnsi="Arial" w:cs="Arial" w:eastAsia="Arial" w:hint="default"/>
        </w:rPr>
        <w:t>3</w:t>
      </w:r>
      <w:r>
        <w:rPr/>
        <w:t>）重要联营企业的主要财务信息</w:t>
      </w:r>
    </w:p>
    <w:p>
      <w:pPr>
        <w:spacing w:line="240" w:lineRule="auto" w:before="8"/>
        <w:rPr>
          <w:rFonts w:ascii="宋体" w:hAnsi="宋体" w:cs="宋体" w:eastAsia="宋体" w:hint="default"/>
          <w:sz w:val="5"/>
          <w:szCs w:val="5"/>
        </w:rPr>
      </w:pPr>
    </w:p>
    <w:tbl>
      <w:tblPr>
        <w:tblW w:w="0" w:type="auto"/>
        <w:jc w:val="left"/>
        <w:tblInd w:w="506" w:type="dxa"/>
        <w:tblLayout w:type="fixed"/>
        <w:tblCellMar>
          <w:top w:w="0" w:type="dxa"/>
          <w:left w:w="0" w:type="dxa"/>
          <w:bottom w:w="0" w:type="dxa"/>
          <w:right w:w="0" w:type="dxa"/>
        </w:tblCellMar>
        <w:tblLook w:val="01E0"/>
      </w:tblPr>
      <w:tblGrid>
        <w:gridCol w:w="2533"/>
        <w:gridCol w:w="1718"/>
        <w:gridCol w:w="1496"/>
        <w:gridCol w:w="1609"/>
        <w:gridCol w:w="1534"/>
      </w:tblGrid>
      <w:tr>
        <w:trPr>
          <w:trHeight w:val="497" w:hRule="exact"/>
        </w:trPr>
        <w:tc>
          <w:tcPr>
            <w:tcW w:w="2533"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9"/>
              <w:ind w:left="681" w:right="0"/>
              <w:jc w:val="left"/>
              <w:rPr>
                <w:rFonts w:ascii="宋体" w:hAnsi="宋体" w:cs="宋体" w:eastAsia="宋体" w:hint="default"/>
                <w:sz w:val="18"/>
                <w:szCs w:val="18"/>
              </w:rPr>
            </w:pPr>
            <w:r>
              <w:rPr>
                <w:rFonts w:ascii="宋体" w:hAnsi="宋体" w:cs="宋体" w:eastAsia="宋体" w:hint="default"/>
                <w:sz w:val="18"/>
                <w:szCs w:val="18"/>
              </w:rPr>
              <w:t>年末余额 </w:t>
            </w:r>
            <w:r>
              <w:rPr>
                <w:rFonts w:ascii="Arial" w:hAnsi="Arial" w:cs="Arial" w:eastAsia="Arial" w:hint="default"/>
                <w:sz w:val="18"/>
                <w:szCs w:val="18"/>
              </w:rPr>
              <w:t>/</w:t>
            </w:r>
            <w:r>
              <w:rPr>
                <w:rFonts w:ascii="Arial" w:hAnsi="Arial" w:cs="Arial" w:eastAsia="Arial" w:hint="default"/>
                <w:spacing w:val="42"/>
                <w:sz w:val="18"/>
                <w:szCs w:val="18"/>
              </w:rPr>
              <w:t> </w:t>
            </w:r>
            <w:r>
              <w:rPr>
                <w:rFonts w:ascii="宋体" w:hAnsi="宋体" w:cs="宋体" w:eastAsia="宋体" w:hint="default"/>
                <w:sz w:val="18"/>
                <w:szCs w:val="18"/>
              </w:rPr>
              <w:t>本年发生额</w:t>
            </w:r>
          </w:p>
        </w:tc>
        <w:tc>
          <w:tcPr>
            <w:tcW w:w="3142"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49"/>
              <w:ind w:left="645" w:right="0"/>
              <w:jc w:val="left"/>
              <w:rPr>
                <w:rFonts w:ascii="宋体" w:hAnsi="宋体" w:cs="宋体" w:eastAsia="宋体" w:hint="default"/>
                <w:sz w:val="18"/>
                <w:szCs w:val="18"/>
              </w:rPr>
            </w:pPr>
            <w:r>
              <w:rPr>
                <w:rFonts w:ascii="宋体" w:hAnsi="宋体" w:cs="宋体" w:eastAsia="宋体" w:hint="default"/>
                <w:sz w:val="18"/>
                <w:szCs w:val="18"/>
              </w:rPr>
              <w:t>年初余额 </w:t>
            </w:r>
            <w:r>
              <w:rPr>
                <w:rFonts w:ascii="Arial" w:hAnsi="Arial" w:cs="Arial" w:eastAsia="Arial" w:hint="default"/>
                <w:sz w:val="18"/>
                <w:szCs w:val="18"/>
              </w:rPr>
              <w:t>/</w:t>
            </w:r>
            <w:r>
              <w:rPr>
                <w:rFonts w:ascii="Arial" w:hAnsi="Arial" w:cs="Arial" w:eastAsia="Arial" w:hint="default"/>
                <w:spacing w:val="43"/>
                <w:sz w:val="18"/>
                <w:szCs w:val="18"/>
              </w:rPr>
              <w:t> </w:t>
            </w:r>
            <w:r>
              <w:rPr>
                <w:rFonts w:ascii="宋体" w:hAnsi="宋体" w:cs="宋体" w:eastAsia="宋体" w:hint="default"/>
                <w:sz w:val="18"/>
                <w:szCs w:val="18"/>
              </w:rPr>
              <w:t>上年发生额</w:t>
            </w:r>
          </w:p>
        </w:tc>
      </w:tr>
      <w:tr>
        <w:trPr>
          <w:trHeight w:val="1021" w:hRule="exact"/>
        </w:trPr>
        <w:tc>
          <w:tcPr>
            <w:tcW w:w="2533" w:type="dxa"/>
            <w:vMerge/>
            <w:tcBorders>
              <w:left w:val="nil" w:sz="6" w:space="0" w:color="auto"/>
              <w:bottom w:val="single" w:sz="2" w:space="0" w:color="000000"/>
              <w:right w:val="single" w:sz="2" w:space="0" w:color="000000"/>
            </w:tcBorders>
          </w:tcPr>
          <w:p>
            <w:pPr/>
          </w:p>
        </w:tc>
        <w:tc>
          <w:tcPr>
            <w:tcW w:w="17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36" w:right="134"/>
              <w:jc w:val="left"/>
              <w:rPr>
                <w:rFonts w:ascii="宋体" w:hAnsi="宋体" w:cs="宋体" w:eastAsia="宋体" w:hint="default"/>
                <w:sz w:val="18"/>
                <w:szCs w:val="18"/>
              </w:rPr>
            </w:pPr>
            <w:r>
              <w:rPr>
                <w:rFonts w:ascii="宋体" w:hAnsi="宋体" w:cs="宋体" w:eastAsia="宋体" w:hint="default"/>
                <w:sz w:val="18"/>
                <w:szCs w:val="18"/>
              </w:rPr>
              <w:t>深圳一海通全球供 应链管理有限公司</w:t>
            </w:r>
          </w:p>
        </w:tc>
        <w:tc>
          <w:tcPr>
            <w:tcW w:w="14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95" w:right="113" w:hanging="180"/>
              <w:jc w:val="left"/>
              <w:rPr>
                <w:rFonts w:ascii="宋体" w:hAnsi="宋体" w:cs="宋体" w:eastAsia="宋体" w:hint="default"/>
                <w:sz w:val="18"/>
                <w:szCs w:val="18"/>
              </w:rPr>
            </w:pPr>
            <w:r>
              <w:rPr>
                <w:rFonts w:ascii="宋体" w:hAnsi="宋体" w:cs="宋体" w:eastAsia="宋体" w:hint="default"/>
                <w:sz w:val="18"/>
                <w:szCs w:val="18"/>
              </w:rPr>
              <w:t>上海中远资讯科 技有限公司</w:t>
            </w:r>
          </w:p>
        </w:tc>
        <w:tc>
          <w:tcPr>
            <w:tcW w:w="1609" w:type="dxa"/>
            <w:tcBorders>
              <w:top w:val="single" w:sz="2" w:space="0" w:color="000000"/>
              <w:left w:val="single" w:sz="2" w:space="0" w:color="000000"/>
              <w:bottom w:val="single" w:sz="2" w:space="0" w:color="000000"/>
              <w:right w:val="single" w:sz="2" w:space="0" w:color="000000"/>
            </w:tcBorders>
          </w:tcPr>
          <w:p>
            <w:pPr>
              <w:pStyle w:val="TableParagraph"/>
              <w:spacing w:line="319" w:lineRule="auto" w:before="49"/>
              <w:ind w:left="172" w:right="170"/>
              <w:jc w:val="center"/>
              <w:rPr>
                <w:rFonts w:ascii="宋体" w:hAnsi="宋体" w:cs="宋体" w:eastAsia="宋体" w:hint="default"/>
                <w:sz w:val="18"/>
                <w:szCs w:val="18"/>
              </w:rPr>
            </w:pPr>
            <w:r>
              <w:rPr>
                <w:rFonts w:ascii="宋体" w:hAnsi="宋体" w:cs="宋体" w:eastAsia="宋体" w:hint="default"/>
                <w:sz w:val="18"/>
                <w:szCs w:val="18"/>
              </w:rPr>
              <w:t>深圳一海通全球 供应链管理有限 公司</w:t>
            </w:r>
          </w:p>
        </w:tc>
        <w:tc>
          <w:tcPr>
            <w:tcW w:w="15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12" w:right="137" w:hanging="180"/>
              <w:jc w:val="left"/>
              <w:rPr>
                <w:rFonts w:ascii="宋体" w:hAnsi="宋体" w:cs="宋体" w:eastAsia="宋体" w:hint="default"/>
                <w:sz w:val="18"/>
                <w:szCs w:val="18"/>
              </w:rPr>
            </w:pPr>
            <w:r>
              <w:rPr>
                <w:rFonts w:ascii="宋体" w:hAnsi="宋体" w:cs="宋体" w:eastAsia="宋体" w:hint="default"/>
                <w:sz w:val="18"/>
                <w:szCs w:val="18"/>
              </w:rPr>
              <w:t>上海中远资讯科 技有限公司</w:t>
            </w:r>
          </w:p>
        </w:tc>
      </w:tr>
      <w:tr>
        <w:trPr>
          <w:trHeight w:val="487" w:hRule="exact"/>
        </w:trPr>
        <w:tc>
          <w:tcPr>
            <w:tcW w:w="2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2"/>
              <w:ind w:left="1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7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79,131,315.75</w:t>
            </w:r>
          </w:p>
        </w:tc>
        <w:tc>
          <w:tcPr>
            <w:tcW w:w="14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42,304,044.41</w:t>
            </w:r>
          </w:p>
        </w:tc>
        <w:tc>
          <w:tcPr>
            <w:tcW w:w="1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66,205,293.62</w:t>
            </w:r>
          </w:p>
        </w:tc>
        <w:tc>
          <w:tcPr>
            <w:tcW w:w="15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10"/>
              <w:jc w:val="right"/>
              <w:rPr>
                <w:rFonts w:ascii="Arial" w:hAnsi="Arial" w:cs="Arial" w:eastAsia="Arial" w:hint="default"/>
                <w:sz w:val="18"/>
                <w:szCs w:val="18"/>
              </w:rPr>
            </w:pPr>
            <w:r>
              <w:rPr>
                <w:rFonts w:ascii="Arial"/>
                <w:spacing w:val="-1"/>
                <w:sz w:val="18"/>
              </w:rPr>
              <w:t>29,995,362.62</w:t>
            </w:r>
          </w:p>
        </w:tc>
      </w:tr>
      <w:tr>
        <w:trPr>
          <w:trHeight w:val="485" w:hRule="exact"/>
        </w:trPr>
        <w:tc>
          <w:tcPr>
            <w:tcW w:w="2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其中：现金和现金等价物</w:t>
            </w:r>
          </w:p>
        </w:tc>
        <w:tc>
          <w:tcPr>
            <w:tcW w:w="17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8,518,726.67</w:t>
            </w:r>
          </w:p>
        </w:tc>
        <w:tc>
          <w:tcPr>
            <w:tcW w:w="14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17,633,753.60</w:t>
            </w:r>
          </w:p>
        </w:tc>
        <w:tc>
          <w:tcPr>
            <w:tcW w:w="1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3,120,908.59</w:t>
            </w:r>
          </w:p>
        </w:tc>
        <w:tc>
          <w:tcPr>
            <w:tcW w:w="15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10"/>
              <w:jc w:val="right"/>
              <w:rPr>
                <w:rFonts w:ascii="Arial" w:hAnsi="Arial" w:cs="Arial" w:eastAsia="Arial" w:hint="default"/>
                <w:sz w:val="18"/>
                <w:szCs w:val="18"/>
              </w:rPr>
            </w:pPr>
            <w:r>
              <w:rPr>
                <w:rFonts w:ascii="Arial"/>
                <w:spacing w:val="-1"/>
                <w:sz w:val="18"/>
              </w:rPr>
              <w:t>20,819,729.41</w:t>
            </w:r>
          </w:p>
        </w:tc>
      </w:tr>
      <w:tr>
        <w:trPr>
          <w:trHeight w:val="485" w:hRule="exact"/>
        </w:trPr>
        <w:tc>
          <w:tcPr>
            <w:tcW w:w="2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7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14,032,840.47</w:t>
            </w:r>
          </w:p>
        </w:tc>
        <w:tc>
          <w:tcPr>
            <w:tcW w:w="14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378,618.65</w:t>
            </w:r>
          </w:p>
        </w:tc>
        <w:tc>
          <w:tcPr>
            <w:tcW w:w="1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2"/>
                <w:sz w:val="18"/>
              </w:rPr>
              <w:t>7,253,043.11</w:t>
            </w:r>
          </w:p>
        </w:tc>
        <w:tc>
          <w:tcPr>
            <w:tcW w:w="15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9"/>
              <w:jc w:val="right"/>
              <w:rPr>
                <w:rFonts w:ascii="Arial" w:hAnsi="Arial" w:cs="Arial" w:eastAsia="Arial" w:hint="default"/>
                <w:sz w:val="18"/>
                <w:szCs w:val="18"/>
              </w:rPr>
            </w:pPr>
            <w:r>
              <w:rPr>
                <w:rFonts w:ascii="Arial"/>
                <w:spacing w:val="-1"/>
                <w:sz w:val="18"/>
              </w:rPr>
              <w:t>636,448.93</w:t>
            </w:r>
          </w:p>
        </w:tc>
      </w:tr>
      <w:tr>
        <w:trPr>
          <w:trHeight w:val="485" w:hRule="exact"/>
        </w:trPr>
        <w:tc>
          <w:tcPr>
            <w:tcW w:w="2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7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93,164,156.22</w:t>
            </w:r>
          </w:p>
        </w:tc>
        <w:tc>
          <w:tcPr>
            <w:tcW w:w="14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42,682,663.06</w:t>
            </w:r>
          </w:p>
        </w:tc>
        <w:tc>
          <w:tcPr>
            <w:tcW w:w="1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73,458,336.73</w:t>
            </w:r>
          </w:p>
        </w:tc>
        <w:tc>
          <w:tcPr>
            <w:tcW w:w="15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10"/>
              <w:jc w:val="right"/>
              <w:rPr>
                <w:rFonts w:ascii="Arial" w:hAnsi="Arial" w:cs="Arial" w:eastAsia="Arial" w:hint="default"/>
                <w:sz w:val="18"/>
                <w:szCs w:val="18"/>
              </w:rPr>
            </w:pPr>
            <w:r>
              <w:rPr>
                <w:rFonts w:ascii="Arial"/>
                <w:spacing w:val="-2"/>
                <w:sz w:val="18"/>
              </w:rPr>
              <w:t>30,631,811.55</w:t>
            </w:r>
          </w:p>
        </w:tc>
      </w:tr>
      <w:tr>
        <w:trPr>
          <w:trHeight w:val="485" w:hRule="exact"/>
        </w:trPr>
        <w:tc>
          <w:tcPr>
            <w:tcW w:w="2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7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4"/>
              <w:jc w:val="right"/>
              <w:rPr>
                <w:rFonts w:ascii="Arial" w:hAnsi="Arial" w:cs="Arial" w:eastAsia="Arial" w:hint="default"/>
                <w:sz w:val="18"/>
                <w:szCs w:val="18"/>
              </w:rPr>
            </w:pPr>
            <w:r>
              <w:rPr>
                <w:rFonts w:ascii="Arial"/>
                <w:spacing w:val="-1"/>
                <w:sz w:val="18"/>
              </w:rPr>
              <w:t>101,534,306.91</w:t>
            </w:r>
          </w:p>
        </w:tc>
        <w:tc>
          <w:tcPr>
            <w:tcW w:w="14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39,162,128.17</w:t>
            </w:r>
          </w:p>
        </w:tc>
        <w:tc>
          <w:tcPr>
            <w:tcW w:w="1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76,638,956.01</w:t>
            </w:r>
          </w:p>
        </w:tc>
        <w:tc>
          <w:tcPr>
            <w:tcW w:w="15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10"/>
              <w:jc w:val="right"/>
              <w:rPr>
                <w:rFonts w:ascii="Arial" w:hAnsi="Arial" w:cs="Arial" w:eastAsia="Arial" w:hint="default"/>
                <w:sz w:val="18"/>
                <w:szCs w:val="18"/>
              </w:rPr>
            </w:pPr>
            <w:r>
              <w:rPr>
                <w:rFonts w:ascii="Arial"/>
                <w:spacing w:val="-2"/>
                <w:sz w:val="18"/>
              </w:rPr>
              <w:t>28,119,761.40</w:t>
            </w:r>
          </w:p>
        </w:tc>
      </w:tr>
      <w:tr>
        <w:trPr>
          <w:trHeight w:val="497" w:hRule="exact"/>
        </w:trPr>
        <w:tc>
          <w:tcPr>
            <w:tcW w:w="253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50"/>
              <w:ind w:left="1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718" w:type="dxa"/>
            <w:tcBorders>
              <w:top w:val="single" w:sz="2" w:space="0" w:color="000000"/>
              <w:left w:val="single" w:sz="2" w:space="0" w:color="000000"/>
              <w:bottom w:val="single" w:sz="12" w:space="0" w:color="000000"/>
              <w:right w:val="single" w:sz="2" w:space="0" w:color="000000"/>
            </w:tcBorders>
          </w:tcPr>
          <w:p>
            <w:pPr/>
          </w:p>
        </w:tc>
        <w:tc>
          <w:tcPr>
            <w:tcW w:w="1496" w:type="dxa"/>
            <w:tcBorders>
              <w:top w:val="single" w:sz="2" w:space="0" w:color="000000"/>
              <w:left w:val="single" w:sz="2" w:space="0" w:color="000000"/>
              <w:bottom w:val="single" w:sz="12" w:space="0" w:color="000000"/>
              <w:right w:val="single" w:sz="2" w:space="0" w:color="000000"/>
            </w:tcBorders>
          </w:tcPr>
          <w:p>
            <w:pPr/>
          </w:p>
        </w:tc>
        <w:tc>
          <w:tcPr>
            <w:tcW w:w="160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416,218.59</w:t>
            </w:r>
          </w:p>
        </w:tc>
        <w:tc>
          <w:tcPr>
            <w:tcW w:w="1534"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506" w:type="dxa"/>
        <w:tblLayout w:type="fixed"/>
        <w:tblCellMar>
          <w:top w:w="0" w:type="dxa"/>
          <w:left w:w="0" w:type="dxa"/>
          <w:bottom w:w="0" w:type="dxa"/>
          <w:right w:w="0" w:type="dxa"/>
        </w:tblCellMar>
        <w:tblLook w:val="01E0"/>
      </w:tblPr>
      <w:tblGrid>
        <w:gridCol w:w="2533"/>
        <w:gridCol w:w="1718"/>
        <w:gridCol w:w="1496"/>
        <w:gridCol w:w="1609"/>
        <w:gridCol w:w="1534"/>
      </w:tblGrid>
      <w:tr>
        <w:trPr>
          <w:trHeight w:val="500" w:hRule="exact"/>
        </w:trPr>
        <w:tc>
          <w:tcPr>
            <w:tcW w:w="2533"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left="681" w:right="0"/>
              <w:jc w:val="left"/>
              <w:rPr>
                <w:rFonts w:ascii="宋体" w:hAnsi="宋体" w:cs="宋体" w:eastAsia="宋体" w:hint="default"/>
                <w:sz w:val="18"/>
                <w:szCs w:val="18"/>
              </w:rPr>
            </w:pPr>
            <w:r>
              <w:rPr>
                <w:rFonts w:ascii="宋体" w:hAnsi="宋体" w:cs="宋体" w:eastAsia="宋体" w:hint="default"/>
                <w:sz w:val="18"/>
                <w:szCs w:val="18"/>
              </w:rPr>
              <w:t>年末余额 </w:t>
            </w:r>
            <w:r>
              <w:rPr>
                <w:rFonts w:ascii="Arial" w:hAnsi="Arial" w:cs="Arial" w:eastAsia="Arial" w:hint="default"/>
                <w:sz w:val="18"/>
                <w:szCs w:val="18"/>
              </w:rPr>
              <w:t>/</w:t>
            </w:r>
            <w:r>
              <w:rPr>
                <w:rFonts w:ascii="Arial" w:hAnsi="Arial" w:cs="Arial" w:eastAsia="Arial" w:hint="default"/>
                <w:spacing w:val="42"/>
                <w:sz w:val="18"/>
                <w:szCs w:val="18"/>
              </w:rPr>
              <w:t> </w:t>
            </w:r>
            <w:r>
              <w:rPr>
                <w:rFonts w:ascii="宋体" w:hAnsi="宋体" w:cs="宋体" w:eastAsia="宋体" w:hint="default"/>
                <w:sz w:val="18"/>
                <w:szCs w:val="18"/>
              </w:rPr>
              <w:t>本年发生额</w:t>
            </w:r>
          </w:p>
        </w:tc>
        <w:tc>
          <w:tcPr>
            <w:tcW w:w="3142"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left="645" w:right="0"/>
              <w:jc w:val="left"/>
              <w:rPr>
                <w:rFonts w:ascii="宋体" w:hAnsi="宋体" w:cs="宋体" w:eastAsia="宋体" w:hint="default"/>
                <w:sz w:val="18"/>
                <w:szCs w:val="18"/>
              </w:rPr>
            </w:pPr>
            <w:r>
              <w:rPr>
                <w:rFonts w:ascii="宋体" w:hAnsi="宋体" w:cs="宋体" w:eastAsia="宋体" w:hint="default"/>
                <w:sz w:val="18"/>
                <w:szCs w:val="18"/>
              </w:rPr>
              <w:t>年初余额 </w:t>
            </w:r>
            <w:r>
              <w:rPr>
                <w:rFonts w:ascii="Arial" w:hAnsi="Arial" w:cs="Arial" w:eastAsia="Arial" w:hint="default"/>
                <w:sz w:val="18"/>
                <w:szCs w:val="18"/>
              </w:rPr>
              <w:t>/</w:t>
            </w:r>
            <w:r>
              <w:rPr>
                <w:rFonts w:ascii="Arial" w:hAnsi="Arial" w:cs="Arial" w:eastAsia="Arial" w:hint="default"/>
                <w:spacing w:val="43"/>
                <w:sz w:val="18"/>
                <w:szCs w:val="18"/>
              </w:rPr>
              <w:t> </w:t>
            </w:r>
            <w:r>
              <w:rPr>
                <w:rFonts w:ascii="宋体" w:hAnsi="宋体" w:cs="宋体" w:eastAsia="宋体" w:hint="default"/>
                <w:sz w:val="18"/>
                <w:szCs w:val="18"/>
              </w:rPr>
              <w:t>上年发生额</w:t>
            </w:r>
          </w:p>
        </w:tc>
      </w:tr>
      <w:tr>
        <w:trPr>
          <w:trHeight w:val="1020" w:hRule="exact"/>
        </w:trPr>
        <w:tc>
          <w:tcPr>
            <w:tcW w:w="2533" w:type="dxa"/>
            <w:vMerge/>
            <w:tcBorders>
              <w:left w:val="nil" w:sz="6" w:space="0" w:color="auto"/>
              <w:bottom w:val="single" w:sz="2" w:space="0" w:color="000000"/>
              <w:right w:val="single" w:sz="2" w:space="0" w:color="000000"/>
            </w:tcBorders>
          </w:tcPr>
          <w:p>
            <w:pPr/>
          </w:p>
        </w:tc>
        <w:tc>
          <w:tcPr>
            <w:tcW w:w="17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136" w:right="134"/>
              <w:jc w:val="left"/>
              <w:rPr>
                <w:rFonts w:ascii="宋体" w:hAnsi="宋体" w:cs="宋体" w:eastAsia="宋体" w:hint="default"/>
                <w:sz w:val="18"/>
                <w:szCs w:val="18"/>
              </w:rPr>
            </w:pPr>
            <w:r>
              <w:rPr>
                <w:rFonts w:ascii="宋体" w:hAnsi="宋体" w:cs="宋体" w:eastAsia="宋体" w:hint="default"/>
                <w:sz w:val="18"/>
                <w:szCs w:val="18"/>
              </w:rPr>
              <w:t>深圳一海通全球供 应链管理有限公司</w:t>
            </w:r>
          </w:p>
        </w:tc>
        <w:tc>
          <w:tcPr>
            <w:tcW w:w="14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95" w:right="113" w:hanging="180"/>
              <w:jc w:val="left"/>
              <w:rPr>
                <w:rFonts w:ascii="宋体" w:hAnsi="宋体" w:cs="宋体" w:eastAsia="宋体" w:hint="default"/>
                <w:sz w:val="18"/>
                <w:szCs w:val="18"/>
              </w:rPr>
            </w:pPr>
            <w:r>
              <w:rPr>
                <w:rFonts w:ascii="宋体" w:hAnsi="宋体" w:cs="宋体" w:eastAsia="宋体" w:hint="default"/>
                <w:sz w:val="18"/>
                <w:szCs w:val="18"/>
              </w:rPr>
              <w:t>上海中远资讯科 技有限公司</w:t>
            </w:r>
          </w:p>
        </w:tc>
        <w:tc>
          <w:tcPr>
            <w:tcW w:w="1609"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49"/>
              <w:ind w:left="172" w:right="170"/>
              <w:jc w:val="center"/>
              <w:rPr>
                <w:rFonts w:ascii="宋体" w:hAnsi="宋体" w:cs="宋体" w:eastAsia="宋体" w:hint="default"/>
                <w:sz w:val="18"/>
                <w:szCs w:val="18"/>
              </w:rPr>
            </w:pPr>
            <w:r>
              <w:rPr>
                <w:rFonts w:ascii="宋体" w:hAnsi="宋体" w:cs="宋体" w:eastAsia="宋体" w:hint="default"/>
                <w:sz w:val="18"/>
                <w:szCs w:val="18"/>
              </w:rPr>
              <w:t>深圳一海通全球 供应链管理有限 公司</w:t>
            </w:r>
          </w:p>
        </w:tc>
        <w:tc>
          <w:tcPr>
            <w:tcW w:w="15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12" w:right="137" w:hanging="180"/>
              <w:jc w:val="left"/>
              <w:rPr>
                <w:rFonts w:ascii="宋体" w:hAnsi="宋体" w:cs="宋体" w:eastAsia="宋体" w:hint="default"/>
                <w:sz w:val="18"/>
                <w:szCs w:val="18"/>
              </w:rPr>
            </w:pPr>
            <w:r>
              <w:rPr>
                <w:rFonts w:ascii="宋体" w:hAnsi="宋体" w:cs="宋体" w:eastAsia="宋体" w:hint="default"/>
                <w:sz w:val="18"/>
                <w:szCs w:val="18"/>
              </w:rPr>
              <w:t>上海中远资讯科 技有限公司</w:t>
            </w:r>
          </w:p>
        </w:tc>
      </w:tr>
      <w:tr>
        <w:trPr>
          <w:trHeight w:val="485" w:hRule="exact"/>
        </w:trPr>
        <w:tc>
          <w:tcPr>
            <w:tcW w:w="2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7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4"/>
              <w:jc w:val="right"/>
              <w:rPr>
                <w:rFonts w:ascii="Arial" w:hAnsi="Arial" w:cs="Arial" w:eastAsia="Arial" w:hint="default"/>
                <w:sz w:val="18"/>
                <w:szCs w:val="18"/>
              </w:rPr>
            </w:pPr>
            <w:r>
              <w:rPr>
                <w:rFonts w:ascii="Arial"/>
                <w:spacing w:val="-1"/>
                <w:sz w:val="18"/>
              </w:rPr>
              <w:t>101,534,306.91</w:t>
            </w:r>
          </w:p>
        </w:tc>
        <w:tc>
          <w:tcPr>
            <w:tcW w:w="14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39,162,128.17</w:t>
            </w:r>
          </w:p>
        </w:tc>
        <w:tc>
          <w:tcPr>
            <w:tcW w:w="1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77,055,174.60</w:t>
            </w:r>
          </w:p>
        </w:tc>
        <w:tc>
          <w:tcPr>
            <w:tcW w:w="15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10"/>
              <w:jc w:val="right"/>
              <w:rPr>
                <w:rFonts w:ascii="Arial" w:hAnsi="Arial" w:cs="Arial" w:eastAsia="Arial" w:hint="default"/>
                <w:sz w:val="18"/>
                <w:szCs w:val="18"/>
              </w:rPr>
            </w:pPr>
            <w:r>
              <w:rPr>
                <w:rFonts w:ascii="Arial"/>
                <w:spacing w:val="-2"/>
                <w:sz w:val="18"/>
              </w:rPr>
              <w:t>28,119,761.40</w:t>
            </w:r>
          </w:p>
        </w:tc>
      </w:tr>
      <w:tr>
        <w:trPr>
          <w:trHeight w:val="485" w:hRule="exact"/>
        </w:trPr>
        <w:tc>
          <w:tcPr>
            <w:tcW w:w="2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18" w:type="dxa"/>
            <w:tcBorders>
              <w:top w:val="single" w:sz="2" w:space="0" w:color="000000"/>
              <w:left w:val="single" w:sz="2" w:space="0" w:color="000000"/>
              <w:bottom w:val="single" w:sz="2" w:space="0" w:color="000000"/>
              <w:right w:val="single" w:sz="2" w:space="0" w:color="000000"/>
            </w:tcBorders>
          </w:tcPr>
          <w:p>
            <w:pPr/>
          </w:p>
        </w:tc>
        <w:tc>
          <w:tcPr>
            <w:tcW w:w="1496" w:type="dxa"/>
            <w:tcBorders>
              <w:top w:val="single" w:sz="2" w:space="0" w:color="000000"/>
              <w:left w:val="single" w:sz="2" w:space="0" w:color="000000"/>
              <w:bottom w:val="single" w:sz="2" w:space="0" w:color="000000"/>
              <w:right w:val="single" w:sz="2" w:space="0" w:color="000000"/>
            </w:tcBorders>
          </w:tcPr>
          <w:p>
            <w:pPr/>
          </w:p>
        </w:tc>
        <w:tc>
          <w:tcPr>
            <w:tcW w:w="1609" w:type="dxa"/>
            <w:tcBorders>
              <w:top w:val="single" w:sz="2" w:space="0" w:color="000000"/>
              <w:left w:val="single" w:sz="2" w:space="0" w:color="000000"/>
              <w:bottom w:val="single" w:sz="2" w:space="0" w:color="000000"/>
              <w:right w:val="single" w:sz="2" w:space="0" w:color="000000"/>
            </w:tcBorders>
          </w:tcPr>
          <w:p>
            <w:pPr/>
          </w:p>
        </w:tc>
        <w:tc>
          <w:tcPr>
            <w:tcW w:w="1534"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2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7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-8,370,150.69</w:t>
            </w:r>
          </w:p>
        </w:tc>
        <w:tc>
          <w:tcPr>
            <w:tcW w:w="14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3,520,534.89</w:t>
            </w:r>
          </w:p>
        </w:tc>
        <w:tc>
          <w:tcPr>
            <w:tcW w:w="1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-3,596,837.87</w:t>
            </w:r>
          </w:p>
        </w:tc>
        <w:tc>
          <w:tcPr>
            <w:tcW w:w="15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10"/>
              <w:jc w:val="right"/>
              <w:rPr>
                <w:rFonts w:ascii="Arial" w:hAnsi="Arial" w:cs="Arial" w:eastAsia="Arial" w:hint="default"/>
                <w:sz w:val="18"/>
                <w:szCs w:val="18"/>
              </w:rPr>
            </w:pPr>
            <w:r>
              <w:rPr>
                <w:rFonts w:ascii="Arial"/>
                <w:spacing w:val="-1"/>
                <w:sz w:val="18"/>
              </w:rPr>
              <w:t>2,512,050.15</w:t>
            </w:r>
          </w:p>
        </w:tc>
      </w:tr>
      <w:tr>
        <w:trPr>
          <w:trHeight w:val="886" w:hRule="exact"/>
        </w:trPr>
        <w:tc>
          <w:tcPr>
            <w:tcW w:w="2533" w:type="dxa"/>
            <w:tcBorders>
              <w:top w:val="single" w:sz="2" w:space="0" w:color="000000"/>
              <w:left w:val="nil" w:sz="6" w:space="0" w:color="auto"/>
              <w:bottom w:val="single" w:sz="2" w:space="0" w:color="000000"/>
              <w:right w:val="single" w:sz="2" w:space="0" w:color="000000"/>
            </w:tcBorders>
          </w:tcPr>
          <w:p>
            <w:pPr>
              <w:pStyle w:val="TableParagraph"/>
              <w:spacing w:line="402" w:lineRule="exact" w:before="38"/>
              <w:ind w:left="124" w:right="105"/>
              <w:jc w:val="left"/>
              <w:rPr>
                <w:rFonts w:ascii="宋体" w:hAnsi="宋体" w:cs="宋体" w:eastAsia="宋体" w:hint="default"/>
                <w:sz w:val="18"/>
                <w:szCs w:val="18"/>
              </w:rPr>
            </w:pPr>
            <w:r>
              <w:rPr>
                <w:rFonts w:ascii="宋体" w:hAnsi="宋体" w:cs="宋体" w:eastAsia="宋体" w:hint="default"/>
                <w:spacing w:val="10"/>
                <w:sz w:val="18"/>
                <w:szCs w:val="18"/>
              </w:rPr>
              <w:t>按持股比例计算的净资产份</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额</w:t>
            </w:r>
          </w:p>
        </w:tc>
        <w:tc>
          <w:tcPr>
            <w:tcW w:w="17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03"/>
              <w:jc w:val="right"/>
              <w:rPr>
                <w:rFonts w:ascii="Arial" w:hAnsi="Arial" w:cs="Arial" w:eastAsia="Arial" w:hint="default"/>
                <w:sz w:val="18"/>
                <w:szCs w:val="18"/>
              </w:rPr>
            </w:pPr>
            <w:r>
              <w:rPr>
                <w:rFonts w:ascii="Arial"/>
                <w:spacing w:val="-1"/>
                <w:sz w:val="18"/>
              </w:rPr>
              <w:t>-2,092,537.67</w:t>
            </w:r>
          </w:p>
        </w:tc>
        <w:tc>
          <w:tcPr>
            <w:tcW w:w="14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03"/>
              <w:jc w:val="right"/>
              <w:rPr>
                <w:rFonts w:ascii="Arial" w:hAnsi="Arial" w:cs="Arial" w:eastAsia="Arial" w:hint="default"/>
                <w:sz w:val="18"/>
                <w:szCs w:val="18"/>
              </w:rPr>
            </w:pPr>
            <w:r>
              <w:rPr>
                <w:rFonts w:ascii="Arial"/>
                <w:spacing w:val="-1"/>
                <w:sz w:val="18"/>
              </w:rPr>
              <w:t>1,408,213.96</w:t>
            </w:r>
          </w:p>
        </w:tc>
        <w:tc>
          <w:tcPr>
            <w:tcW w:w="1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00"/>
              <w:jc w:val="right"/>
              <w:rPr>
                <w:rFonts w:ascii="Arial" w:hAnsi="Arial" w:cs="Arial" w:eastAsia="Arial" w:hint="default"/>
                <w:sz w:val="18"/>
                <w:szCs w:val="18"/>
              </w:rPr>
            </w:pPr>
            <w:r>
              <w:rPr>
                <w:rFonts w:ascii="Arial"/>
                <w:spacing w:val="-1"/>
                <w:sz w:val="18"/>
              </w:rPr>
              <w:t>-899,209.47</w:t>
            </w:r>
          </w:p>
        </w:tc>
        <w:tc>
          <w:tcPr>
            <w:tcW w:w="153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10"/>
              <w:jc w:val="right"/>
              <w:rPr>
                <w:rFonts w:ascii="Arial" w:hAnsi="Arial" w:cs="Arial" w:eastAsia="Arial" w:hint="default"/>
                <w:sz w:val="18"/>
                <w:szCs w:val="18"/>
              </w:rPr>
            </w:pPr>
            <w:r>
              <w:rPr>
                <w:rFonts w:ascii="Arial"/>
                <w:spacing w:val="-1"/>
                <w:sz w:val="18"/>
              </w:rPr>
              <w:t>1,004,820.06</w:t>
            </w:r>
          </w:p>
        </w:tc>
      </w:tr>
      <w:tr>
        <w:trPr>
          <w:trHeight w:val="485" w:hRule="exact"/>
        </w:trPr>
        <w:tc>
          <w:tcPr>
            <w:tcW w:w="2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7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2,092,537.67</w:t>
            </w:r>
          </w:p>
        </w:tc>
        <w:tc>
          <w:tcPr>
            <w:tcW w:w="14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572,776.27</w:t>
            </w:r>
          </w:p>
        </w:tc>
        <w:tc>
          <w:tcPr>
            <w:tcW w:w="1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899,209.47</w:t>
            </w:r>
          </w:p>
        </w:tc>
        <w:tc>
          <w:tcPr>
            <w:tcW w:w="15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9"/>
              <w:jc w:val="right"/>
              <w:rPr>
                <w:rFonts w:ascii="Arial" w:hAnsi="Arial" w:cs="Arial" w:eastAsia="Arial" w:hint="default"/>
                <w:sz w:val="18"/>
                <w:szCs w:val="18"/>
              </w:rPr>
            </w:pPr>
            <w:r>
              <w:rPr>
                <w:rFonts w:ascii="Arial"/>
                <w:spacing w:val="-1"/>
                <w:sz w:val="18"/>
              </w:rPr>
              <w:t>572,776.27</w:t>
            </w:r>
          </w:p>
        </w:tc>
      </w:tr>
      <w:tr>
        <w:trPr>
          <w:trHeight w:val="485" w:hRule="exact"/>
        </w:trPr>
        <w:tc>
          <w:tcPr>
            <w:tcW w:w="2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商誉</w:t>
            </w:r>
          </w:p>
        </w:tc>
        <w:tc>
          <w:tcPr>
            <w:tcW w:w="1718" w:type="dxa"/>
            <w:tcBorders>
              <w:top w:val="single" w:sz="2" w:space="0" w:color="000000"/>
              <w:left w:val="single" w:sz="2" w:space="0" w:color="000000"/>
              <w:bottom w:val="single" w:sz="2" w:space="0" w:color="000000"/>
              <w:right w:val="single" w:sz="2" w:space="0" w:color="000000"/>
            </w:tcBorders>
          </w:tcPr>
          <w:p>
            <w:pPr/>
          </w:p>
        </w:tc>
        <w:tc>
          <w:tcPr>
            <w:tcW w:w="1496" w:type="dxa"/>
            <w:tcBorders>
              <w:top w:val="single" w:sz="2" w:space="0" w:color="000000"/>
              <w:left w:val="single" w:sz="2" w:space="0" w:color="000000"/>
              <w:bottom w:val="single" w:sz="2" w:space="0" w:color="000000"/>
              <w:right w:val="single" w:sz="2" w:space="0" w:color="000000"/>
            </w:tcBorders>
          </w:tcPr>
          <w:p>
            <w:pPr/>
          </w:p>
        </w:tc>
        <w:tc>
          <w:tcPr>
            <w:tcW w:w="1609" w:type="dxa"/>
            <w:tcBorders>
              <w:top w:val="single" w:sz="2" w:space="0" w:color="000000"/>
              <w:left w:val="single" w:sz="2" w:space="0" w:color="000000"/>
              <w:bottom w:val="single" w:sz="2" w:space="0" w:color="000000"/>
              <w:right w:val="single" w:sz="2" w:space="0" w:color="000000"/>
            </w:tcBorders>
          </w:tcPr>
          <w:p>
            <w:pPr/>
          </w:p>
        </w:tc>
        <w:tc>
          <w:tcPr>
            <w:tcW w:w="1534"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2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内部交易未实现利润</w:t>
            </w:r>
          </w:p>
        </w:tc>
        <w:tc>
          <w:tcPr>
            <w:tcW w:w="1718" w:type="dxa"/>
            <w:tcBorders>
              <w:top w:val="single" w:sz="2" w:space="0" w:color="000000"/>
              <w:left w:val="single" w:sz="2" w:space="0" w:color="000000"/>
              <w:bottom w:val="single" w:sz="2" w:space="0" w:color="000000"/>
              <w:right w:val="single" w:sz="2" w:space="0" w:color="000000"/>
            </w:tcBorders>
          </w:tcPr>
          <w:p>
            <w:pPr/>
          </w:p>
        </w:tc>
        <w:tc>
          <w:tcPr>
            <w:tcW w:w="1496" w:type="dxa"/>
            <w:tcBorders>
              <w:top w:val="single" w:sz="2" w:space="0" w:color="000000"/>
              <w:left w:val="single" w:sz="2" w:space="0" w:color="000000"/>
              <w:bottom w:val="single" w:sz="2" w:space="0" w:color="000000"/>
              <w:right w:val="single" w:sz="2" w:space="0" w:color="000000"/>
            </w:tcBorders>
          </w:tcPr>
          <w:p>
            <w:pPr/>
          </w:p>
        </w:tc>
        <w:tc>
          <w:tcPr>
            <w:tcW w:w="1609" w:type="dxa"/>
            <w:tcBorders>
              <w:top w:val="single" w:sz="2" w:space="0" w:color="000000"/>
              <w:left w:val="single" w:sz="2" w:space="0" w:color="000000"/>
              <w:bottom w:val="single" w:sz="2" w:space="0" w:color="000000"/>
              <w:right w:val="single" w:sz="2" w:space="0" w:color="000000"/>
            </w:tcBorders>
          </w:tcPr>
          <w:p>
            <w:pPr/>
          </w:p>
        </w:tc>
        <w:tc>
          <w:tcPr>
            <w:tcW w:w="1534"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2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其他</w:t>
            </w:r>
          </w:p>
        </w:tc>
        <w:tc>
          <w:tcPr>
            <w:tcW w:w="17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2,092,537.67</w:t>
            </w:r>
          </w:p>
        </w:tc>
        <w:tc>
          <w:tcPr>
            <w:tcW w:w="14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572,776.27</w:t>
            </w:r>
          </w:p>
        </w:tc>
        <w:tc>
          <w:tcPr>
            <w:tcW w:w="1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899,209.47</w:t>
            </w:r>
          </w:p>
        </w:tc>
        <w:tc>
          <w:tcPr>
            <w:tcW w:w="15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9"/>
              <w:jc w:val="right"/>
              <w:rPr>
                <w:rFonts w:ascii="Arial" w:hAnsi="Arial" w:cs="Arial" w:eastAsia="Arial" w:hint="default"/>
                <w:sz w:val="18"/>
                <w:szCs w:val="18"/>
              </w:rPr>
            </w:pPr>
            <w:r>
              <w:rPr>
                <w:rFonts w:ascii="Arial"/>
                <w:spacing w:val="-1"/>
                <w:sz w:val="18"/>
              </w:rPr>
              <w:t>572,776.27</w:t>
            </w:r>
          </w:p>
        </w:tc>
      </w:tr>
      <w:tr>
        <w:trPr>
          <w:trHeight w:val="886" w:hRule="exact"/>
        </w:trPr>
        <w:tc>
          <w:tcPr>
            <w:tcW w:w="2533" w:type="dxa"/>
            <w:tcBorders>
              <w:top w:val="single" w:sz="2" w:space="0" w:color="000000"/>
              <w:left w:val="nil" w:sz="6" w:space="0" w:color="auto"/>
              <w:bottom w:val="single" w:sz="2" w:space="0" w:color="000000"/>
              <w:right w:val="single" w:sz="2" w:space="0" w:color="000000"/>
            </w:tcBorders>
          </w:tcPr>
          <w:p>
            <w:pPr>
              <w:pStyle w:val="TableParagraph"/>
              <w:spacing w:line="400" w:lineRule="exact" w:before="40"/>
              <w:ind w:left="124" w:right="105"/>
              <w:jc w:val="left"/>
              <w:rPr>
                <w:rFonts w:ascii="宋体" w:hAnsi="宋体" w:cs="宋体" w:eastAsia="宋体" w:hint="default"/>
                <w:sz w:val="18"/>
                <w:szCs w:val="18"/>
              </w:rPr>
            </w:pPr>
            <w:r>
              <w:rPr>
                <w:rFonts w:ascii="宋体" w:hAnsi="宋体" w:cs="宋体" w:eastAsia="宋体" w:hint="default"/>
                <w:spacing w:val="10"/>
                <w:sz w:val="18"/>
                <w:szCs w:val="18"/>
              </w:rPr>
              <w:t>对联营企业权益投资的账面</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价值</w:t>
            </w:r>
          </w:p>
        </w:tc>
        <w:tc>
          <w:tcPr>
            <w:tcW w:w="1718" w:type="dxa"/>
            <w:tcBorders>
              <w:top w:val="single" w:sz="2" w:space="0" w:color="000000"/>
              <w:left w:val="single" w:sz="2" w:space="0" w:color="000000"/>
              <w:bottom w:val="single" w:sz="2" w:space="0" w:color="000000"/>
              <w:right w:val="single" w:sz="2" w:space="0" w:color="000000"/>
            </w:tcBorders>
          </w:tcPr>
          <w:p>
            <w:pPr/>
          </w:p>
        </w:tc>
        <w:tc>
          <w:tcPr>
            <w:tcW w:w="14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03"/>
              <w:jc w:val="right"/>
              <w:rPr>
                <w:rFonts w:ascii="Arial" w:hAnsi="Arial" w:cs="Arial" w:eastAsia="Arial" w:hint="default"/>
                <w:sz w:val="18"/>
                <w:szCs w:val="18"/>
              </w:rPr>
            </w:pPr>
            <w:r>
              <w:rPr>
                <w:rFonts w:ascii="Arial"/>
                <w:spacing w:val="-1"/>
                <w:sz w:val="18"/>
              </w:rPr>
              <w:t>1,980,990.22</w:t>
            </w:r>
          </w:p>
        </w:tc>
        <w:tc>
          <w:tcPr>
            <w:tcW w:w="1609" w:type="dxa"/>
            <w:tcBorders>
              <w:top w:val="single" w:sz="2" w:space="0" w:color="000000"/>
              <w:left w:val="single" w:sz="2" w:space="0" w:color="000000"/>
              <w:bottom w:val="single" w:sz="2" w:space="0" w:color="000000"/>
              <w:right w:val="single" w:sz="2" w:space="0" w:color="000000"/>
            </w:tcBorders>
          </w:tcPr>
          <w:p>
            <w:pPr/>
          </w:p>
        </w:tc>
        <w:tc>
          <w:tcPr>
            <w:tcW w:w="153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10"/>
              <w:jc w:val="right"/>
              <w:rPr>
                <w:rFonts w:ascii="Arial" w:hAnsi="Arial" w:cs="Arial" w:eastAsia="Arial" w:hint="default"/>
                <w:sz w:val="18"/>
                <w:szCs w:val="18"/>
              </w:rPr>
            </w:pPr>
            <w:r>
              <w:rPr>
                <w:rFonts w:ascii="Arial"/>
                <w:spacing w:val="-1"/>
                <w:sz w:val="18"/>
              </w:rPr>
              <w:t>1,577,596.33</w:t>
            </w:r>
          </w:p>
        </w:tc>
      </w:tr>
      <w:tr>
        <w:trPr>
          <w:trHeight w:val="886" w:hRule="exact"/>
        </w:trPr>
        <w:tc>
          <w:tcPr>
            <w:tcW w:w="2533" w:type="dxa"/>
            <w:tcBorders>
              <w:top w:val="single" w:sz="2" w:space="0" w:color="000000"/>
              <w:left w:val="nil" w:sz="6" w:space="0" w:color="auto"/>
              <w:bottom w:val="single" w:sz="2" w:space="0" w:color="000000"/>
              <w:right w:val="single" w:sz="2" w:space="0" w:color="000000"/>
            </w:tcBorders>
          </w:tcPr>
          <w:p>
            <w:pPr>
              <w:pStyle w:val="TableParagraph"/>
              <w:spacing w:line="405" w:lineRule="auto" w:before="149"/>
              <w:ind w:left="124" w:right="105"/>
              <w:jc w:val="left"/>
              <w:rPr>
                <w:rFonts w:ascii="宋体" w:hAnsi="宋体" w:cs="宋体" w:eastAsia="宋体" w:hint="default"/>
                <w:sz w:val="18"/>
                <w:szCs w:val="18"/>
              </w:rPr>
            </w:pPr>
            <w:r>
              <w:rPr>
                <w:rFonts w:ascii="宋体" w:hAnsi="宋体" w:cs="宋体" w:eastAsia="宋体" w:hint="default"/>
                <w:spacing w:val="10"/>
                <w:sz w:val="18"/>
                <w:szCs w:val="18"/>
              </w:rPr>
              <w:t>存在公开报价的联营企业权</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益投资的公允价值</w:t>
            </w:r>
          </w:p>
        </w:tc>
        <w:tc>
          <w:tcPr>
            <w:tcW w:w="1718" w:type="dxa"/>
            <w:tcBorders>
              <w:top w:val="single" w:sz="2" w:space="0" w:color="000000"/>
              <w:left w:val="single" w:sz="2" w:space="0" w:color="000000"/>
              <w:bottom w:val="single" w:sz="2" w:space="0" w:color="000000"/>
              <w:right w:val="single" w:sz="2" w:space="0" w:color="000000"/>
            </w:tcBorders>
          </w:tcPr>
          <w:p>
            <w:pPr/>
          </w:p>
        </w:tc>
        <w:tc>
          <w:tcPr>
            <w:tcW w:w="1496" w:type="dxa"/>
            <w:tcBorders>
              <w:top w:val="single" w:sz="2" w:space="0" w:color="000000"/>
              <w:left w:val="single" w:sz="2" w:space="0" w:color="000000"/>
              <w:bottom w:val="single" w:sz="2" w:space="0" w:color="000000"/>
              <w:right w:val="single" w:sz="2" w:space="0" w:color="000000"/>
            </w:tcBorders>
          </w:tcPr>
          <w:p>
            <w:pPr/>
          </w:p>
        </w:tc>
        <w:tc>
          <w:tcPr>
            <w:tcW w:w="1609" w:type="dxa"/>
            <w:tcBorders>
              <w:top w:val="single" w:sz="2" w:space="0" w:color="000000"/>
              <w:left w:val="single" w:sz="2" w:space="0" w:color="000000"/>
              <w:bottom w:val="single" w:sz="2" w:space="0" w:color="000000"/>
              <w:right w:val="single" w:sz="2" w:space="0" w:color="000000"/>
            </w:tcBorders>
          </w:tcPr>
          <w:p>
            <w:pPr/>
          </w:p>
        </w:tc>
        <w:tc>
          <w:tcPr>
            <w:tcW w:w="1534"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2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4"/>
              <w:jc w:val="right"/>
              <w:rPr>
                <w:rFonts w:ascii="Arial" w:hAnsi="Arial" w:cs="Arial" w:eastAsia="Arial" w:hint="default"/>
                <w:sz w:val="18"/>
                <w:szCs w:val="18"/>
              </w:rPr>
            </w:pPr>
            <w:r>
              <w:rPr>
                <w:rFonts w:ascii="Arial"/>
                <w:spacing w:val="-1"/>
                <w:sz w:val="18"/>
              </w:rPr>
              <w:t>401,748,958.54</w:t>
            </w:r>
          </w:p>
        </w:tc>
        <w:tc>
          <w:tcPr>
            <w:tcW w:w="14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91,532,364.32</w:t>
            </w:r>
          </w:p>
        </w:tc>
        <w:tc>
          <w:tcPr>
            <w:tcW w:w="1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207,906,251.60</w:t>
            </w:r>
          </w:p>
        </w:tc>
        <w:tc>
          <w:tcPr>
            <w:tcW w:w="15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10"/>
              <w:jc w:val="right"/>
              <w:rPr>
                <w:rFonts w:ascii="Arial" w:hAnsi="Arial" w:cs="Arial" w:eastAsia="Arial" w:hint="default"/>
                <w:sz w:val="18"/>
                <w:szCs w:val="18"/>
              </w:rPr>
            </w:pPr>
            <w:r>
              <w:rPr>
                <w:rFonts w:ascii="Arial"/>
                <w:spacing w:val="-1"/>
                <w:sz w:val="18"/>
              </w:rPr>
              <w:t>84,602,578.26</w:t>
            </w:r>
          </w:p>
        </w:tc>
      </w:tr>
      <w:tr>
        <w:trPr>
          <w:trHeight w:val="485" w:hRule="exact"/>
        </w:trPr>
        <w:tc>
          <w:tcPr>
            <w:tcW w:w="2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-4,773,312.82</w:t>
            </w:r>
          </w:p>
        </w:tc>
        <w:tc>
          <w:tcPr>
            <w:tcW w:w="14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210,591.01</w:t>
            </w:r>
          </w:p>
        </w:tc>
        <w:tc>
          <w:tcPr>
            <w:tcW w:w="1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-10,792,547.62</w:t>
            </w:r>
          </w:p>
        </w:tc>
        <w:tc>
          <w:tcPr>
            <w:tcW w:w="15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9"/>
              <w:jc w:val="right"/>
              <w:rPr>
                <w:rFonts w:ascii="Arial" w:hAnsi="Arial" w:cs="Arial" w:eastAsia="Arial" w:hint="default"/>
                <w:sz w:val="18"/>
                <w:szCs w:val="18"/>
              </w:rPr>
            </w:pPr>
            <w:r>
              <w:rPr>
                <w:rFonts w:ascii="Arial"/>
                <w:spacing w:val="-1"/>
                <w:sz w:val="18"/>
              </w:rPr>
              <w:t>243,745.21</w:t>
            </w:r>
          </w:p>
        </w:tc>
      </w:tr>
      <w:tr>
        <w:trPr>
          <w:trHeight w:val="485" w:hRule="exact"/>
        </w:trPr>
        <w:tc>
          <w:tcPr>
            <w:tcW w:w="2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1718" w:type="dxa"/>
            <w:tcBorders>
              <w:top w:val="single" w:sz="2" w:space="0" w:color="000000"/>
              <w:left w:val="single" w:sz="2" w:space="0" w:color="000000"/>
              <w:bottom w:val="single" w:sz="2" w:space="0" w:color="000000"/>
              <w:right w:val="single" w:sz="2" w:space="0" w:color="000000"/>
            </w:tcBorders>
          </w:tcPr>
          <w:p>
            <w:pPr/>
          </w:p>
        </w:tc>
        <w:tc>
          <w:tcPr>
            <w:tcW w:w="1496" w:type="dxa"/>
            <w:tcBorders>
              <w:top w:val="single" w:sz="2" w:space="0" w:color="000000"/>
              <w:left w:val="single" w:sz="2" w:space="0" w:color="000000"/>
              <w:bottom w:val="single" w:sz="2" w:space="0" w:color="000000"/>
              <w:right w:val="single" w:sz="2" w:space="0" w:color="000000"/>
            </w:tcBorders>
          </w:tcPr>
          <w:p>
            <w:pPr/>
          </w:p>
        </w:tc>
        <w:tc>
          <w:tcPr>
            <w:tcW w:w="1609" w:type="dxa"/>
            <w:tcBorders>
              <w:top w:val="single" w:sz="2" w:space="0" w:color="000000"/>
              <w:left w:val="single" w:sz="2" w:space="0" w:color="000000"/>
              <w:bottom w:val="single" w:sz="2" w:space="0" w:color="000000"/>
              <w:right w:val="single" w:sz="2" w:space="0" w:color="000000"/>
            </w:tcBorders>
          </w:tcPr>
          <w:p>
            <w:pPr/>
          </w:p>
        </w:tc>
        <w:tc>
          <w:tcPr>
            <w:tcW w:w="1534"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2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718" w:type="dxa"/>
            <w:tcBorders>
              <w:top w:val="single" w:sz="2" w:space="0" w:color="000000"/>
              <w:left w:val="single" w:sz="2" w:space="0" w:color="000000"/>
              <w:bottom w:val="single" w:sz="2" w:space="0" w:color="000000"/>
              <w:right w:val="single" w:sz="2" w:space="0" w:color="000000"/>
            </w:tcBorders>
          </w:tcPr>
          <w:p>
            <w:pPr/>
          </w:p>
        </w:tc>
        <w:tc>
          <w:tcPr>
            <w:tcW w:w="1496" w:type="dxa"/>
            <w:tcBorders>
              <w:top w:val="single" w:sz="2" w:space="0" w:color="000000"/>
              <w:left w:val="single" w:sz="2" w:space="0" w:color="000000"/>
              <w:bottom w:val="single" w:sz="2" w:space="0" w:color="000000"/>
              <w:right w:val="single" w:sz="2" w:space="0" w:color="000000"/>
            </w:tcBorders>
          </w:tcPr>
          <w:p>
            <w:pPr/>
          </w:p>
        </w:tc>
        <w:tc>
          <w:tcPr>
            <w:tcW w:w="1609" w:type="dxa"/>
            <w:tcBorders>
              <w:top w:val="single" w:sz="2" w:space="0" w:color="000000"/>
              <w:left w:val="single" w:sz="2" w:space="0" w:color="000000"/>
              <w:bottom w:val="single" w:sz="2" w:space="0" w:color="000000"/>
              <w:right w:val="single" w:sz="2" w:space="0" w:color="000000"/>
            </w:tcBorders>
          </w:tcPr>
          <w:p>
            <w:pPr/>
          </w:p>
        </w:tc>
        <w:tc>
          <w:tcPr>
            <w:tcW w:w="1534"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2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7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-4,773,312.82</w:t>
            </w:r>
          </w:p>
        </w:tc>
        <w:tc>
          <w:tcPr>
            <w:tcW w:w="14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210,591.01</w:t>
            </w:r>
          </w:p>
        </w:tc>
        <w:tc>
          <w:tcPr>
            <w:tcW w:w="1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-10,792,547.62</w:t>
            </w:r>
          </w:p>
        </w:tc>
        <w:tc>
          <w:tcPr>
            <w:tcW w:w="15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9"/>
              <w:jc w:val="right"/>
              <w:rPr>
                <w:rFonts w:ascii="Arial" w:hAnsi="Arial" w:cs="Arial" w:eastAsia="Arial" w:hint="default"/>
                <w:sz w:val="18"/>
                <w:szCs w:val="18"/>
              </w:rPr>
            </w:pPr>
            <w:r>
              <w:rPr>
                <w:rFonts w:ascii="Arial"/>
                <w:spacing w:val="-1"/>
                <w:sz w:val="18"/>
              </w:rPr>
              <w:t>243,745.21</w:t>
            </w:r>
          </w:p>
        </w:tc>
      </w:tr>
      <w:tr>
        <w:trPr>
          <w:trHeight w:val="898" w:hRule="exact"/>
        </w:trPr>
        <w:tc>
          <w:tcPr>
            <w:tcW w:w="2533" w:type="dxa"/>
            <w:tcBorders>
              <w:top w:val="single" w:sz="2" w:space="0" w:color="000000"/>
              <w:left w:val="nil" w:sz="6" w:space="0" w:color="auto"/>
              <w:bottom w:val="single" w:sz="12" w:space="0" w:color="000000"/>
              <w:right w:val="single" w:sz="2" w:space="0" w:color="000000"/>
            </w:tcBorders>
          </w:tcPr>
          <w:p>
            <w:pPr>
              <w:pStyle w:val="TableParagraph"/>
              <w:spacing w:line="400" w:lineRule="exact" w:before="40"/>
              <w:ind w:left="124" w:right="105"/>
              <w:jc w:val="left"/>
              <w:rPr>
                <w:rFonts w:ascii="宋体" w:hAnsi="宋体" w:cs="宋体" w:eastAsia="宋体" w:hint="default"/>
                <w:sz w:val="18"/>
                <w:szCs w:val="18"/>
              </w:rPr>
            </w:pPr>
            <w:r>
              <w:rPr>
                <w:rFonts w:ascii="宋体" w:hAnsi="宋体" w:cs="宋体" w:eastAsia="宋体" w:hint="default"/>
                <w:spacing w:val="10"/>
                <w:sz w:val="18"/>
                <w:szCs w:val="18"/>
              </w:rPr>
              <w:t>本年度收到的来自联营企业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的股利</w:t>
            </w:r>
          </w:p>
        </w:tc>
        <w:tc>
          <w:tcPr>
            <w:tcW w:w="1718" w:type="dxa"/>
            <w:tcBorders>
              <w:top w:val="single" w:sz="2" w:space="0" w:color="000000"/>
              <w:left w:val="single" w:sz="2" w:space="0" w:color="000000"/>
              <w:bottom w:val="single" w:sz="12" w:space="0" w:color="000000"/>
              <w:right w:val="single" w:sz="2" w:space="0" w:color="000000"/>
            </w:tcBorders>
          </w:tcPr>
          <w:p>
            <w:pPr/>
          </w:p>
        </w:tc>
        <w:tc>
          <w:tcPr>
            <w:tcW w:w="1496" w:type="dxa"/>
            <w:tcBorders>
              <w:top w:val="single" w:sz="2" w:space="0" w:color="000000"/>
              <w:left w:val="single" w:sz="2" w:space="0" w:color="000000"/>
              <w:bottom w:val="single" w:sz="12" w:space="0" w:color="000000"/>
              <w:right w:val="single" w:sz="2" w:space="0" w:color="000000"/>
            </w:tcBorders>
          </w:tcPr>
          <w:p>
            <w:pPr/>
          </w:p>
        </w:tc>
        <w:tc>
          <w:tcPr>
            <w:tcW w:w="1609" w:type="dxa"/>
            <w:tcBorders>
              <w:top w:val="single" w:sz="2" w:space="0" w:color="000000"/>
              <w:left w:val="single" w:sz="2" w:space="0" w:color="000000"/>
              <w:bottom w:val="single" w:sz="12" w:space="0" w:color="000000"/>
              <w:right w:val="single" w:sz="2" w:space="0" w:color="000000"/>
            </w:tcBorders>
          </w:tcPr>
          <w:p>
            <w:pPr/>
          </w:p>
        </w:tc>
        <w:tc>
          <w:tcPr>
            <w:tcW w:w="1534" w:type="dxa"/>
            <w:tcBorders>
              <w:top w:val="single" w:sz="2" w:space="0" w:color="000000"/>
              <w:left w:val="single" w:sz="2" w:space="0" w:color="000000"/>
              <w:bottom w:val="single" w:sz="12" w:space="0" w:color="000000"/>
              <w:right w:val="nil" w:sz="6" w:space="0" w:color="auto"/>
            </w:tcBorders>
          </w:tcPr>
          <w:p>
            <w:pPr/>
          </w:p>
        </w:tc>
      </w:tr>
    </w:tbl>
    <w:p>
      <w:pPr>
        <w:spacing w:line="240" w:lineRule="auto" w:before="5"/>
        <w:rPr>
          <w:rFonts w:ascii="宋体" w:hAnsi="宋体" w:cs="宋体" w:eastAsia="宋体" w:hint="default"/>
          <w:sz w:val="5"/>
          <w:szCs w:val="5"/>
        </w:rPr>
      </w:pPr>
    </w:p>
    <w:p>
      <w:pPr>
        <w:pStyle w:val="BodyText"/>
        <w:spacing w:line="240" w:lineRule="auto" w:before="32"/>
        <w:ind w:left="592" w:right="1133"/>
        <w:jc w:val="left"/>
      </w:pPr>
      <w:r>
        <w:rPr/>
        <w:t>（续）</w:t>
      </w:r>
    </w:p>
    <w:p>
      <w:pPr>
        <w:spacing w:line="240" w:lineRule="auto" w:before="11"/>
        <w:rPr>
          <w:rFonts w:ascii="宋体" w:hAnsi="宋体" w:cs="宋体" w:eastAsia="宋体" w:hint="default"/>
          <w:sz w:val="6"/>
          <w:szCs w:val="6"/>
        </w:rPr>
      </w:pPr>
    </w:p>
    <w:tbl>
      <w:tblPr>
        <w:tblW w:w="0" w:type="auto"/>
        <w:jc w:val="left"/>
        <w:tblInd w:w="580" w:type="dxa"/>
        <w:tblLayout w:type="fixed"/>
        <w:tblCellMar>
          <w:top w:w="0" w:type="dxa"/>
          <w:left w:w="0" w:type="dxa"/>
          <w:bottom w:w="0" w:type="dxa"/>
          <w:right w:w="0" w:type="dxa"/>
        </w:tblCellMar>
        <w:tblLook w:val="01E0"/>
      </w:tblPr>
      <w:tblGrid>
        <w:gridCol w:w="2535"/>
        <w:gridCol w:w="3212"/>
        <w:gridCol w:w="2993"/>
      </w:tblGrid>
      <w:tr>
        <w:trPr>
          <w:trHeight w:val="499" w:hRule="exact"/>
        </w:trPr>
        <w:tc>
          <w:tcPr>
            <w:tcW w:w="2535"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left="679" w:right="0"/>
              <w:jc w:val="left"/>
              <w:rPr>
                <w:rFonts w:ascii="宋体" w:hAnsi="宋体" w:cs="宋体" w:eastAsia="宋体" w:hint="default"/>
                <w:sz w:val="18"/>
                <w:szCs w:val="18"/>
              </w:rPr>
            </w:pPr>
            <w:r>
              <w:rPr>
                <w:rFonts w:ascii="宋体" w:hAnsi="宋体" w:cs="宋体" w:eastAsia="宋体" w:hint="default"/>
                <w:sz w:val="18"/>
                <w:szCs w:val="18"/>
              </w:rPr>
              <w:t>年末余额 </w:t>
            </w:r>
            <w:r>
              <w:rPr>
                <w:rFonts w:ascii="Arial" w:hAnsi="Arial" w:cs="Arial" w:eastAsia="Arial" w:hint="default"/>
                <w:sz w:val="18"/>
                <w:szCs w:val="18"/>
              </w:rPr>
              <w:t>/</w:t>
            </w:r>
            <w:r>
              <w:rPr>
                <w:rFonts w:ascii="Arial" w:hAnsi="Arial" w:cs="Arial" w:eastAsia="Arial" w:hint="default"/>
                <w:spacing w:val="42"/>
                <w:sz w:val="18"/>
                <w:szCs w:val="18"/>
              </w:rPr>
              <w:t> </w:t>
            </w:r>
            <w:r>
              <w:rPr>
                <w:rFonts w:ascii="宋体" w:hAnsi="宋体" w:cs="宋体" w:eastAsia="宋体" w:hint="default"/>
                <w:sz w:val="18"/>
                <w:szCs w:val="18"/>
              </w:rPr>
              <w:t>本年发生额</w:t>
            </w:r>
          </w:p>
        </w:tc>
        <w:tc>
          <w:tcPr>
            <w:tcW w:w="299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left="4" w:right="0"/>
              <w:jc w:val="center"/>
              <w:rPr>
                <w:rFonts w:ascii="宋体" w:hAnsi="宋体" w:cs="宋体" w:eastAsia="宋体" w:hint="default"/>
                <w:sz w:val="18"/>
                <w:szCs w:val="18"/>
              </w:rPr>
            </w:pPr>
            <w:r>
              <w:rPr>
                <w:rFonts w:ascii="宋体" w:hAnsi="宋体" w:cs="宋体" w:eastAsia="宋体" w:hint="default"/>
                <w:sz w:val="18"/>
                <w:szCs w:val="18"/>
              </w:rPr>
              <w:t>年初余额 </w:t>
            </w:r>
            <w:r>
              <w:rPr>
                <w:rFonts w:ascii="Arial" w:hAnsi="Arial" w:cs="Arial" w:eastAsia="Arial" w:hint="default"/>
                <w:sz w:val="18"/>
                <w:szCs w:val="18"/>
              </w:rPr>
              <w:t>/</w:t>
            </w:r>
            <w:r>
              <w:rPr>
                <w:rFonts w:ascii="Arial" w:hAnsi="Arial" w:cs="Arial" w:eastAsia="Arial" w:hint="default"/>
                <w:spacing w:val="43"/>
                <w:sz w:val="18"/>
                <w:szCs w:val="18"/>
              </w:rPr>
              <w:t> </w:t>
            </w:r>
            <w:r>
              <w:rPr>
                <w:rFonts w:ascii="宋体" w:hAnsi="宋体" w:cs="宋体" w:eastAsia="宋体" w:hint="default"/>
                <w:sz w:val="18"/>
                <w:szCs w:val="18"/>
              </w:rPr>
              <w:t>上年发生额</w:t>
            </w:r>
          </w:p>
        </w:tc>
      </w:tr>
      <w:tr>
        <w:trPr>
          <w:trHeight w:val="401" w:hRule="exact"/>
        </w:trPr>
        <w:tc>
          <w:tcPr>
            <w:tcW w:w="2535" w:type="dxa"/>
            <w:vMerge/>
            <w:tcBorders>
              <w:left w:val="nil" w:sz="6" w:space="0" w:color="auto"/>
              <w:bottom w:val="single" w:sz="2" w:space="0" w:color="000000"/>
              <w:right w:val="single" w:sz="2" w:space="0" w:color="000000"/>
            </w:tcBorders>
          </w:tcPr>
          <w:p>
            <w:pPr/>
          </w:p>
        </w:tc>
        <w:tc>
          <w:tcPr>
            <w:tcW w:w="3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宁夏交投科技发展有限公司</w:t>
            </w:r>
          </w:p>
        </w:tc>
        <w:tc>
          <w:tcPr>
            <w:tcW w:w="29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宁夏交投科技发展有限公司</w:t>
            </w:r>
          </w:p>
        </w:tc>
      </w:tr>
      <w:tr>
        <w:trPr>
          <w:trHeight w:val="485" w:hRule="exact"/>
        </w:trPr>
        <w:tc>
          <w:tcPr>
            <w:tcW w:w="2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44,844,643.64</w:t>
            </w:r>
          </w:p>
        </w:tc>
        <w:tc>
          <w:tcPr>
            <w:tcW w:w="2993" w:type="dxa"/>
            <w:tcBorders>
              <w:top w:val="single" w:sz="2" w:space="0" w:color="000000"/>
              <w:left w:val="single" w:sz="2" w:space="0" w:color="000000"/>
              <w:bottom w:val="single" w:sz="2" w:space="0" w:color="000000"/>
              <w:right w:val="nil" w:sz="6" w:space="0" w:color="auto"/>
            </w:tcBorders>
          </w:tcPr>
          <w:p>
            <w:pPr/>
          </w:p>
        </w:tc>
      </w:tr>
      <w:tr>
        <w:trPr>
          <w:trHeight w:val="488" w:hRule="exact"/>
        </w:trPr>
        <w:tc>
          <w:tcPr>
            <w:tcW w:w="2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2"/>
              <w:ind w:left="124" w:right="0"/>
              <w:jc w:val="left"/>
              <w:rPr>
                <w:rFonts w:ascii="宋体" w:hAnsi="宋体" w:cs="宋体" w:eastAsia="宋体" w:hint="default"/>
                <w:sz w:val="18"/>
                <w:szCs w:val="18"/>
              </w:rPr>
            </w:pPr>
            <w:r>
              <w:rPr>
                <w:rFonts w:ascii="宋体" w:hAnsi="宋体" w:cs="宋体" w:eastAsia="宋体" w:hint="default"/>
                <w:sz w:val="18"/>
                <w:szCs w:val="18"/>
              </w:rPr>
              <w:t>其中：现金和现金等价物</w:t>
            </w:r>
          </w:p>
        </w:tc>
        <w:tc>
          <w:tcPr>
            <w:tcW w:w="3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19,393,444.26</w:t>
            </w:r>
          </w:p>
        </w:tc>
        <w:tc>
          <w:tcPr>
            <w:tcW w:w="2993" w:type="dxa"/>
            <w:tcBorders>
              <w:top w:val="single" w:sz="2" w:space="0" w:color="000000"/>
              <w:left w:val="single" w:sz="2" w:space="0" w:color="000000"/>
              <w:bottom w:val="single" w:sz="2" w:space="0" w:color="000000"/>
              <w:right w:val="nil" w:sz="6" w:space="0" w:color="auto"/>
            </w:tcBorders>
          </w:tcPr>
          <w:p>
            <w:pPr/>
          </w:p>
        </w:tc>
      </w:tr>
      <w:tr>
        <w:trPr>
          <w:trHeight w:val="497" w:hRule="exact"/>
        </w:trPr>
        <w:tc>
          <w:tcPr>
            <w:tcW w:w="253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1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384,708.82</w:t>
            </w:r>
          </w:p>
        </w:tc>
        <w:tc>
          <w:tcPr>
            <w:tcW w:w="2993"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580" w:type="dxa"/>
        <w:tblLayout w:type="fixed"/>
        <w:tblCellMar>
          <w:top w:w="0" w:type="dxa"/>
          <w:left w:w="0" w:type="dxa"/>
          <w:bottom w:w="0" w:type="dxa"/>
          <w:right w:w="0" w:type="dxa"/>
        </w:tblCellMar>
        <w:tblLook w:val="01E0"/>
      </w:tblPr>
      <w:tblGrid>
        <w:gridCol w:w="2535"/>
        <w:gridCol w:w="3212"/>
        <w:gridCol w:w="2993"/>
      </w:tblGrid>
      <w:tr>
        <w:trPr>
          <w:trHeight w:val="500" w:hRule="exact"/>
        </w:trPr>
        <w:tc>
          <w:tcPr>
            <w:tcW w:w="2535" w:type="dxa"/>
            <w:vMerge w:val="restart"/>
            <w:tcBorders>
              <w:top w:val="single" w:sz="12" w:space="0" w:color="000000"/>
              <w:left w:val="nil" w:sz="6" w:space="0" w:color="auto"/>
              <w:right w:val="single" w:sz="2"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left="679" w:right="0"/>
              <w:jc w:val="left"/>
              <w:rPr>
                <w:rFonts w:ascii="宋体" w:hAnsi="宋体" w:cs="宋体" w:eastAsia="宋体" w:hint="default"/>
                <w:sz w:val="18"/>
                <w:szCs w:val="18"/>
              </w:rPr>
            </w:pPr>
            <w:r>
              <w:rPr>
                <w:rFonts w:ascii="宋体" w:hAnsi="宋体" w:cs="宋体" w:eastAsia="宋体" w:hint="default"/>
                <w:sz w:val="18"/>
                <w:szCs w:val="18"/>
              </w:rPr>
              <w:t>年末余额 </w:t>
            </w:r>
            <w:r>
              <w:rPr>
                <w:rFonts w:ascii="Arial" w:hAnsi="Arial" w:cs="Arial" w:eastAsia="Arial" w:hint="default"/>
                <w:sz w:val="18"/>
                <w:szCs w:val="18"/>
              </w:rPr>
              <w:t>/</w:t>
            </w:r>
            <w:r>
              <w:rPr>
                <w:rFonts w:ascii="Arial" w:hAnsi="Arial" w:cs="Arial" w:eastAsia="Arial" w:hint="default"/>
                <w:spacing w:val="42"/>
                <w:sz w:val="18"/>
                <w:szCs w:val="18"/>
              </w:rPr>
              <w:t> </w:t>
            </w:r>
            <w:r>
              <w:rPr>
                <w:rFonts w:ascii="宋体" w:hAnsi="宋体" w:cs="宋体" w:eastAsia="宋体" w:hint="default"/>
                <w:sz w:val="18"/>
                <w:szCs w:val="18"/>
              </w:rPr>
              <w:t>本年发生额</w:t>
            </w:r>
          </w:p>
        </w:tc>
        <w:tc>
          <w:tcPr>
            <w:tcW w:w="299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left="4" w:right="0"/>
              <w:jc w:val="center"/>
              <w:rPr>
                <w:rFonts w:ascii="宋体" w:hAnsi="宋体" w:cs="宋体" w:eastAsia="宋体" w:hint="default"/>
                <w:sz w:val="18"/>
                <w:szCs w:val="18"/>
              </w:rPr>
            </w:pPr>
            <w:r>
              <w:rPr>
                <w:rFonts w:ascii="宋体" w:hAnsi="宋体" w:cs="宋体" w:eastAsia="宋体" w:hint="default"/>
                <w:sz w:val="18"/>
                <w:szCs w:val="18"/>
              </w:rPr>
              <w:t>年初余额 </w:t>
            </w:r>
            <w:r>
              <w:rPr>
                <w:rFonts w:ascii="Arial" w:hAnsi="Arial" w:cs="Arial" w:eastAsia="Arial" w:hint="default"/>
                <w:sz w:val="18"/>
                <w:szCs w:val="18"/>
              </w:rPr>
              <w:t>/</w:t>
            </w:r>
            <w:r>
              <w:rPr>
                <w:rFonts w:ascii="Arial" w:hAnsi="Arial" w:cs="Arial" w:eastAsia="Arial" w:hint="default"/>
                <w:spacing w:val="43"/>
                <w:sz w:val="18"/>
                <w:szCs w:val="18"/>
              </w:rPr>
              <w:t> </w:t>
            </w:r>
            <w:r>
              <w:rPr>
                <w:rFonts w:ascii="宋体" w:hAnsi="宋体" w:cs="宋体" w:eastAsia="宋体" w:hint="default"/>
                <w:sz w:val="18"/>
                <w:szCs w:val="18"/>
              </w:rPr>
              <w:t>上年发生额</w:t>
            </w:r>
          </w:p>
        </w:tc>
      </w:tr>
      <w:tr>
        <w:trPr>
          <w:trHeight w:val="401" w:hRule="exact"/>
        </w:trPr>
        <w:tc>
          <w:tcPr>
            <w:tcW w:w="2535" w:type="dxa"/>
            <w:vMerge/>
            <w:tcBorders>
              <w:left w:val="nil" w:sz="6" w:space="0" w:color="auto"/>
              <w:bottom w:val="single" w:sz="2" w:space="0" w:color="000000"/>
              <w:right w:val="single" w:sz="2" w:space="0" w:color="000000"/>
            </w:tcBorders>
          </w:tcPr>
          <w:p>
            <w:pPr/>
          </w:p>
        </w:tc>
        <w:tc>
          <w:tcPr>
            <w:tcW w:w="3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宁夏交投科技发展有限公司</w:t>
            </w:r>
          </w:p>
        </w:tc>
        <w:tc>
          <w:tcPr>
            <w:tcW w:w="29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宁夏交投科技发展有限公司</w:t>
            </w:r>
          </w:p>
        </w:tc>
      </w:tr>
      <w:tr>
        <w:trPr>
          <w:trHeight w:val="485" w:hRule="exact"/>
        </w:trPr>
        <w:tc>
          <w:tcPr>
            <w:tcW w:w="2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45,229,352.46</w:t>
            </w:r>
          </w:p>
        </w:tc>
        <w:tc>
          <w:tcPr>
            <w:tcW w:w="2993"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2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19,596,923.34</w:t>
            </w:r>
          </w:p>
        </w:tc>
        <w:tc>
          <w:tcPr>
            <w:tcW w:w="2993"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2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212" w:type="dxa"/>
            <w:tcBorders>
              <w:top w:val="single" w:sz="2" w:space="0" w:color="000000"/>
              <w:left w:val="single" w:sz="2" w:space="0" w:color="000000"/>
              <w:bottom w:val="single" w:sz="2" w:space="0" w:color="000000"/>
              <w:right w:val="single" w:sz="2" w:space="0" w:color="000000"/>
            </w:tcBorders>
          </w:tcPr>
          <w:p>
            <w:pPr/>
          </w:p>
        </w:tc>
        <w:tc>
          <w:tcPr>
            <w:tcW w:w="2993"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2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19,596,923.34</w:t>
            </w:r>
          </w:p>
        </w:tc>
        <w:tc>
          <w:tcPr>
            <w:tcW w:w="2993"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2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212" w:type="dxa"/>
            <w:tcBorders>
              <w:top w:val="single" w:sz="2" w:space="0" w:color="000000"/>
              <w:left w:val="single" w:sz="2" w:space="0" w:color="000000"/>
              <w:bottom w:val="single" w:sz="2" w:space="0" w:color="000000"/>
              <w:right w:val="single" w:sz="2" w:space="0" w:color="000000"/>
            </w:tcBorders>
          </w:tcPr>
          <w:p>
            <w:pPr/>
          </w:p>
        </w:tc>
        <w:tc>
          <w:tcPr>
            <w:tcW w:w="2993" w:type="dxa"/>
            <w:tcBorders>
              <w:top w:val="single" w:sz="2" w:space="0" w:color="000000"/>
              <w:left w:val="single" w:sz="2" w:space="0" w:color="000000"/>
              <w:bottom w:val="single" w:sz="2" w:space="0" w:color="000000"/>
              <w:right w:val="nil" w:sz="6" w:space="0" w:color="auto"/>
            </w:tcBorders>
          </w:tcPr>
          <w:p>
            <w:pPr/>
          </w:p>
        </w:tc>
      </w:tr>
      <w:tr>
        <w:trPr>
          <w:trHeight w:val="488" w:hRule="exact"/>
        </w:trPr>
        <w:tc>
          <w:tcPr>
            <w:tcW w:w="2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2"/>
              <w:ind w:left="124"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25,632,429.12</w:t>
            </w:r>
          </w:p>
        </w:tc>
        <w:tc>
          <w:tcPr>
            <w:tcW w:w="2993" w:type="dxa"/>
            <w:tcBorders>
              <w:top w:val="single" w:sz="2" w:space="0" w:color="000000"/>
              <w:left w:val="single" w:sz="2" w:space="0" w:color="000000"/>
              <w:bottom w:val="single" w:sz="2" w:space="0" w:color="000000"/>
              <w:right w:val="nil" w:sz="6" w:space="0" w:color="auto"/>
            </w:tcBorders>
          </w:tcPr>
          <w:p>
            <w:pPr/>
          </w:p>
        </w:tc>
      </w:tr>
      <w:tr>
        <w:trPr>
          <w:trHeight w:val="883" w:hRule="exact"/>
        </w:trPr>
        <w:tc>
          <w:tcPr>
            <w:tcW w:w="2535" w:type="dxa"/>
            <w:tcBorders>
              <w:top w:val="single" w:sz="2" w:space="0" w:color="000000"/>
              <w:left w:val="nil" w:sz="6" w:space="0" w:color="auto"/>
              <w:bottom w:val="single" w:sz="2" w:space="0" w:color="000000"/>
              <w:right w:val="single" w:sz="2" w:space="0" w:color="000000"/>
            </w:tcBorders>
          </w:tcPr>
          <w:p>
            <w:pPr>
              <w:pStyle w:val="TableParagraph"/>
              <w:spacing w:line="405" w:lineRule="auto" w:before="149"/>
              <w:ind w:left="124" w:right="108"/>
              <w:jc w:val="left"/>
              <w:rPr>
                <w:rFonts w:ascii="宋体" w:hAnsi="宋体" w:cs="宋体" w:eastAsia="宋体" w:hint="default"/>
                <w:sz w:val="18"/>
                <w:szCs w:val="18"/>
              </w:rPr>
            </w:pPr>
            <w:r>
              <w:rPr>
                <w:rFonts w:ascii="宋体" w:hAnsi="宋体" w:cs="宋体" w:eastAsia="宋体" w:hint="default"/>
                <w:spacing w:val="10"/>
                <w:sz w:val="18"/>
                <w:szCs w:val="18"/>
              </w:rPr>
              <w:t>按持股比例计算的净资产份</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额</w:t>
            </w:r>
          </w:p>
        </w:tc>
        <w:tc>
          <w:tcPr>
            <w:tcW w:w="3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01"/>
              <w:jc w:val="right"/>
              <w:rPr>
                <w:rFonts w:ascii="Arial" w:hAnsi="Arial" w:cs="Arial" w:eastAsia="Arial" w:hint="default"/>
                <w:sz w:val="18"/>
                <w:szCs w:val="18"/>
              </w:rPr>
            </w:pPr>
            <w:r>
              <w:rPr>
                <w:rFonts w:ascii="Arial"/>
                <w:spacing w:val="-1"/>
                <w:sz w:val="18"/>
              </w:rPr>
              <w:t>12,559,890.27</w:t>
            </w:r>
          </w:p>
        </w:tc>
        <w:tc>
          <w:tcPr>
            <w:tcW w:w="2993"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2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3212" w:type="dxa"/>
            <w:tcBorders>
              <w:top w:val="single" w:sz="2" w:space="0" w:color="000000"/>
              <w:left w:val="single" w:sz="2" w:space="0" w:color="000000"/>
              <w:bottom w:val="single" w:sz="2" w:space="0" w:color="000000"/>
              <w:right w:val="single" w:sz="2" w:space="0" w:color="000000"/>
            </w:tcBorders>
          </w:tcPr>
          <w:p>
            <w:pPr/>
          </w:p>
        </w:tc>
        <w:tc>
          <w:tcPr>
            <w:tcW w:w="2993"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2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商誉</w:t>
            </w:r>
          </w:p>
        </w:tc>
        <w:tc>
          <w:tcPr>
            <w:tcW w:w="3212" w:type="dxa"/>
            <w:tcBorders>
              <w:top w:val="single" w:sz="2" w:space="0" w:color="000000"/>
              <w:left w:val="single" w:sz="2" w:space="0" w:color="000000"/>
              <w:bottom w:val="single" w:sz="2" w:space="0" w:color="000000"/>
              <w:right w:val="single" w:sz="2" w:space="0" w:color="000000"/>
            </w:tcBorders>
          </w:tcPr>
          <w:p>
            <w:pPr/>
          </w:p>
        </w:tc>
        <w:tc>
          <w:tcPr>
            <w:tcW w:w="2993" w:type="dxa"/>
            <w:tcBorders>
              <w:top w:val="single" w:sz="2" w:space="0" w:color="000000"/>
              <w:left w:val="single" w:sz="2" w:space="0" w:color="000000"/>
              <w:bottom w:val="single" w:sz="2" w:space="0" w:color="000000"/>
              <w:right w:val="nil" w:sz="6" w:space="0" w:color="auto"/>
            </w:tcBorders>
          </w:tcPr>
          <w:p>
            <w:pPr/>
          </w:p>
        </w:tc>
      </w:tr>
      <w:tr>
        <w:trPr>
          <w:trHeight w:val="487" w:hRule="exact"/>
        </w:trPr>
        <w:tc>
          <w:tcPr>
            <w:tcW w:w="2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2"/>
              <w:ind w:left="124"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内部交易未实现利润</w:t>
            </w:r>
          </w:p>
        </w:tc>
        <w:tc>
          <w:tcPr>
            <w:tcW w:w="3212" w:type="dxa"/>
            <w:tcBorders>
              <w:top w:val="single" w:sz="2" w:space="0" w:color="000000"/>
              <w:left w:val="single" w:sz="2" w:space="0" w:color="000000"/>
              <w:bottom w:val="single" w:sz="2" w:space="0" w:color="000000"/>
              <w:right w:val="single" w:sz="2" w:space="0" w:color="000000"/>
            </w:tcBorders>
          </w:tcPr>
          <w:p>
            <w:pPr/>
          </w:p>
        </w:tc>
        <w:tc>
          <w:tcPr>
            <w:tcW w:w="2993"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2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其他</w:t>
            </w:r>
          </w:p>
        </w:tc>
        <w:tc>
          <w:tcPr>
            <w:tcW w:w="3212" w:type="dxa"/>
            <w:tcBorders>
              <w:top w:val="single" w:sz="2" w:space="0" w:color="000000"/>
              <w:left w:val="single" w:sz="2" w:space="0" w:color="000000"/>
              <w:bottom w:val="single" w:sz="2" w:space="0" w:color="000000"/>
              <w:right w:val="single" w:sz="2" w:space="0" w:color="000000"/>
            </w:tcBorders>
          </w:tcPr>
          <w:p>
            <w:pPr/>
          </w:p>
        </w:tc>
        <w:tc>
          <w:tcPr>
            <w:tcW w:w="2993" w:type="dxa"/>
            <w:tcBorders>
              <w:top w:val="single" w:sz="2" w:space="0" w:color="000000"/>
              <w:left w:val="single" w:sz="2" w:space="0" w:color="000000"/>
              <w:bottom w:val="single" w:sz="2" w:space="0" w:color="000000"/>
              <w:right w:val="nil" w:sz="6" w:space="0" w:color="auto"/>
            </w:tcBorders>
          </w:tcPr>
          <w:p>
            <w:pPr/>
          </w:p>
        </w:tc>
      </w:tr>
      <w:tr>
        <w:trPr>
          <w:trHeight w:val="883" w:hRule="exact"/>
        </w:trPr>
        <w:tc>
          <w:tcPr>
            <w:tcW w:w="2535" w:type="dxa"/>
            <w:tcBorders>
              <w:top w:val="single" w:sz="2" w:space="0" w:color="000000"/>
              <w:left w:val="nil" w:sz="6" w:space="0" w:color="auto"/>
              <w:bottom w:val="single" w:sz="2" w:space="0" w:color="000000"/>
              <w:right w:val="single" w:sz="2" w:space="0" w:color="000000"/>
            </w:tcBorders>
          </w:tcPr>
          <w:p>
            <w:pPr>
              <w:pStyle w:val="TableParagraph"/>
              <w:spacing w:line="405" w:lineRule="auto" w:before="149"/>
              <w:ind w:left="124" w:right="108"/>
              <w:jc w:val="left"/>
              <w:rPr>
                <w:rFonts w:ascii="宋体" w:hAnsi="宋体" w:cs="宋体" w:eastAsia="宋体" w:hint="default"/>
                <w:sz w:val="18"/>
                <w:szCs w:val="18"/>
              </w:rPr>
            </w:pPr>
            <w:r>
              <w:rPr>
                <w:rFonts w:ascii="宋体" w:hAnsi="宋体" w:cs="宋体" w:eastAsia="宋体" w:hint="default"/>
                <w:spacing w:val="10"/>
                <w:sz w:val="18"/>
                <w:szCs w:val="18"/>
              </w:rPr>
              <w:t>对联营企业权益投资的账面</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价值</w:t>
            </w:r>
          </w:p>
        </w:tc>
        <w:tc>
          <w:tcPr>
            <w:tcW w:w="3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01"/>
              <w:jc w:val="right"/>
              <w:rPr>
                <w:rFonts w:ascii="Arial" w:hAnsi="Arial" w:cs="Arial" w:eastAsia="Arial" w:hint="default"/>
                <w:sz w:val="18"/>
                <w:szCs w:val="18"/>
              </w:rPr>
            </w:pPr>
            <w:r>
              <w:rPr>
                <w:rFonts w:ascii="Arial"/>
                <w:spacing w:val="-1"/>
                <w:sz w:val="18"/>
              </w:rPr>
              <w:t>12,552,849.56</w:t>
            </w:r>
          </w:p>
        </w:tc>
        <w:tc>
          <w:tcPr>
            <w:tcW w:w="2993" w:type="dxa"/>
            <w:tcBorders>
              <w:top w:val="single" w:sz="2" w:space="0" w:color="000000"/>
              <w:left w:val="single" w:sz="2" w:space="0" w:color="000000"/>
              <w:bottom w:val="single" w:sz="2" w:space="0" w:color="000000"/>
              <w:right w:val="nil" w:sz="6" w:space="0" w:color="auto"/>
            </w:tcBorders>
          </w:tcPr>
          <w:p>
            <w:pPr/>
          </w:p>
        </w:tc>
      </w:tr>
      <w:tr>
        <w:trPr>
          <w:trHeight w:val="886" w:hRule="exact"/>
        </w:trPr>
        <w:tc>
          <w:tcPr>
            <w:tcW w:w="2535" w:type="dxa"/>
            <w:tcBorders>
              <w:top w:val="single" w:sz="2" w:space="0" w:color="000000"/>
              <w:left w:val="nil" w:sz="6" w:space="0" w:color="auto"/>
              <w:bottom w:val="single" w:sz="2" w:space="0" w:color="000000"/>
              <w:right w:val="single" w:sz="2" w:space="0" w:color="000000"/>
            </w:tcBorders>
          </w:tcPr>
          <w:p>
            <w:pPr>
              <w:pStyle w:val="TableParagraph"/>
              <w:spacing w:line="400" w:lineRule="exact" w:before="40"/>
              <w:ind w:left="124" w:right="108"/>
              <w:jc w:val="left"/>
              <w:rPr>
                <w:rFonts w:ascii="宋体" w:hAnsi="宋体" w:cs="宋体" w:eastAsia="宋体" w:hint="default"/>
                <w:sz w:val="18"/>
                <w:szCs w:val="18"/>
              </w:rPr>
            </w:pPr>
            <w:r>
              <w:rPr>
                <w:rFonts w:ascii="宋体" w:hAnsi="宋体" w:cs="宋体" w:eastAsia="宋体" w:hint="default"/>
                <w:spacing w:val="10"/>
                <w:sz w:val="18"/>
                <w:szCs w:val="18"/>
              </w:rPr>
              <w:t>存在公开报价的联营企业权</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益投资的公允价值</w:t>
            </w:r>
          </w:p>
        </w:tc>
        <w:tc>
          <w:tcPr>
            <w:tcW w:w="3212" w:type="dxa"/>
            <w:tcBorders>
              <w:top w:val="single" w:sz="2" w:space="0" w:color="000000"/>
              <w:left w:val="single" w:sz="2" w:space="0" w:color="000000"/>
              <w:bottom w:val="single" w:sz="2" w:space="0" w:color="000000"/>
              <w:right w:val="single" w:sz="2" w:space="0" w:color="000000"/>
            </w:tcBorders>
          </w:tcPr>
          <w:p>
            <w:pPr/>
          </w:p>
        </w:tc>
        <w:tc>
          <w:tcPr>
            <w:tcW w:w="2993"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2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Arial" w:hAnsi="Arial" w:cs="Arial" w:eastAsia="Arial" w:hint="default"/>
                <w:sz w:val="18"/>
                <w:szCs w:val="18"/>
              </w:rPr>
            </w:pPr>
            <w:r>
              <w:rPr>
                <w:rFonts w:ascii="Arial"/>
                <w:spacing w:val="-1"/>
                <w:sz w:val="18"/>
              </w:rPr>
              <w:t>102,822,929.21</w:t>
            </w:r>
          </w:p>
        </w:tc>
        <w:tc>
          <w:tcPr>
            <w:tcW w:w="2993"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2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5,632,429.12</w:t>
            </w:r>
          </w:p>
        </w:tc>
        <w:tc>
          <w:tcPr>
            <w:tcW w:w="2993"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2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3212" w:type="dxa"/>
            <w:tcBorders>
              <w:top w:val="single" w:sz="2" w:space="0" w:color="000000"/>
              <w:left w:val="single" w:sz="2" w:space="0" w:color="000000"/>
              <w:bottom w:val="single" w:sz="2" w:space="0" w:color="000000"/>
              <w:right w:val="single" w:sz="2" w:space="0" w:color="000000"/>
            </w:tcBorders>
          </w:tcPr>
          <w:p>
            <w:pPr/>
          </w:p>
        </w:tc>
        <w:tc>
          <w:tcPr>
            <w:tcW w:w="2993"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2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0"/>
              <w:ind w:left="12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212" w:type="dxa"/>
            <w:tcBorders>
              <w:top w:val="single" w:sz="2" w:space="0" w:color="000000"/>
              <w:left w:val="single" w:sz="2" w:space="0" w:color="000000"/>
              <w:bottom w:val="single" w:sz="2" w:space="0" w:color="000000"/>
              <w:right w:val="single" w:sz="2" w:space="0" w:color="000000"/>
            </w:tcBorders>
          </w:tcPr>
          <w:p>
            <w:pPr/>
          </w:p>
        </w:tc>
        <w:tc>
          <w:tcPr>
            <w:tcW w:w="2993" w:type="dxa"/>
            <w:tcBorders>
              <w:top w:val="single" w:sz="2" w:space="0" w:color="000000"/>
              <w:left w:val="single" w:sz="2" w:space="0" w:color="000000"/>
              <w:bottom w:val="single" w:sz="2" w:space="0" w:color="000000"/>
              <w:right w:val="nil" w:sz="6" w:space="0" w:color="auto"/>
            </w:tcBorders>
          </w:tcPr>
          <w:p>
            <w:pPr/>
          </w:p>
        </w:tc>
      </w:tr>
      <w:tr>
        <w:trPr>
          <w:trHeight w:val="487" w:hRule="exact"/>
        </w:trPr>
        <w:tc>
          <w:tcPr>
            <w:tcW w:w="2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2"/>
              <w:ind w:left="124"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5,632,429.12</w:t>
            </w:r>
          </w:p>
        </w:tc>
        <w:tc>
          <w:tcPr>
            <w:tcW w:w="2993" w:type="dxa"/>
            <w:tcBorders>
              <w:top w:val="single" w:sz="2" w:space="0" w:color="000000"/>
              <w:left w:val="single" w:sz="2" w:space="0" w:color="000000"/>
              <w:bottom w:val="single" w:sz="2" w:space="0" w:color="000000"/>
              <w:right w:val="nil" w:sz="6" w:space="0" w:color="auto"/>
            </w:tcBorders>
          </w:tcPr>
          <w:p>
            <w:pPr/>
          </w:p>
        </w:tc>
      </w:tr>
      <w:tr>
        <w:trPr>
          <w:trHeight w:val="898" w:hRule="exact"/>
        </w:trPr>
        <w:tc>
          <w:tcPr>
            <w:tcW w:w="2535" w:type="dxa"/>
            <w:tcBorders>
              <w:top w:val="single" w:sz="2" w:space="0" w:color="000000"/>
              <w:left w:val="nil" w:sz="6" w:space="0" w:color="auto"/>
              <w:bottom w:val="single" w:sz="12" w:space="0" w:color="000000"/>
              <w:right w:val="single" w:sz="2" w:space="0" w:color="000000"/>
            </w:tcBorders>
          </w:tcPr>
          <w:p>
            <w:pPr>
              <w:pStyle w:val="TableParagraph"/>
              <w:spacing w:line="405" w:lineRule="auto" w:before="149"/>
              <w:ind w:left="124" w:right="108"/>
              <w:jc w:val="left"/>
              <w:rPr>
                <w:rFonts w:ascii="宋体" w:hAnsi="宋体" w:cs="宋体" w:eastAsia="宋体" w:hint="default"/>
                <w:sz w:val="18"/>
                <w:szCs w:val="18"/>
              </w:rPr>
            </w:pPr>
            <w:r>
              <w:rPr>
                <w:rFonts w:ascii="宋体" w:hAnsi="宋体" w:cs="宋体" w:eastAsia="宋体" w:hint="default"/>
                <w:spacing w:val="10"/>
                <w:sz w:val="18"/>
                <w:szCs w:val="18"/>
              </w:rPr>
              <w:t>本年度收到的来自联营企业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的股利</w:t>
            </w:r>
          </w:p>
        </w:tc>
        <w:tc>
          <w:tcPr>
            <w:tcW w:w="3212" w:type="dxa"/>
            <w:tcBorders>
              <w:top w:val="single" w:sz="2" w:space="0" w:color="000000"/>
              <w:left w:val="single" w:sz="2" w:space="0" w:color="000000"/>
              <w:bottom w:val="single" w:sz="12" w:space="0" w:color="000000"/>
              <w:right w:val="single" w:sz="2" w:space="0" w:color="000000"/>
            </w:tcBorders>
          </w:tcPr>
          <w:p>
            <w:pPr/>
          </w:p>
        </w:tc>
        <w:tc>
          <w:tcPr>
            <w:tcW w:w="2993" w:type="dxa"/>
            <w:tcBorders>
              <w:top w:val="single" w:sz="2" w:space="0" w:color="000000"/>
              <w:left w:val="single" w:sz="2" w:space="0" w:color="000000"/>
              <w:bottom w:val="single" w:sz="12" w:space="0" w:color="000000"/>
              <w:right w:val="nil" w:sz="6" w:space="0" w:color="auto"/>
            </w:tcBorders>
          </w:tcPr>
          <w:p>
            <w:pPr/>
          </w:p>
        </w:tc>
      </w:tr>
    </w:tbl>
    <w:p>
      <w:pPr>
        <w:spacing w:line="240" w:lineRule="auto" w:before="5"/>
        <w:rPr>
          <w:rFonts w:ascii="宋体" w:hAnsi="宋体" w:cs="宋体" w:eastAsia="宋体" w:hint="default"/>
          <w:sz w:val="5"/>
          <w:szCs w:val="5"/>
        </w:rPr>
      </w:pPr>
    </w:p>
    <w:p>
      <w:pPr>
        <w:pStyle w:val="BodyText"/>
        <w:spacing w:line="240" w:lineRule="auto" w:before="32"/>
        <w:ind w:left="592" w:right="1133"/>
        <w:jc w:val="left"/>
      </w:pPr>
      <w:r>
        <w:rPr/>
        <w:t>（</w:t>
      </w:r>
      <w:r>
        <w:rPr>
          <w:rFonts w:ascii="Arial" w:hAnsi="Arial" w:cs="Arial" w:eastAsia="Arial" w:hint="default"/>
        </w:rPr>
        <w:t>4</w:t>
      </w:r>
      <w:r>
        <w:rPr/>
        <w:t>）合营企业或联营企业发生的超额亏损</w:t>
      </w:r>
    </w:p>
    <w:p>
      <w:pPr>
        <w:spacing w:line="240" w:lineRule="auto" w:before="8"/>
        <w:rPr>
          <w:rFonts w:ascii="宋体" w:hAnsi="宋体" w:cs="宋体" w:eastAsia="宋体" w:hint="default"/>
          <w:sz w:val="5"/>
          <w:szCs w:val="5"/>
        </w:rPr>
      </w:pPr>
    </w:p>
    <w:tbl>
      <w:tblPr>
        <w:tblW w:w="0" w:type="auto"/>
        <w:jc w:val="left"/>
        <w:tblInd w:w="580" w:type="dxa"/>
        <w:tblLayout w:type="fixed"/>
        <w:tblCellMar>
          <w:top w:w="0" w:type="dxa"/>
          <w:left w:w="0" w:type="dxa"/>
          <w:bottom w:w="0" w:type="dxa"/>
          <w:right w:w="0" w:type="dxa"/>
        </w:tblCellMar>
        <w:tblLook w:val="01E0"/>
      </w:tblPr>
      <w:tblGrid>
        <w:gridCol w:w="2782"/>
        <w:gridCol w:w="1596"/>
        <w:gridCol w:w="2549"/>
        <w:gridCol w:w="1812"/>
      </w:tblGrid>
      <w:tr>
        <w:trPr>
          <w:trHeight w:val="939" w:hRule="exact"/>
        </w:trPr>
        <w:tc>
          <w:tcPr>
            <w:tcW w:w="2782"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1" w:right="0"/>
              <w:jc w:val="center"/>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159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405" w:lineRule="auto"/>
              <w:ind w:left="345" w:right="163" w:hanging="180"/>
              <w:jc w:val="left"/>
              <w:rPr>
                <w:rFonts w:ascii="宋体" w:hAnsi="宋体" w:cs="宋体" w:eastAsia="宋体" w:hint="default"/>
                <w:sz w:val="18"/>
                <w:szCs w:val="18"/>
              </w:rPr>
            </w:pPr>
            <w:r>
              <w:rPr>
                <w:rFonts w:ascii="宋体" w:hAnsi="宋体" w:cs="宋体" w:eastAsia="宋体" w:hint="default"/>
                <w:sz w:val="18"/>
                <w:szCs w:val="18"/>
              </w:rPr>
              <w:t>累积未确认的以 前年度损失</w:t>
            </w:r>
          </w:p>
        </w:tc>
        <w:tc>
          <w:tcPr>
            <w:tcW w:w="254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本年未确认的损失</w:t>
            </w: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（或本年分享的净利润）</w:t>
            </w:r>
          </w:p>
        </w:tc>
        <w:tc>
          <w:tcPr>
            <w:tcW w:w="181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405" w:lineRule="auto"/>
              <w:ind w:left="636" w:right="182" w:hanging="452"/>
              <w:jc w:val="left"/>
              <w:rPr>
                <w:rFonts w:ascii="宋体" w:hAnsi="宋体" w:cs="宋体" w:eastAsia="宋体" w:hint="default"/>
                <w:sz w:val="18"/>
                <w:szCs w:val="18"/>
              </w:rPr>
            </w:pPr>
            <w:r>
              <w:rPr>
                <w:rFonts w:ascii="宋体" w:hAnsi="宋体" w:cs="宋体" w:eastAsia="宋体" w:hint="default"/>
                <w:sz w:val="18"/>
                <w:szCs w:val="18"/>
              </w:rPr>
              <w:t>本年末累积未确认 的损失</w:t>
            </w:r>
          </w:p>
        </w:tc>
      </w:tr>
      <w:tr>
        <w:trPr>
          <w:trHeight w:val="497" w:hRule="exact"/>
        </w:trPr>
        <w:tc>
          <w:tcPr>
            <w:tcW w:w="278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center"/>
              <w:rPr>
                <w:rFonts w:ascii="宋体" w:hAnsi="宋体" w:cs="宋体" w:eastAsia="宋体" w:hint="default"/>
                <w:sz w:val="18"/>
                <w:szCs w:val="18"/>
              </w:rPr>
            </w:pPr>
            <w:r>
              <w:rPr>
                <w:rFonts w:ascii="宋体" w:hAnsi="宋体" w:cs="宋体" w:eastAsia="宋体" w:hint="default"/>
                <w:sz w:val="18"/>
                <w:szCs w:val="18"/>
              </w:rPr>
              <w:t>深圳一海通全球供应链管理有限</w:t>
            </w:r>
          </w:p>
        </w:tc>
        <w:tc>
          <w:tcPr>
            <w:tcW w:w="15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25" w:right="0"/>
              <w:jc w:val="left"/>
              <w:rPr>
                <w:rFonts w:ascii="Arial" w:hAnsi="Arial" w:cs="Arial" w:eastAsia="Arial" w:hint="default"/>
                <w:sz w:val="18"/>
                <w:szCs w:val="18"/>
              </w:rPr>
            </w:pPr>
            <w:r>
              <w:rPr>
                <w:rFonts w:ascii="Arial"/>
                <w:sz w:val="18"/>
              </w:rPr>
              <w:t>-899,209.47</w:t>
            </w:r>
          </w:p>
        </w:tc>
        <w:tc>
          <w:tcPr>
            <w:tcW w:w="254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330" w:right="0"/>
              <w:jc w:val="left"/>
              <w:rPr>
                <w:rFonts w:ascii="Arial" w:hAnsi="Arial" w:cs="Arial" w:eastAsia="Arial" w:hint="default"/>
                <w:sz w:val="18"/>
                <w:szCs w:val="18"/>
              </w:rPr>
            </w:pPr>
            <w:r>
              <w:rPr>
                <w:rFonts w:ascii="Arial"/>
                <w:sz w:val="18"/>
              </w:rPr>
              <w:t>-1,193,328.20</w:t>
            </w:r>
          </w:p>
        </w:tc>
        <w:tc>
          <w:tcPr>
            <w:tcW w:w="181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93" w:right="0"/>
              <w:jc w:val="left"/>
              <w:rPr>
                <w:rFonts w:ascii="Arial" w:hAnsi="Arial" w:cs="Arial" w:eastAsia="Arial" w:hint="default"/>
                <w:sz w:val="18"/>
                <w:szCs w:val="18"/>
              </w:rPr>
            </w:pPr>
            <w:r>
              <w:rPr>
                <w:rFonts w:ascii="Arial"/>
                <w:sz w:val="18"/>
              </w:rPr>
              <w:t>-2,092,537.67</w:t>
            </w:r>
          </w:p>
        </w:tc>
      </w:tr>
    </w:tbl>
    <w:p>
      <w:pPr>
        <w:spacing w:after="0" w:line="240" w:lineRule="auto"/>
        <w:jc w:val="left"/>
        <w:rPr>
          <w:rFonts w:ascii="Arial" w:hAnsi="Arial" w:cs="Arial" w:eastAsia="Arial"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580" w:type="dxa"/>
        <w:tblLayout w:type="fixed"/>
        <w:tblCellMar>
          <w:top w:w="0" w:type="dxa"/>
          <w:left w:w="0" w:type="dxa"/>
          <w:bottom w:w="0" w:type="dxa"/>
          <w:right w:w="0" w:type="dxa"/>
        </w:tblCellMar>
        <w:tblLook w:val="01E0"/>
      </w:tblPr>
      <w:tblGrid>
        <w:gridCol w:w="2782"/>
        <w:gridCol w:w="1596"/>
        <w:gridCol w:w="2549"/>
        <w:gridCol w:w="1812"/>
      </w:tblGrid>
      <w:tr>
        <w:trPr>
          <w:trHeight w:val="939" w:hRule="exact"/>
        </w:trPr>
        <w:tc>
          <w:tcPr>
            <w:tcW w:w="2782"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410"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159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405" w:lineRule="auto"/>
              <w:ind w:left="345" w:right="163" w:hanging="180"/>
              <w:jc w:val="left"/>
              <w:rPr>
                <w:rFonts w:ascii="宋体" w:hAnsi="宋体" w:cs="宋体" w:eastAsia="宋体" w:hint="default"/>
                <w:sz w:val="18"/>
                <w:szCs w:val="18"/>
              </w:rPr>
            </w:pPr>
            <w:r>
              <w:rPr>
                <w:rFonts w:ascii="宋体" w:hAnsi="宋体" w:cs="宋体" w:eastAsia="宋体" w:hint="default"/>
                <w:sz w:val="18"/>
                <w:szCs w:val="18"/>
              </w:rPr>
              <w:t>累积未确认的以 前年度损失</w:t>
            </w:r>
          </w:p>
        </w:tc>
        <w:tc>
          <w:tcPr>
            <w:tcW w:w="254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本年未确认的损失</w:t>
            </w: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（或本年分享的净利润）</w:t>
            </w:r>
          </w:p>
        </w:tc>
        <w:tc>
          <w:tcPr>
            <w:tcW w:w="181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405" w:lineRule="auto"/>
              <w:ind w:left="636" w:right="182" w:hanging="452"/>
              <w:jc w:val="left"/>
              <w:rPr>
                <w:rFonts w:ascii="宋体" w:hAnsi="宋体" w:cs="宋体" w:eastAsia="宋体" w:hint="default"/>
                <w:sz w:val="18"/>
                <w:szCs w:val="18"/>
              </w:rPr>
            </w:pPr>
            <w:r>
              <w:rPr>
                <w:rFonts w:ascii="宋体" w:hAnsi="宋体" w:cs="宋体" w:eastAsia="宋体" w:hint="default"/>
                <w:sz w:val="18"/>
                <w:szCs w:val="18"/>
              </w:rPr>
              <w:t>本年末累积未确认 的损失</w:t>
            </w:r>
          </w:p>
        </w:tc>
      </w:tr>
      <w:tr>
        <w:trPr>
          <w:trHeight w:val="458" w:hRule="exact"/>
        </w:trPr>
        <w:tc>
          <w:tcPr>
            <w:tcW w:w="278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9"/>
              <w:ind w:left="1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96" w:type="dxa"/>
            <w:tcBorders>
              <w:top w:val="single" w:sz="2" w:space="0" w:color="000000"/>
              <w:left w:val="single" w:sz="2" w:space="0" w:color="000000"/>
              <w:bottom w:val="single" w:sz="12" w:space="0" w:color="000000"/>
              <w:right w:val="single" w:sz="2" w:space="0" w:color="000000"/>
            </w:tcBorders>
          </w:tcPr>
          <w:p>
            <w:pPr/>
          </w:p>
        </w:tc>
        <w:tc>
          <w:tcPr>
            <w:tcW w:w="2549" w:type="dxa"/>
            <w:tcBorders>
              <w:top w:val="single" w:sz="2" w:space="0" w:color="000000"/>
              <w:left w:val="single" w:sz="2" w:space="0" w:color="000000"/>
              <w:bottom w:val="single" w:sz="12" w:space="0" w:color="000000"/>
              <w:right w:val="single" w:sz="2" w:space="0" w:color="000000"/>
            </w:tcBorders>
          </w:tcPr>
          <w:p>
            <w:pPr/>
          </w:p>
        </w:tc>
        <w:tc>
          <w:tcPr>
            <w:tcW w:w="1812" w:type="dxa"/>
            <w:tcBorders>
              <w:top w:val="single" w:sz="2" w:space="0" w:color="000000"/>
              <w:left w:val="single" w:sz="2"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8"/>
        <w:ind w:right="0"/>
        <w:jc w:val="both"/>
        <w:rPr>
          <w:b w:val="0"/>
          <w:bCs w:val="0"/>
        </w:rPr>
      </w:pPr>
      <w:r>
        <w:rPr/>
        <w:t>十一、与金融工具相关风险</w:t>
      </w:r>
      <w:r>
        <w:rPr>
          <w:b w:val="0"/>
          <w:bCs w:val="0"/>
        </w:rPr>
      </w:r>
    </w:p>
    <w:p>
      <w:pPr>
        <w:spacing w:line="240" w:lineRule="auto" w:before="8"/>
        <w:rPr>
          <w:rFonts w:ascii="宋体" w:hAnsi="宋体" w:cs="宋体" w:eastAsia="宋体" w:hint="default"/>
          <w:b/>
          <w:bCs/>
          <w:sz w:val="30"/>
          <w:szCs w:val="30"/>
        </w:rPr>
      </w:pPr>
    </w:p>
    <w:p>
      <w:pPr>
        <w:pStyle w:val="BodyText"/>
        <w:spacing w:line="333" w:lineRule="auto"/>
        <w:ind w:right="0" w:firstLine="439"/>
        <w:jc w:val="left"/>
      </w:pPr>
      <w:r>
        <w:rPr/>
        <w:t>本公司的主要金融工具包括货币资金、应收款项、应付款项等，各项金融工具的详细情况说明见</w:t>
      </w:r>
      <w:r>
        <w:rPr>
          <w:w w:val="100"/>
        </w:rPr>
        <w:t> </w:t>
      </w:r>
      <w:r>
        <w:rPr>
          <w:spacing w:val="-5"/>
        </w:rPr>
        <w:t>本附注六。与这些金融工具有关的风险，以及本公司为降低这些风险所采取的风险管理政策如下所述。</w:t>
      </w:r>
      <w:r>
        <w:rPr>
          <w:spacing w:val="-45"/>
        </w:rPr>
        <w:t> </w:t>
      </w:r>
      <w:r>
        <w:rPr>
          <w:spacing w:val="-45"/>
        </w:rPr>
      </w:r>
      <w:r>
        <w:rPr/>
        <w:t>本公司管理层对这些风险敞口进行管理和监控以确保将上述风险控制在限定的范围之内。</w:t>
      </w:r>
    </w:p>
    <w:p>
      <w:pPr>
        <w:pStyle w:val="BodyText"/>
        <w:spacing w:line="333" w:lineRule="auto" w:before="65"/>
        <w:ind w:right="1090" w:firstLine="439"/>
        <w:jc w:val="both"/>
      </w:pPr>
      <w:r>
        <w:rPr>
          <w:spacing w:val="-2"/>
        </w:rPr>
        <w:t>本公司从事风险管理的目标是在风险和收益之间取得适当的平衡，将风险对本公司经营业绩的负</w:t>
      </w:r>
      <w:r>
        <w:rPr>
          <w:w w:val="100"/>
        </w:rPr>
        <w:t> </w:t>
      </w:r>
      <w:r>
        <w:rPr>
          <w:spacing w:val="-2"/>
        </w:rPr>
        <w:t>面影响降低到最低水平，使股东及其它权益投资者的利益最大化。基于该风险管理目标，本公司风险</w:t>
      </w:r>
      <w:r>
        <w:rPr>
          <w:spacing w:val="-67"/>
        </w:rPr>
        <w:t> </w:t>
      </w:r>
      <w:r>
        <w:rPr>
          <w:spacing w:val="-67"/>
        </w:rPr>
      </w:r>
      <w:r>
        <w:rPr>
          <w:spacing w:val="-1"/>
        </w:rPr>
        <w:t>管理的基本策略是确定和分析本公司所面临的各种风险，建立适当的风险承受底线并进行风险管理，</w:t>
      </w:r>
      <w:r>
        <w:rPr>
          <w:spacing w:val="-73"/>
        </w:rPr>
        <w:t> </w:t>
      </w:r>
      <w:r>
        <w:rPr>
          <w:spacing w:val="-73"/>
        </w:rPr>
      </w:r>
      <w:r>
        <w:rPr/>
        <w:t>并及时可靠地对各种风险进行监督，将风险控制在限定的范围之内。</w:t>
      </w:r>
    </w:p>
    <w:p>
      <w:pPr>
        <w:pStyle w:val="BodyText"/>
        <w:spacing w:line="240" w:lineRule="auto" w:before="68"/>
        <w:ind w:left="592" w:right="1133"/>
        <w:jc w:val="left"/>
      </w:pPr>
      <w:r>
        <w:rPr/>
        <w:t>（</w:t>
      </w:r>
      <w:r>
        <w:rPr>
          <w:rFonts w:ascii="Arial" w:hAnsi="Arial" w:cs="Arial" w:eastAsia="Arial" w:hint="default"/>
        </w:rPr>
        <w:t>1</w:t>
      </w:r>
      <w:r>
        <w:rPr/>
        <w:t>）市场风险</w:t>
      </w:r>
    </w:p>
    <w:p>
      <w:pPr>
        <w:pStyle w:val="BodyText"/>
        <w:spacing w:line="367" w:lineRule="auto" w:before="135"/>
        <w:ind w:left="592" w:right="1133"/>
        <w:jc w:val="left"/>
      </w:pPr>
      <w:r>
        <w:rPr/>
        <w:t>①汇率风险</w:t>
      </w:r>
      <w:r>
        <w:rPr>
          <w:w w:val="100"/>
        </w:rPr>
        <w:t> </w:t>
      </w:r>
      <w:r>
        <w:rPr>
          <w:spacing w:val="-2"/>
        </w:rPr>
        <w:t>本公司承受汇率风险主要与美元、港币和欧元有关，除本公司的几个下属子公司以美元进行采购</w:t>
      </w:r>
    </w:p>
    <w:p>
      <w:pPr>
        <w:pStyle w:val="BodyText"/>
        <w:spacing w:line="316" w:lineRule="auto"/>
        <w:ind w:right="1132"/>
        <w:jc w:val="both"/>
      </w:pPr>
      <w:r>
        <w:rPr/>
        <w:t>和销售外，本公司的其它主要业务活动以人民币计价结算。</w:t>
      </w:r>
      <w:r>
        <w:rPr>
          <w:rFonts w:ascii="Arial" w:hAnsi="Arial" w:cs="Arial" w:eastAsia="Arial" w:hint="default"/>
        </w:rPr>
        <w:t>2019</w:t>
      </w:r>
      <w:r>
        <w:rPr/>
        <w:t>年</w:t>
      </w:r>
      <w:r>
        <w:rPr>
          <w:rFonts w:ascii="Arial" w:hAnsi="Arial" w:cs="Arial" w:eastAsia="Arial" w:hint="default"/>
        </w:rPr>
        <w:t>12</w:t>
      </w:r>
      <w:r>
        <w:rPr/>
        <w:t>月</w:t>
      </w:r>
      <w:r>
        <w:rPr>
          <w:rFonts w:ascii="Arial" w:hAnsi="Arial" w:cs="Arial" w:eastAsia="Arial" w:hint="default"/>
        </w:rPr>
        <w:t>31</w:t>
      </w:r>
      <w:r>
        <w:rPr/>
        <w:t>日，本公司的资产及负债</w:t>
      </w:r>
      <w:r>
        <w:rPr>
          <w:spacing w:val="-40"/>
        </w:rPr>
        <w:t> </w:t>
      </w:r>
      <w:r>
        <w:rPr>
          <w:spacing w:val="-40"/>
        </w:rPr>
      </w:r>
      <w:r>
        <w:rPr/>
        <w:t>均为人民币余额。</w:t>
      </w:r>
    </w:p>
    <w:p>
      <w:pPr>
        <w:pStyle w:val="BodyText"/>
        <w:spacing w:line="333" w:lineRule="auto" w:before="81"/>
        <w:ind w:right="1131" w:firstLine="439"/>
        <w:jc w:val="both"/>
      </w:pPr>
      <w:r>
        <w:rPr>
          <w:spacing w:val="-2"/>
        </w:rPr>
        <w:t>本公司密切关注汇率变动对本公司的影响，重视对汇率风险管理政策和策略的研究，同时随着国</w:t>
      </w:r>
      <w:r>
        <w:rPr>
          <w:w w:val="100"/>
        </w:rPr>
        <w:t> </w:t>
      </w:r>
      <w:r>
        <w:rPr>
          <w:spacing w:val="-2"/>
        </w:rPr>
        <w:t>际市场占有份额的不断提升，若发生人民币升值等本公司不可控制的风险时，本公司将通过调整销售</w:t>
      </w:r>
      <w:r>
        <w:rPr>
          <w:spacing w:val="-70"/>
        </w:rPr>
        <w:t> </w:t>
      </w:r>
      <w:r>
        <w:rPr>
          <w:spacing w:val="-70"/>
        </w:rPr>
      </w:r>
      <w:r>
        <w:rPr/>
        <w:t>政策降低由此带来的风险。</w:t>
      </w:r>
    </w:p>
    <w:p>
      <w:pPr>
        <w:pStyle w:val="BodyText"/>
        <w:spacing w:line="367" w:lineRule="auto" w:before="68"/>
        <w:ind w:left="592" w:right="1133"/>
        <w:jc w:val="left"/>
      </w:pPr>
      <w:r>
        <w:rPr/>
        <w:t>②利率风险</w:t>
      </w:r>
      <w:r>
        <w:rPr>
          <w:w w:val="100"/>
        </w:rPr>
        <w:t> </w:t>
      </w:r>
      <w:r>
        <w:rPr>
          <w:spacing w:val="-2"/>
        </w:rPr>
        <w:t>本公司的利率风险产生于银行借款及应付债券等带息债务。浮动利率的金融负债使本公司面临现</w:t>
      </w:r>
    </w:p>
    <w:p>
      <w:pPr>
        <w:pStyle w:val="BodyText"/>
        <w:spacing w:line="324" w:lineRule="auto"/>
        <w:ind w:right="1131"/>
        <w:jc w:val="both"/>
      </w:pPr>
      <w:r>
        <w:rPr>
          <w:spacing w:val="-2"/>
        </w:rPr>
        <w:t>金流量利率风险，固定利率的金融负债使本公司面临公允价值利率风险。本公司根据当时的市场环境</w:t>
      </w:r>
      <w:r>
        <w:rPr>
          <w:spacing w:val="-70"/>
        </w:rPr>
        <w:t> </w:t>
      </w:r>
      <w:r>
        <w:rPr>
          <w:spacing w:val="-70"/>
        </w:rPr>
      </w:r>
      <w:r>
        <w:rPr>
          <w:spacing w:val="-1"/>
        </w:rPr>
        <w:t>来决定固定利率及浮动利率合同的相对比例。截至</w:t>
      </w:r>
      <w:r>
        <w:rPr>
          <w:rFonts w:ascii="Arial" w:hAnsi="Arial" w:cs="Arial" w:eastAsia="Arial" w:hint="default"/>
          <w:spacing w:val="-1"/>
        </w:rPr>
        <w:t>2019</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日，本公司无带息债务</w:t>
      </w:r>
      <w:r>
        <w:rPr>
          <w:rFonts w:ascii="Arial" w:hAnsi="Arial" w:cs="Arial" w:eastAsia="Arial" w:hint="default"/>
          <w:spacing w:val="-1"/>
        </w:rPr>
        <w:t>,</w:t>
      </w:r>
      <w:r>
        <w:rPr>
          <w:spacing w:val="-1"/>
        </w:rPr>
        <w:t>本公司认为</w:t>
      </w:r>
      <w:r>
        <w:rPr>
          <w:spacing w:val="-51"/>
        </w:rPr>
        <w:t> </w:t>
      </w:r>
      <w:r>
        <w:rPr>
          <w:spacing w:val="-51"/>
        </w:rPr>
      </w:r>
      <w:r>
        <w:rPr/>
        <w:t>面临利率风险敞口不重大，本公司目前并无利率对冲的政策。</w:t>
      </w:r>
    </w:p>
    <w:p>
      <w:pPr>
        <w:pStyle w:val="BodyText"/>
        <w:spacing w:line="367" w:lineRule="auto" w:before="74"/>
        <w:ind w:left="592" w:right="1133"/>
        <w:jc w:val="left"/>
      </w:pPr>
      <w:r>
        <w:rPr/>
        <w:t>③价格风险</w:t>
      </w:r>
      <w:r>
        <w:rPr>
          <w:rFonts w:ascii="宋体" w:hAnsi="宋体" w:cs="宋体" w:eastAsia="宋体" w:hint="default"/>
          <w:w w:val="100"/>
        </w:rPr>
        <w:t> </w:t>
      </w:r>
      <w:r>
        <w:rPr>
          <w:spacing w:val="-1"/>
        </w:rPr>
        <w:t>本公司以市场价格销售自动化产品和提供工程、技术服务，因此受到此等价格波动的影响。</w:t>
      </w:r>
    </w:p>
    <w:p>
      <w:pPr>
        <w:pStyle w:val="BodyText"/>
        <w:spacing w:line="348" w:lineRule="auto" w:before="34"/>
        <w:ind w:left="592" w:right="1133"/>
        <w:jc w:val="left"/>
      </w:pPr>
      <w:r>
        <w:rPr/>
        <w:t>（</w:t>
      </w:r>
      <w:r>
        <w:rPr>
          <w:rFonts w:ascii="Arial" w:hAnsi="Arial" w:cs="Arial" w:eastAsia="Arial" w:hint="default"/>
        </w:rPr>
        <w:t>2</w:t>
      </w:r>
      <w:r>
        <w:rPr/>
        <w:t>）信用风险</w:t>
      </w:r>
      <w:r>
        <w:rPr>
          <w:w w:val="100"/>
        </w:rPr>
        <w:t> </w:t>
      </w:r>
      <w:r>
        <w:rPr/>
        <w:t>于</w:t>
      </w:r>
      <w:r>
        <w:rPr>
          <w:rFonts w:ascii="Arial" w:hAnsi="Arial" w:cs="Arial" w:eastAsia="Arial" w:hint="default"/>
        </w:rPr>
        <w:t>2019</w:t>
      </w:r>
      <w:r>
        <w:rPr/>
        <w:t>年</w:t>
      </w:r>
      <w:r>
        <w:rPr>
          <w:rFonts w:ascii="Arial" w:hAnsi="Arial" w:cs="Arial" w:eastAsia="Arial" w:hint="default"/>
        </w:rPr>
        <w:t>12</w:t>
      </w:r>
      <w:r>
        <w:rPr/>
        <w:t>月</w:t>
      </w:r>
      <w:r>
        <w:rPr>
          <w:rFonts w:ascii="Arial" w:hAnsi="Arial" w:cs="Arial" w:eastAsia="Arial" w:hint="default"/>
        </w:rPr>
        <w:t>31</w:t>
      </w:r>
      <w:r>
        <w:rPr/>
        <w:t>日，可能引起本公司财务损失的最大信用风险敞口主要来自于合同另一方未能</w:t>
      </w:r>
    </w:p>
    <w:p>
      <w:pPr>
        <w:pStyle w:val="BodyText"/>
        <w:spacing w:line="367" w:lineRule="auto"/>
        <w:ind w:left="592" w:right="1133" w:hanging="440"/>
        <w:jc w:val="left"/>
      </w:pPr>
      <w:r>
        <w:rPr/>
        <w:t>履行义务而导致本公司金融资产产生的损失，具体包括：</w:t>
      </w:r>
      <w:r>
        <w:rPr>
          <w:w w:val="100"/>
        </w:rPr>
        <w:t> </w:t>
      </w:r>
      <w:r>
        <w:rPr>
          <w:spacing w:val="-2"/>
        </w:rPr>
        <w:t>合并资产负债表中已确认的金融资产的账面金额；对于以公允价值计量的金融工具而言，账面价</w:t>
      </w:r>
    </w:p>
    <w:p>
      <w:pPr>
        <w:spacing w:after="0" w:line="367"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367" w:lineRule="auto" w:before="173"/>
        <w:ind w:left="692" w:right="309" w:hanging="440"/>
        <w:jc w:val="left"/>
      </w:pPr>
      <w:r>
        <w:rPr/>
        <w:t>值反映了其风险敞口，但并非最大风险敞口，其最大风险敞口将随着未来公允价值的变化而改变。</w:t>
      </w:r>
      <w:r>
        <w:rPr>
          <w:w w:val="100"/>
        </w:rPr>
        <w:t> </w:t>
      </w:r>
      <w:r>
        <w:rPr>
          <w:spacing w:val="-2"/>
        </w:rPr>
        <w:t>为降低信用风险，本公司成立专门部门确定信用额度、进行信用审批，并执行其它监控程序以确</w:t>
      </w:r>
    </w:p>
    <w:p>
      <w:pPr>
        <w:pStyle w:val="BodyText"/>
        <w:spacing w:line="333" w:lineRule="auto"/>
        <w:ind w:left="252" w:right="309"/>
        <w:jc w:val="left"/>
      </w:pPr>
      <w:r>
        <w:rPr>
          <w:spacing w:val="-5"/>
        </w:rPr>
        <w:t>保采取必要的措施回收过期债权。此外，本公司于每个资产负债表日审核每一单项应收款的回收情况，</w:t>
      </w:r>
      <w:r>
        <w:rPr>
          <w:spacing w:val="-48"/>
        </w:rPr>
        <w:t> </w:t>
      </w:r>
      <w:r>
        <w:rPr>
          <w:spacing w:val="-48"/>
        </w:rPr>
      </w:r>
      <w:r>
        <w:rPr>
          <w:spacing w:val="-2"/>
        </w:rPr>
        <w:t>以确保就无法回收的款项计提充分的坏账准备。因此，本公司管理层认为本公司所承担的信用风险已</w:t>
      </w:r>
      <w:r>
        <w:rPr>
          <w:spacing w:val="-70"/>
        </w:rPr>
        <w:t> </w:t>
      </w:r>
      <w:r>
        <w:rPr>
          <w:spacing w:val="-70"/>
        </w:rPr>
      </w:r>
      <w:r>
        <w:rPr/>
        <w:t>经大为降低。</w:t>
      </w:r>
    </w:p>
    <w:p>
      <w:pPr>
        <w:pStyle w:val="BodyText"/>
        <w:spacing w:line="367" w:lineRule="auto" w:before="68"/>
        <w:ind w:left="692" w:right="309"/>
        <w:jc w:val="left"/>
      </w:pPr>
      <w:r>
        <w:rPr/>
        <w:t>本公司的流动资金存放在信用评级较高的金融机构，故流动资金的信用风险较低。</w:t>
      </w:r>
      <w:r>
        <w:rPr>
          <w:w w:val="100"/>
        </w:rPr>
        <w:t> </w:t>
      </w:r>
      <w:r>
        <w:rPr>
          <w:spacing w:val="-1"/>
        </w:rPr>
        <w:t>本公司采用了必要的政策确保所有销售客户均具有良好的信用记录。除应收账款金额前五名外，</w:t>
      </w:r>
    </w:p>
    <w:p>
      <w:pPr>
        <w:pStyle w:val="BodyText"/>
        <w:spacing w:line="284" w:lineRule="exact"/>
        <w:ind w:left="252" w:right="309"/>
        <w:jc w:val="left"/>
      </w:pPr>
      <w:r>
        <w:rPr/>
        <w:t>本公司无其他重大信用集中风险。</w:t>
      </w:r>
    </w:p>
    <w:p>
      <w:pPr>
        <w:pStyle w:val="BodyText"/>
        <w:spacing w:line="348" w:lineRule="auto" w:before="152"/>
        <w:ind w:left="692" w:right="309"/>
        <w:jc w:val="left"/>
      </w:pPr>
      <w:r>
        <w:rPr/>
        <w:t>（</w:t>
      </w:r>
      <w:r>
        <w:rPr>
          <w:rFonts w:ascii="Arial" w:hAnsi="Arial" w:cs="Arial" w:eastAsia="Arial" w:hint="default"/>
        </w:rPr>
        <w:t>3</w:t>
      </w:r>
      <w:r>
        <w:rPr/>
        <w:t>）流动风险</w:t>
      </w:r>
      <w:r>
        <w:rPr>
          <w:w w:val="100"/>
        </w:rPr>
        <w:t> </w:t>
      </w:r>
      <w:r>
        <w:rPr>
          <w:spacing w:val="-2"/>
        </w:rPr>
        <w:t>流动风险为本公司在到期日无法履行其财务义务的风险。本公司管理流动性风险的方法是确保有</w:t>
      </w:r>
    </w:p>
    <w:p>
      <w:pPr>
        <w:pStyle w:val="BodyText"/>
        <w:spacing w:line="333" w:lineRule="auto" w:before="14"/>
        <w:ind w:left="252" w:right="1131"/>
        <w:jc w:val="both"/>
      </w:pPr>
      <w:r>
        <w:rPr>
          <w:spacing w:val="-2"/>
        </w:rPr>
        <w:t>足够的资金流动性来履行到期债务，而不至于造成不可接受的损失或对企业信誉造成损害。本公司定</w:t>
      </w:r>
      <w:r>
        <w:rPr>
          <w:spacing w:val="-70"/>
        </w:rPr>
        <w:t> </w:t>
      </w:r>
      <w:r>
        <w:rPr>
          <w:spacing w:val="-70"/>
        </w:rPr>
      </w:r>
      <w:r>
        <w:rPr>
          <w:spacing w:val="-2"/>
        </w:rPr>
        <w:t>期分析负债结构和期限，以确保有充裕的资金。本公司管理层对银行借款的使用情况进行监控并确保</w:t>
      </w:r>
      <w:r>
        <w:rPr>
          <w:spacing w:val="-70"/>
        </w:rPr>
        <w:t> </w:t>
      </w:r>
      <w:r>
        <w:rPr>
          <w:spacing w:val="-70"/>
        </w:rPr>
      </w:r>
      <w:r>
        <w:rPr/>
        <w:t>遵守借款协议。同时与金融机构进行融资磋商，以保持一定的授信额度，减低流动性风险。</w:t>
      </w:r>
    </w:p>
    <w:p>
      <w:pPr>
        <w:pStyle w:val="BodyText"/>
        <w:spacing w:line="240" w:lineRule="auto" w:before="68"/>
        <w:ind w:left="692" w:right="309"/>
        <w:jc w:val="left"/>
      </w:pPr>
      <w:r>
        <w:rPr/>
        <w:t>本公司持有的金融资产和金融负债按未折现剩余合同义务的到期期限分析如下：</w:t>
      </w:r>
    </w:p>
    <w:p>
      <w:pPr>
        <w:pStyle w:val="BodyText"/>
        <w:spacing w:line="240" w:lineRule="auto" w:before="151"/>
        <w:ind w:left="692" w:right="309"/>
        <w:jc w:val="left"/>
      </w:pPr>
      <w:r>
        <w:rPr>
          <w:rFonts w:ascii="Arial" w:hAnsi="Arial" w:cs="Arial" w:eastAsia="Arial" w:hint="default"/>
        </w:rPr>
        <w:t>2019</w:t>
      </w:r>
      <w:r>
        <w:rPr/>
        <w:t>年</w:t>
      </w:r>
      <w:r>
        <w:rPr>
          <w:rFonts w:ascii="Arial" w:hAnsi="Arial" w:cs="Arial" w:eastAsia="Arial" w:hint="default"/>
        </w:rPr>
        <w:t>12</w:t>
      </w:r>
      <w:r>
        <w:rPr/>
        <w:t>月</w:t>
      </w:r>
      <w:r>
        <w:rPr>
          <w:rFonts w:ascii="Arial" w:hAnsi="Arial" w:cs="Arial" w:eastAsia="Arial" w:hint="default"/>
        </w:rPr>
        <w:t>31</w:t>
      </w:r>
      <w:r>
        <w:rPr/>
        <w:t>日金额：</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tbl>
      <w:tblPr>
        <w:tblW w:w="0" w:type="auto"/>
        <w:jc w:val="left"/>
        <w:tblInd w:w="115" w:type="dxa"/>
        <w:tblLayout w:type="fixed"/>
        <w:tblCellMar>
          <w:top w:w="0" w:type="dxa"/>
          <w:left w:w="0" w:type="dxa"/>
          <w:bottom w:w="0" w:type="dxa"/>
          <w:right w:w="0" w:type="dxa"/>
        </w:tblCellMar>
        <w:tblLook w:val="01E0"/>
      </w:tblPr>
      <w:tblGrid>
        <w:gridCol w:w="1541"/>
        <w:gridCol w:w="1702"/>
        <w:gridCol w:w="1133"/>
        <w:gridCol w:w="1136"/>
        <w:gridCol w:w="1620"/>
        <w:gridCol w:w="1608"/>
      </w:tblGrid>
      <w:tr>
        <w:trPr>
          <w:trHeight w:val="499" w:hRule="exact"/>
        </w:trPr>
        <w:tc>
          <w:tcPr>
            <w:tcW w:w="154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49"/>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9"/>
              <w:ind w:left="484"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13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9"/>
              <w:ind w:left="201" w:right="0"/>
              <w:jc w:val="left"/>
              <w:rPr>
                <w:rFonts w:ascii="宋体" w:hAnsi="宋体" w:cs="宋体" w:eastAsia="宋体" w:hint="default"/>
                <w:sz w:val="18"/>
                <w:szCs w:val="18"/>
              </w:rPr>
            </w:pPr>
            <w:r>
              <w:rPr>
                <w:rFonts w:ascii="宋体" w:hAnsi="宋体" w:cs="宋体" w:eastAsia="宋体" w:hint="default"/>
                <w:sz w:val="18"/>
                <w:szCs w:val="18"/>
              </w:rPr>
              <w:t>一到二年</w:t>
            </w:r>
          </w:p>
        </w:tc>
        <w:tc>
          <w:tcPr>
            <w:tcW w:w="11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9"/>
              <w:ind w:left="204" w:right="0"/>
              <w:jc w:val="left"/>
              <w:rPr>
                <w:rFonts w:ascii="宋体" w:hAnsi="宋体" w:cs="宋体" w:eastAsia="宋体" w:hint="default"/>
                <w:sz w:val="18"/>
                <w:szCs w:val="18"/>
              </w:rPr>
            </w:pPr>
            <w:r>
              <w:rPr>
                <w:rFonts w:ascii="宋体" w:hAnsi="宋体" w:cs="宋体" w:eastAsia="宋体" w:hint="default"/>
                <w:sz w:val="18"/>
                <w:szCs w:val="18"/>
              </w:rPr>
              <w:t>二到五年</w:t>
            </w:r>
          </w:p>
        </w:tc>
        <w:tc>
          <w:tcPr>
            <w:tcW w:w="16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9"/>
              <w:ind w:left="444" w:right="0"/>
              <w:jc w:val="left"/>
              <w:rPr>
                <w:rFonts w:ascii="宋体" w:hAnsi="宋体" w:cs="宋体" w:eastAsia="宋体" w:hint="default"/>
                <w:sz w:val="18"/>
                <w:szCs w:val="18"/>
              </w:rPr>
            </w:pPr>
            <w:r>
              <w:rPr>
                <w:rFonts w:ascii="宋体" w:hAnsi="宋体" w:cs="宋体" w:eastAsia="宋体" w:hint="default"/>
                <w:sz w:val="18"/>
                <w:szCs w:val="18"/>
              </w:rPr>
              <w:t>五年以上</w:t>
            </w:r>
          </w:p>
        </w:tc>
        <w:tc>
          <w:tcPr>
            <w:tcW w:w="160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49"/>
              <w:ind w:right="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90"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2"/>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6,530,103.30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6"/>
              <w:jc w:val="right"/>
              <w:rPr>
                <w:rFonts w:ascii="Arial" w:hAnsi="Arial" w:cs="Arial" w:eastAsia="Arial" w:hint="default"/>
                <w:sz w:val="18"/>
                <w:szCs w:val="18"/>
              </w:rPr>
            </w:pPr>
            <w:r>
              <w:rPr>
                <w:rFonts w:ascii="Arial"/>
                <w:spacing w:val="-1"/>
                <w:sz w:val="18"/>
              </w:rPr>
              <w:t>6,530,103.30</w:t>
            </w:r>
          </w:p>
        </w:tc>
      </w:tr>
      <w:tr>
        <w:trPr>
          <w:trHeight w:val="490"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122,874,355.14</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122,874,355.14</w:t>
            </w:r>
          </w:p>
        </w:tc>
      </w:tr>
      <w:tr>
        <w:trPr>
          <w:trHeight w:val="490"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2"/>
                <w:sz w:val="18"/>
              </w:rPr>
              <w:t>53,113,269.05</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6"/>
              <w:jc w:val="right"/>
              <w:rPr>
                <w:rFonts w:ascii="Arial" w:hAnsi="Arial" w:cs="Arial" w:eastAsia="Arial" w:hint="default"/>
                <w:sz w:val="18"/>
                <w:szCs w:val="18"/>
              </w:rPr>
            </w:pPr>
            <w:r>
              <w:rPr>
                <w:rFonts w:ascii="Arial"/>
                <w:spacing w:val="-2"/>
                <w:sz w:val="18"/>
              </w:rPr>
              <w:t>53,113,269.05</w:t>
            </w:r>
          </w:p>
        </w:tc>
      </w:tr>
      <w:tr>
        <w:trPr>
          <w:trHeight w:val="490"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55" w:right="0"/>
              <w:jc w:val="left"/>
              <w:rPr>
                <w:rFonts w:ascii="Arial" w:hAnsi="Arial" w:cs="Arial" w:eastAsia="Arial" w:hint="default"/>
                <w:sz w:val="18"/>
                <w:szCs w:val="18"/>
              </w:rPr>
            </w:pPr>
            <w:r>
              <w:rPr>
                <w:rFonts w:ascii="Arial"/>
                <w:sz w:val="18"/>
              </w:rPr>
              <w:t>20,258,900.16</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20,258,900.16</w:t>
            </w:r>
          </w:p>
        </w:tc>
      </w:tr>
      <w:tr>
        <w:trPr>
          <w:trHeight w:val="490"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0"/>
              <w:ind w:left="1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nil" w:sz="6" w:space="0" w:color="auto"/>
            </w:tcBorders>
          </w:tcPr>
          <w:p>
            <w:pPr/>
          </w:p>
        </w:tc>
      </w:tr>
      <w:tr>
        <w:trPr>
          <w:trHeight w:val="490"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261,674,086.00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261,674,086.00</w:t>
            </w:r>
          </w:p>
        </w:tc>
      </w:tr>
      <w:tr>
        <w:trPr>
          <w:trHeight w:val="492"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2"/>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280,620,369.97</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280,620,369.97</w:t>
            </w:r>
          </w:p>
        </w:tc>
      </w:tr>
      <w:tr>
        <w:trPr>
          <w:trHeight w:val="499" w:hRule="exact"/>
        </w:trPr>
        <w:tc>
          <w:tcPr>
            <w:tcW w:w="154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2"/>
                <w:sz w:val="18"/>
              </w:rPr>
              <w:t>11,063,528.77</w:t>
            </w:r>
          </w:p>
        </w:tc>
        <w:tc>
          <w:tcPr>
            <w:tcW w:w="1133" w:type="dxa"/>
            <w:tcBorders>
              <w:top w:val="single" w:sz="4" w:space="0" w:color="000000"/>
              <w:left w:val="single" w:sz="4" w:space="0" w:color="000000"/>
              <w:bottom w:val="single" w:sz="12" w:space="0" w:color="000000"/>
              <w:right w:val="single" w:sz="4" w:space="0" w:color="000000"/>
            </w:tcBorders>
          </w:tcPr>
          <w:p>
            <w:pPr/>
          </w:p>
        </w:tc>
        <w:tc>
          <w:tcPr>
            <w:tcW w:w="1136" w:type="dxa"/>
            <w:tcBorders>
              <w:top w:val="single" w:sz="4" w:space="0" w:color="000000"/>
              <w:left w:val="single" w:sz="4" w:space="0" w:color="000000"/>
              <w:bottom w:val="single" w:sz="12" w:space="0" w:color="000000"/>
              <w:right w:val="single" w:sz="4" w:space="0" w:color="000000"/>
            </w:tcBorders>
          </w:tcPr>
          <w:p>
            <w:pPr/>
          </w:p>
        </w:tc>
        <w:tc>
          <w:tcPr>
            <w:tcW w:w="1620" w:type="dxa"/>
            <w:tcBorders>
              <w:top w:val="single" w:sz="4" w:space="0" w:color="000000"/>
              <w:left w:val="single" w:sz="4" w:space="0" w:color="000000"/>
              <w:bottom w:val="single" w:sz="12" w:space="0" w:color="000000"/>
              <w:right w:val="single" w:sz="4" w:space="0" w:color="000000"/>
            </w:tcBorders>
          </w:tcPr>
          <w:p>
            <w:pPr/>
          </w:p>
        </w:tc>
        <w:tc>
          <w:tcPr>
            <w:tcW w:w="160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6"/>
              <w:jc w:val="right"/>
              <w:rPr>
                <w:rFonts w:ascii="Arial" w:hAnsi="Arial" w:cs="Arial" w:eastAsia="Arial" w:hint="default"/>
                <w:sz w:val="18"/>
                <w:szCs w:val="18"/>
              </w:rPr>
            </w:pPr>
            <w:r>
              <w:rPr>
                <w:rFonts w:ascii="Arial"/>
                <w:spacing w:val="-2"/>
                <w:sz w:val="18"/>
              </w:rPr>
              <w:t>11,063,528.77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8"/>
        <w:ind w:left="252" w:right="309"/>
        <w:jc w:val="left"/>
        <w:rPr>
          <w:b w:val="0"/>
          <w:bCs w:val="0"/>
        </w:rPr>
      </w:pPr>
      <w:r>
        <w:rPr/>
        <w:t>十二、公允价值的披露</w:t>
      </w:r>
      <w:r>
        <w:rPr>
          <w:b w:val="0"/>
          <w:bCs w:val="0"/>
        </w:rPr>
      </w:r>
    </w:p>
    <w:p>
      <w:pPr>
        <w:spacing w:line="240" w:lineRule="auto" w:before="8"/>
        <w:rPr>
          <w:rFonts w:ascii="宋体" w:hAnsi="宋体" w:cs="宋体" w:eastAsia="宋体" w:hint="default"/>
          <w:b/>
          <w:bCs/>
          <w:sz w:val="30"/>
          <w:szCs w:val="30"/>
        </w:rPr>
      </w:pPr>
    </w:p>
    <w:p>
      <w:pPr>
        <w:spacing w:line="348" w:lineRule="auto" w:before="0"/>
        <w:ind w:left="692" w:right="309" w:firstLine="55"/>
        <w:jc w:val="left"/>
        <w:rPr>
          <w:rFonts w:ascii="宋体" w:hAnsi="宋体" w:cs="宋体" w:eastAsia="宋体" w:hint="default"/>
          <w:sz w:val="22"/>
          <w:szCs w:val="22"/>
        </w:rPr>
      </w:pPr>
      <w:r>
        <w:rPr>
          <w:rFonts w:ascii="Arial" w:hAnsi="Arial" w:cs="Arial" w:eastAsia="Arial" w:hint="default"/>
          <w:b/>
          <w:bCs/>
          <w:sz w:val="22"/>
          <w:szCs w:val="22"/>
        </w:rPr>
        <w:t>1</w:t>
      </w:r>
      <w:r>
        <w:rPr>
          <w:rFonts w:ascii="宋体" w:hAnsi="宋体" w:cs="宋体" w:eastAsia="宋体" w:hint="default"/>
          <w:b/>
          <w:bCs/>
          <w:sz w:val="22"/>
          <w:szCs w:val="22"/>
        </w:rPr>
        <w:t>、年末以公允价值计量的资产和负债的金额和公允价值计量层次</w:t>
      </w:r>
      <w:r>
        <w:rPr>
          <w:rFonts w:ascii="宋体" w:hAnsi="宋体" w:cs="宋体" w:eastAsia="宋体" w:hint="default"/>
          <w:b/>
          <w:bCs/>
          <w:w w:val="99"/>
          <w:sz w:val="22"/>
          <w:szCs w:val="22"/>
        </w:rPr>
        <w:t> </w:t>
      </w:r>
      <w:r>
        <w:rPr>
          <w:rFonts w:ascii="宋体" w:hAnsi="宋体" w:cs="宋体" w:eastAsia="宋体" w:hint="default"/>
          <w:spacing w:val="-2"/>
          <w:sz w:val="22"/>
          <w:szCs w:val="22"/>
        </w:rPr>
        <w:t>公允价值，是指市场参与者在计量日发生的有序交易中，出售一项资产所能收到或转移一项债务</w:t>
      </w:r>
    </w:p>
    <w:p>
      <w:pPr>
        <w:spacing w:after="0" w:line="348" w:lineRule="auto"/>
        <w:jc w:val="left"/>
        <w:rPr>
          <w:rFonts w:ascii="宋体" w:hAnsi="宋体" w:cs="宋体" w:eastAsia="宋体" w:hint="default"/>
          <w:sz w:val="22"/>
          <w:szCs w:val="22"/>
        </w:rPr>
        <w:sectPr>
          <w:pgSz w:w="11910" w:h="16840"/>
          <w:pgMar w:header="745" w:footer="979" w:top="1060" w:bottom="1160" w:left="880" w:right="0"/>
        </w:sectPr>
      </w:pPr>
    </w:p>
    <w:p>
      <w:pPr>
        <w:spacing w:line="240" w:lineRule="auto" w:before="0"/>
        <w:rPr>
          <w:rFonts w:ascii="宋体" w:hAnsi="宋体" w:cs="宋体" w:eastAsia="宋体" w:hint="default"/>
          <w:sz w:val="20"/>
          <w:szCs w:val="20"/>
        </w:rPr>
      </w:pPr>
    </w:p>
    <w:p>
      <w:pPr>
        <w:pStyle w:val="BodyText"/>
        <w:spacing w:line="367" w:lineRule="auto" w:before="173"/>
        <w:ind w:left="692" w:right="6810" w:hanging="440"/>
        <w:jc w:val="left"/>
      </w:pPr>
      <w:r>
        <w:rPr/>
        <w:t>所需支付的价格。</w:t>
      </w:r>
      <w:r>
        <w:rPr>
          <w:w w:val="100"/>
        </w:rPr>
        <w:t> </w:t>
      </w:r>
      <w:r>
        <w:rPr>
          <w:spacing w:val="-1"/>
        </w:rPr>
        <w:t>以下方法和假设用于估计公允价值：</w:t>
      </w:r>
    </w:p>
    <w:p>
      <w:pPr>
        <w:pStyle w:val="BodyText"/>
        <w:spacing w:line="314" w:lineRule="auto" w:before="37"/>
        <w:ind w:left="252" w:right="309" w:firstLine="439"/>
        <w:jc w:val="left"/>
      </w:pPr>
      <w:r>
        <w:rPr/>
        <w:t>（</w:t>
      </w:r>
      <w:r>
        <w:rPr>
          <w:rFonts w:ascii="Arial" w:hAnsi="Arial" w:cs="Arial" w:eastAsia="Arial" w:hint="default"/>
        </w:rPr>
        <w:t>1</w:t>
      </w:r>
      <w:r>
        <w:rPr/>
        <w:t>）货币资金、应收票据、应收账款、应付票据、应付账款等，因剩余期限不长，公允价值与</w:t>
      </w:r>
      <w:r>
        <w:rPr>
          <w:w w:val="100"/>
        </w:rPr>
        <w:t> </w:t>
      </w:r>
      <w:r>
        <w:rPr/>
        <w:t>账面价值相等。</w:t>
      </w:r>
    </w:p>
    <w:p>
      <w:pPr>
        <w:pStyle w:val="BodyText"/>
        <w:spacing w:line="314" w:lineRule="auto" w:before="85"/>
        <w:ind w:left="252" w:right="309" w:firstLine="439"/>
        <w:jc w:val="left"/>
      </w:pPr>
      <w:r>
        <w:rPr/>
        <w:t>（</w:t>
      </w:r>
      <w:r>
        <w:rPr>
          <w:rFonts w:ascii="Arial" w:hAnsi="Arial" w:cs="Arial" w:eastAsia="Arial" w:hint="default"/>
        </w:rPr>
        <w:t>2</w:t>
      </w:r>
      <w:r>
        <w:rPr/>
        <w:t>）非上市的持有至到期投资、长期应收款、长短期借款、应付债券等，采用未来现金流量折</w:t>
      </w:r>
      <w:r>
        <w:rPr>
          <w:w w:val="100"/>
        </w:rPr>
        <w:t> </w:t>
      </w:r>
      <w:r>
        <w:rPr/>
        <w:t>现法确定公允价值，以合同条款和特征在实质上相同的其他金融工具的市场收益率作为折现率。</w:t>
      </w:r>
    </w:p>
    <w:p>
      <w:pPr>
        <w:pStyle w:val="BodyText"/>
        <w:spacing w:line="348" w:lineRule="auto" w:before="85"/>
        <w:ind w:left="692" w:right="309"/>
        <w:jc w:val="left"/>
      </w:pPr>
      <w:r>
        <w:rPr/>
        <w:t>（</w:t>
      </w:r>
      <w:r>
        <w:rPr>
          <w:rFonts w:ascii="Arial" w:hAnsi="Arial" w:cs="Arial" w:eastAsia="Arial" w:hint="default"/>
        </w:rPr>
        <w:t>3</w:t>
      </w:r>
      <w:r>
        <w:rPr/>
        <w:t>）上市的金融工具，以市场报价确定公允价值。</w:t>
      </w:r>
      <w:r>
        <w:rPr>
          <w:w w:val="100"/>
        </w:rPr>
        <w:t> </w:t>
      </w:r>
      <w:r>
        <w:rPr/>
        <w:t>本公司确定金融工具公允价值计量的方法未发生改变。截至</w:t>
      </w:r>
      <w:r>
        <w:rPr>
          <w:rFonts w:ascii="Arial" w:hAnsi="Arial" w:cs="Arial" w:eastAsia="Arial" w:hint="default"/>
        </w:rPr>
        <w:t>2019</w:t>
      </w:r>
      <w:r>
        <w:rPr/>
        <w:t>年</w:t>
      </w:r>
      <w:r>
        <w:rPr>
          <w:rFonts w:ascii="Arial" w:hAnsi="Arial" w:cs="Arial" w:eastAsia="Arial" w:hint="default"/>
        </w:rPr>
        <w:t>12</w:t>
      </w:r>
      <w:r>
        <w:rPr/>
        <w:t>月</w:t>
      </w:r>
      <w:r>
        <w:rPr>
          <w:rFonts w:ascii="Arial" w:hAnsi="Arial" w:cs="Arial" w:eastAsia="Arial" w:hint="default"/>
        </w:rPr>
        <w:t>31</w:t>
      </w:r>
      <w:r>
        <w:rPr/>
        <w:t>日各项金融资产和金</w:t>
      </w:r>
    </w:p>
    <w:p>
      <w:pPr>
        <w:spacing w:line="357" w:lineRule="auto" w:before="0"/>
        <w:ind w:left="692" w:right="309" w:hanging="440"/>
        <w:jc w:val="left"/>
        <w:rPr>
          <w:rFonts w:ascii="宋体" w:hAnsi="宋体" w:cs="宋体" w:eastAsia="宋体" w:hint="default"/>
          <w:sz w:val="22"/>
          <w:szCs w:val="22"/>
        </w:rPr>
      </w:pPr>
      <w:r>
        <w:rPr>
          <w:rFonts w:ascii="宋体" w:hAnsi="宋体" w:cs="宋体" w:eastAsia="宋体" w:hint="default"/>
          <w:sz w:val="22"/>
          <w:szCs w:val="22"/>
        </w:rPr>
        <w:t>融负债的账面价值与公允价值之间无重大差异。</w:t>
      </w:r>
      <w:r>
        <w:rPr>
          <w:rFonts w:ascii="宋体" w:hAnsi="宋体" w:cs="宋体" w:eastAsia="宋体" w:hint="default"/>
          <w:w w:val="100"/>
          <w:sz w:val="22"/>
          <w:szCs w:val="22"/>
        </w:rPr>
        <w:t> </w:t>
      </w:r>
      <w:r>
        <w:rPr>
          <w:rFonts w:ascii="Arial" w:hAnsi="Arial" w:cs="Arial" w:eastAsia="Arial" w:hint="default"/>
          <w:b/>
          <w:bCs/>
          <w:sz w:val="22"/>
          <w:szCs w:val="22"/>
        </w:rPr>
        <w:t>2</w:t>
      </w:r>
      <w:r>
        <w:rPr>
          <w:rFonts w:ascii="宋体" w:hAnsi="宋体" w:cs="宋体" w:eastAsia="宋体" w:hint="default"/>
          <w:b/>
          <w:bCs/>
          <w:sz w:val="22"/>
          <w:szCs w:val="22"/>
        </w:rPr>
        <w:t>、持续和非持续第一层次公允价值计量项目市价的确定依据</w:t>
      </w:r>
      <w:r>
        <w:rPr>
          <w:rFonts w:ascii="宋体" w:hAnsi="宋体" w:cs="宋体" w:eastAsia="宋体" w:hint="default"/>
          <w:b/>
          <w:bCs/>
          <w:w w:val="99"/>
          <w:sz w:val="22"/>
          <w:szCs w:val="22"/>
        </w:rPr>
        <w:t> </w:t>
      </w:r>
      <w:r>
        <w:rPr>
          <w:rFonts w:ascii="宋体" w:hAnsi="宋体" w:cs="宋体" w:eastAsia="宋体" w:hint="default"/>
          <w:sz w:val="22"/>
          <w:szCs w:val="22"/>
        </w:rPr>
        <w:t>持续第一层次公允价值计量项目市价的确定依据为证券市场的活跃报价。</w:t>
      </w:r>
      <w:r>
        <w:rPr>
          <w:rFonts w:ascii="宋体" w:hAnsi="宋体" w:cs="宋体" w:eastAsia="宋体" w:hint="default"/>
          <w:w w:val="100"/>
          <w:sz w:val="22"/>
          <w:szCs w:val="22"/>
        </w:rPr>
        <w:t> </w:t>
      </w:r>
      <w:r>
        <w:rPr>
          <w:rFonts w:ascii="Arial" w:hAnsi="Arial" w:cs="Arial" w:eastAsia="Arial" w:hint="default"/>
          <w:b/>
          <w:bCs/>
          <w:sz w:val="22"/>
          <w:szCs w:val="22"/>
        </w:rPr>
        <w:t>3</w:t>
      </w:r>
      <w:r>
        <w:rPr>
          <w:rFonts w:ascii="宋体" w:hAnsi="宋体" w:cs="宋体" w:eastAsia="宋体" w:hint="default"/>
          <w:b/>
          <w:bCs/>
          <w:sz w:val="22"/>
          <w:szCs w:val="22"/>
        </w:rPr>
        <w:t>、持续和非持续第二层次公允价值计量项目，采用的估值技术和重要参数的定性及定量信息</w:t>
      </w:r>
      <w:r>
        <w:rPr>
          <w:rFonts w:ascii="宋体" w:hAnsi="宋体" w:cs="宋体" w:eastAsia="宋体" w:hint="default"/>
          <w:b/>
          <w:bCs/>
          <w:w w:val="99"/>
          <w:sz w:val="22"/>
          <w:szCs w:val="22"/>
        </w:rPr>
        <w:t> </w:t>
      </w:r>
      <w:r>
        <w:rPr>
          <w:rFonts w:ascii="宋体" w:hAnsi="宋体" w:cs="宋体" w:eastAsia="宋体" w:hint="default"/>
          <w:spacing w:val="2"/>
          <w:sz w:val="22"/>
          <w:szCs w:val="22"/>
        </w:rPr>
        <w:t>对于持续和非持续的第二层次的公允价值计量，管理层参考相关专业机构估值报告作为确认依</w:t>
      </w:r>
    </w:p>
    <w:p>
      <w:pPr>
        <w:pStyle w:val="BodyText"/>
        <w:spacing w:line="240" w:lineRule="auto" w:before="5"/>
        <w:ind w:left="252" w:right="309"/>
        <w:jc w:val="left"/>
      </w:pPr>
      <w:r>
        <w:rPr/>
        <w:t>据。</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3"/>
        <w:spacing w:line="240" w:lineRule="auto" w:before="174"/>
        <w:ind w:left="252" w:right="309"/>
        <w:jc w:val="left"/>
        <w:rPr>
          <w:b w:val="0"/>
          <w:bCs w:val="0"/>
        </w:rPr>
      </w:pPr>
      <w:r>
        <w:rPr/>
        <w:t>十三、关联方及关联交易</w:t>
      </w:r>
      <w:r>
        <w:rPr>
          <w:b w:val="0"/>
          <w:bCs w:val="0"/>
        </w:rPr>
      </w:r>
    </w:p>
    <w:p>
      <w:pPr>
        <w:spacing w:line="240" w:lineRule="auto" w:before="8"/>
        <w:rPr>
          <w:rFonts w:ascii="宋体" w:hAnsi="宋体" w:cs="宋体" w:eastAsia="宋体" w:hint="default"/>
          <w:b/>
          <w:bCs/>
          <w:sz w:val="30"/>
          <w:szCs w:val="30"/>
        </w:rPr>
      </w:pPr>
    </w:p>
    <w:p>
      <w:pPr>
        <w:pStyle w:val="Heading4"/>
        <w:spacing w:line="240" w:lineRule="auto" w:before="0"/>
        <w:ind w:left="747" w:right="309"/>
        <w:jc w:val="left"/>
        <w:rPr>
          <w:b w:val="0"/>
          <w:bCs w:val="0"/>
        </w:rPr>
      </w:pPr>
      <w:r>
        <w:rPr>
          <w:rFonts w:ascii="Arial" w:hAnsi="Arial" w:cs="Arial" w:eastAsia="Arial" w:hint="default"/>
        </w:rPr>
        <w:t>1</w:t>
      </w:r>
      <w:r>
        <w:rPr/>
        <w:t>、关联方关系</w:t>
      </w:r>
      <w:r>
        <w:rPr>
          <w:b w:val="0"/>
          <w:bCs w:val="0"/>
        </w:rPr>
      </w:r>
    </w:p>
    <w:p>
      <w:pPr>
        <w:pStyle w:val="BodyText"/>
        <w:spacing w:line="240" w:lineRule="auto" w:before="138"/>
        <w:ind w:left="692" w:right="309"/>
        <w:jc w:val="left"/>
      </w:pPr>
      <w:r>
        <w:rPr/>
        <w:t>（</w:t>
      </w:r>
      <w:r>
        <w:rPr>
          <w:rFonts w:ascii="Arial" w:hAnsi="Arial" w:cs="Arial" w:eastAsia="Arial" w:hint="default"/>
        </w:rPr>
        <w:t>1</w:t>
      </w:r>
      <w:r>
        <w:rPr/>
        <w:t>）控股股东及最终控制方</w:t>
      </w:r>
    </w:p>
    <w:p>
      <w:pPr>
        <w:pStyle w:val="BodyText"/>
        <w:spacing w:line="240" w:lineRule="auto" w:before="135"/>
        <w:ind w:left="692" w:right="309"/>
        <w:jc w:val="left"/>
      </w:pPr>
      <w:r>
        <w:rPr/>
        <w:t>①控股股东及最终控制方</w:t>
      </w:r>
    </w:p>
    <w:p>
      <w:pPr>
        <w:spacing w:line="240" w:lineRule="auto" w:before="11"/>
        <w:rPr>
          <w:rFonts w:ascii="宋体" w:hAnsi="宋体" w:cs="宋体" w:eastAsia="宋体" w:hint="default"/>
          <w:sz w:val="6"/>
          <w:szCs w:val="6"/>
        </w:rPr>
      </w:pPr>
    </w:p>
    <w:tbl>
      <w:tblPr>
        <w:tblW w:w="0" w:type="auto"/>
        <w:jc w:val="left"/>
        <w:tblInd w:w="680" w:type="dxa"/>
        <w:tblLayout w:type="fixed"/>
        <w:tblCellMar>
          <w:top w:w="0" w:type="dxa"/>
          <w:left w:w="0" w:type="dxa"/>
          <w:bottom w:w="0" w:type="dxa"/>
          <w:right w:w="0" w:type="dxa"/>
        </w:tblCellMar>
        <w:tblLook w:val="01E0"/>
      </w:tblPr>
      <w:tblGrid>
        <w:gridCol w:w="2677"/>
        <w:gridCol w:w="991"/>
        <w:gridCol w:w="1419"/>
        <w:gridCol w:w="1363"/>
        <w:gridCol w:w="1148"/>
        <w:gridCol w:w="1142"/>
      </w:tblGrid>
      <w:tr>
        <w:trPr>
          <w:trHeight w:val="1299" w:hRule="exact"/>
        </w:trPr>
        <w:tc>
          <w:tcPr>
            <w:tcW w:w="2677"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806"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99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4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36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148" w:type="dxa"/>
            <w:tcBorders>
              <w:top w:val="single" w:sz="12" w:space="0" w:color="000000"/>
              <w:left w:val="single" w:sz="2" w:space="0" w:color="000000"/>
              <w:bottom w:val="single" w:sz="2" w:space="0" w:color="000000"/>
              <w:right w:val="single" w:sz="2" w:space="0" w:color="000000"/>
            </w:tcBorders>
          </w:tcPr>
          <w:p>
            <w:pPr>
              <w:pStyle w:val="TableParagraph"/>
              <w:spacing w:line="405" w:lineRule="auto" w:before="152"/>
              <w:ind w:left="122" w:right="118"/>
              <w:jc w:val="center"/>
              <w:rPr>
                <w:rFonts w:ascii="宋体" w:hAnsi="宋体" w:cs="宋体" w:eastAsia="宋体" w:hint="default"/>
                <w:sz w:val="18"/>
                <w:szCs w:val="18"/>
              </w:rPr>
            </w:pPr>
            <w:r>
              <w:rPr>
                <w:rFonts w:ascii="宋体" w:hAnsi="宋体" w:cs="宋体" w:eastAsia="宋体" w:hint="default"/>
                <w:sz w:val="18"/>
                <w:szCs w:val="18"/>
              </w:rPr>
              <w:t>对本公司的 持股比例</w:t>
            </w:r>
          </w:p>
          <w:p>
            <w:pPr>
              <w:pStyle w:val="TableParagraph"/>
              <w:spacing w:line="240" w:lineRule="auto" w:before="82"/>
              <w:ind w:left="1" w:right="0"/>
              <w:jc w:val="center"/>
              <w:rPr>
                <w:rFonts w:ascii="Arial" w:hAnsi="Arial" w:cs="Arial" w:eastAsia="Arial" w:hint="default"/>
                <w:sz w:val="18"/>
                <w:szCs w:val="18"/>
              </w:rPr>
            </w:pPr>
            <w:r>
              <w:rPr>
                <w:rFonts w:ascii="Arial"/>
                <w:sz w:val="18"/>
              </w:rPr>
              <w:t>(%)</w:t>
            </w:r>
          </w:p>
        </w:tc>
        <w:tc>
          <w:tcPr>
            <w:tcW w:w="1142" w:type="dxa"/>
            <w:tcBorders>
              <w:top w:val="single" w:sz="12" w:space="0" w:color="000000"/>
              <w:left w:val="single" w:sz="2" w:space="0" w:color="000000"/>
              <w:bottom w:val="single" w:sz="2" w:space="0" w:color="000000"/>
              <w:right w:val="nil" w:sz="6" w:space="0" w:color="auto"/>
            </w:tcBorders>
          </w:tcPr>
          <w:p>
            <w:pPr>
              <w:pStyle w:val="TableParagraph"/>
              <w:spacing w:line="405" w:lineRule="auto" w:before="152"/>
              <w:ind w:left="117" w:right="120"/>
              <w:jc w:val="center"/>
              <w:rPr>
                <w:rFonts w:ascii="宋体" w:hAnsi="宋体" w:cs="宋体" w:eastAsia="宋体" w:hint="default"/>
                <w:sz w:val="18"/>
                <w:szCs w:val="18"/>
              </w:rPr>
            </w:pPr>
            <w:r>
              <w:rPr>
                <w:rFonts w:ascii="宋体" w:hAnsi="宋体" w:cs="宋体" w:eastAsia="宋体" w:hint="default"/>
                <w:sz w:val="18"/>
                <w:szCs w:val="18"/>
              </w:rPr>
              <w:t>对本公司的 表决权比例</w:t>
            </w:r>
          </w:p>
          <w:p>
            <w:pPr>
              <w:pStyle w:val="TableParagraph"/>
              <w:spacing w:line="240" w:lineRule="auto" w:before="82"/>
              <w:ind w:right="2"/>
              <w:jc w:val="center"/>
              <w:rPr>
                <w:rFonts w:ascii="Arial" w:hAnsi="Arial" w:cs="Arial" w:eastAsia="Arial" w:hint="default"/>
                <w:sz w:val="18"/>
                <w:szCs w:val="18"/>
              </w:rPr>
            </w:pPr>
            <w:r>
              <w:rPr>
                <w:rFonts w:ascii="Arial"/>
                <w:sz w:val="18"/>
              </w:rPr>
              <w:t>(%)</w:t>
            </w:r>
          </w:p>
        </w:tc>
      </w:tr>
      <w:tr>
        <w:trPr>
          <w:trHeight w:val="898" w:hRule="exact"/>
        </w:trPr>
        <w:tc>
          <w:tcPr>
            <w:tcW w:w="267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上海船舶运输科学研究所</w:t>
            </w:r>
          </w:p>
        </w:tc>
        <w:tc>
          <w:tcPr>
            <w:tcW w:w="991" w:type="dxa"/>
            <w:tcBorders>
              <w:top w:val="single" w:sz="2" w:space="0" w:color="000000"/>
              <w:left w:val="single" w:sz="2" w:space="0" w:color="000000"/>
              <w:bottom w:val="single" w:sz="12" w:space="0" w:color="000000"/>
              <w:right w:val="single" w:sz="2" w:space="0" w:color="000000"/>
            </w:tcBorders>
          </w:tcPr>
          <w:p>
            <w:pPr>
              <w:pStyle w:val="TableParagraph"/>
              <w:spacing w:line="405" w:lineRule="auto" w:before="149"/>
              <w:ind w:left="107" w:right="79"/>
              <w:jc w:val="left"/>
              <w:rPr>
                <w:rFonts w:ascii="宋体" w:hAnsi="宋体" w:cs="宋体" w:eastAsia="宋体" w:hint="default"/>
                <w:sz w:val="18"/>
                <w:szCs w:val="18"/>
              </w:rPr>
            </w:pPr>
            <w:r>
              <w:rPr>
                <w:rFonts w:ascii="宋体" w:hAnsi="宋体" w:cs="宋体" w:eastAsia="宋体" w:hint="default"/>
                <w:spacing w:val="14"/>
                <w:sz w:val="18"/>
                <w:szCs w:val="18"/>
              </w:rPr>
              <w:t>上海浦东</w:t>
            </w:r>
            <w:r>
              <w:rPr>
                <w:rFonts w:ascii="宋体" w:hAnsi="宋体" w:cs="宋体" w:eastAsia="宋体" w:hint="default"/>
                <w:spacing w:val="-71"/>
                <w:sz w:val="18"/>
                <w:szCs w:val="18"/>
              </w:rPr>
              <w:t> </w:t>
            </w:r>
            <w:r>
              <w:rPr>
                <w:rFonts w:ascii="宋体" w:hAnsi="宋体" w:cs="宋体" w:eastAsia="宋体" w:hint="default"/>
                <w:sz w:val="18"/>
                <w:szCs w:val="18"/>
              </w:rPr>
              <w:t>新区</w:t>
            </w:r>
          </w:p>
        </w:tc>
        <w:tc>
          <w:tcPr>
            <w:tcW w:w="1419" w:type="dxa"/>
            <w:tcBorders>
              <w:top w:val="single" w:sz="2" w:space="0" w:color="000000"/>
              <w:left w:val="single" w:sz="2" w:space="0" w:color="000000"/>
              <w:bottom w:val="single" w:sz="12" w:space="0" w:color="000000"/>
              <w:right w:val="single" w:sz="2" w:space="0" w:color="000000"/>
            </w:tcBorders>
          </w:tcPr>
          <w:p>
            <w:pPr>
              <w:pStyle w:val="TableParagraph"/>
              <w:spacing w:line="405" w:lineRule="auto" w:before="149"/>
              <w:ind w:left="107" w:right="81"/>
              <w:jc w:val="left"/>
              <w:rPr>
                <w:rFonts w:ascii="宋体" w:hAnsi="宋体" w:cs="宋体" w:eastAsia="宋体" w:hint="default"/>
                <w:sz w:val="18"/>
                <w:szCs w:val="18"/>
              </w:rPr>
            </w:pPr>
            <w:r>
              <w:rPr>
                <w:rFonts w:ascii="宋体" w:hAnsi="宋体" w:cs="宋体" w:eastAsia="宋体" w:hint="default"/>
                <w:spacing w:val="20"/>
                <w:sz w:val="18"/>
                <w:szCs w:val="18"/>
              </w:rPr>
              <w:t>船舶自动化设</w:t>
            </w:r>
            <w:r>
              <w:rPr>
                <w:rFonts w:ascii="宋体" w:hAnsi="宋体" w:cs="宋体" w:eastAsia="宋体" w:hint="default"/>
                <w:spacing w:val="-66"/>
                <w:sz w:val="18"/>
                <w:szCs w:val="18"/>
              </w:rPr>
              <w:t> </w:t>
            </w:r>
            <w:r>
              <w:rPr>
                <w:rFonts w:ascii="宋体" w:hAnsi="宋体" w:cs="宋体" w:eastAsia="宋体" w:hint="default"/>
                <w:sz w:val="18"/>
                <w:szCs w:val="18"/>
              </w:rPr>
              <w:t>备研制</w:t>
            </w:r>
          </w:p>
        </w:tc>
        <w:tc>
          <w:tcPr>
            <w:tcW w:w="136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18"/>
                <w:szCs w:val="18"/>
              </w:rPr>
            </w:pPr>
            <w:r>
              <w:rPr>
                <w:rFonts w:ascii="Arial" w:hAnsi="Arial" w:cs="Arial" w:eastAsia="Arial" w:hint="default"/>
                <w:sz w:val="18"/>
                <w:szCs w:val="18"/>
              </w:rPr>
              <w:t>85,000</w:t>
            </w:r>
            <w:r>
              <w:rPr>
                <w:rFonts w:ascii="Arial" w:hAnsi="Arial" w:cs="Arial" w:eastAsia="Arial" w:hint="default"/>
                <w:spacing w:val="-7"/>
                <w:sz w:val="18"/>
                <w:szCs w:val="18"/>
              </w:rPr>
              <w:t> </w:t>
            </w:r>
            <w:r>
              <w:rPr>
                <w:rFonts w:ascii="宋体" w:hAnsi="宋体" w:cs="宋体" w:eastAsia="宋体" w:hint="default"/>
                <w:sz w:val="18"/>
                <w:szCs w:val="18"/>
              </w:rPr>
              <w:t>万元</w:t>
            </w:r>
          </w:p>
        </w:tc>
        <w:tc>
          <w:tcPr>
            <w:tcW w:w="11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588" w:right="0"/>
              <w:jc w:val="left"/>
              <w:rPr>
                <w:rFonts w:ascii="Arial" w:hAnsi="Arial" w:cs="Arial" w:eastAsia="Arial" w:hint="default"/>
                <w:sz w:val="18"/>
                <w:szCs w:val="18"/>
              </w:rPr>
            </w:pPr>
            <w:r>
              <w:rPr>
                <w:rFonts w:ascii="Arial"/>
                <w:sz w:val="18"/>
              </w:rPr>
              <w:t>50.01</w:t>
            </w:r>
          </w:p>
        </w:tc>
        <w:tc>
          <w:tcPr>
            <w:tcW w:w="1142"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580" w:right="0"/>
              <w:jc w:val="left"/>
              <w:rPr>
                <w:rFonts w:ascii="Arial" w:hAnsi="Arial" w:cs="Arial" w:eastAsia="Arial" w:hint="default"/>
                <w:sz w:val="18"/>
                <w:szCs w:val="18"/>
              </w:rPr>
            </w:pPr>
            <w:r>
              <w:rPr>
                <w:rFonts w:ascii="Arial"/>
                <w:sz w:val="18"/>
              </w:rPr>
              <w:t>50.01</w:t>
            </w:r>
          </w:p>
        </w:tc>
      </w:tr>
    </w:tbl>
    <w:p>
      <w:pPr>
        <w:spacing w:line="240" w:lineRule="auto" w:before="5"/>
        <w:rPr>
          <w:rFonts w:ascii="宋体" w:hAnsi="宋体" w:cs="宋体" w:eastAsia="宋体" w:hint="default"/>
          <w:sz w:val="5"/>
          <w:szCs w:val="5"/>
        </w:rPr>
      </w:pPr>
    </w:p>
    <w:p>
      <w:pPr>
        <w:pStyle w:val="BodyText"/>
        <w:spacing w:line="240" w:lineRule="auto" w:before="32"/>
        <w:ind w:left="692" w:right="309"/>
        <w:jc w:val="left"/>
      </w:pPr>
      <w:r>
        <w:rPr/>
        <w:t>本公司的最终控制方为中国远洋海运集团有限公司。</w:t>
      </w:r>
    </w:p>
    <w:p>
      <w:pPr>
        <w:pStyle w:val="BodyText"/>
        <w:spacing w:line="240" w:lineRule="auto" w:before="151"/>
        <w:ind w:left="692" w:right="309"/>
        <w:jc w:val="left"/>
      </w:pPr>
      <w:r>
        <w:rPr/>
        <w:t>②控股股东的注册资本及其变化</w:t>
      </w:r>
    </w:p>
    <w:p>
      <w:pPr>
        <w:spacing w:line="240" w:lineRule="auto" w:before="13"/>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2931"/>
        <w:gridCol w:w="1666"/>
        <w:gridCol w:w="1805"/>
        <w:gridCol w:w="1666"/>
        <w:gridCol w:w="1802"/>
      </w:tblGrid>
      <w:tr>
        <w:trPr>
          <w:trHeight w:val="497" w:hRule="exact"/>
        </w:trPr>
        <w:tc>
          <w:tcPr>
            <w:tcW w:w="293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49"/>
              <w:ind w:left="14" w:right="0"/>
              <w:jc w:val="center"/>
              <w:rPr>
                <w:rFonts w:ascii="宋体" w:hAnsi="宋体" w:cs="宋体" w:eastAsia="宋体" w:hint="default"/>
                <w:sz w:val="18"/>
                <w:szCs w:val="18"/>
              </w:rPr>
            </w:pPr>
            <w:r>
              <w:rPr>
                <w:rFonts w:ascii="宋体" w:hAnsi="宋体" w:cs="宋体" w:eastAsia="宋体" w:hint="default"/>
                <w:sz w:val="18"/>
                <w:szCs w:val="18"/>
              </w:rPr>
              <w:t>控股股东</w:t>
            </w:r>
          </w:p>
        </w:tc>
        <w:tc>
          <w:tcPr>
            <w:tcW w:w="166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9"/>
              <w:ind w:left="472"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80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9"/>
              <w:ind w:left="542"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66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9"/>
              <w:ind w:left="470"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80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49"/>
              <w:ind w:left="537"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499" w:hRule="exact"/>
        </w:trPr>
        <w:tc>
          <w:tcPr>
            <w:tcW w:w="293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上海船舶运输科学研究所</w:t>
            </w:r>
          </w:p>
        </w:tc>
        <w:tc>
          <w:tcPr>
            <w:tcW w:w="16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7" w:right="0"/>
              <w:jc w:val="left"/>
              <w:rPr>
                <w:rFonts w:ascii="Arial" w:hAnsi="Arial" w:cs="Arial" w:eastAsia="Arial" w:hint="default"/>
                <w:sz w:val="18"/>
                <w:szCs w:val="18"/>
              </w:rPr>
            </w:pPr>
            <w:r>
              <w:rPr>
                <w:rFonts w:ascii="Arial"/>
                <w:sz w:val="18"/>
              </w:rPr>
              <w:t>350,000,000.00</w:t>
            </w:r>
          </w:p>
        </w:tc>
        <w:tc>
          <w:tcPr>
            <w:tcW w:w="180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8" w:right="0"/>
              <w:jc w:val="left"/>
              <w:rPr>
                <w:rFonts w:ascii="Arial" w:hAnsi="Arial" w:cs="Arial" w:eastAsia="Arial" w:hint="default"/>
                <w:sz w:val="18"/>
                <w:szCs w:val="18"/>
              </w:rPr>
            </w:pPr>
            <w:r>
              <w:rPr>
                <w:rFonts w:ascii="Arial"/>
                <w:sz w:val="18"/>
              </w:rPr>
              <w:t>500,000,000.00</w:t>
            </w:r>
          </w:p>
        </w:tc>
        <w:tc>
          <w:tcPr>
            <w:tcW w:w="1666" w:type="dxa"/>
            <w:tcBorders>
              <w:top w:val="single" w:sz="2" w:space="0" w:color="000000"/>
              <w:left w:val="single" w:sz="2" w:space="0" w:color="000000"/>
              <w:bottom w:val="single" w:sz="12" w:space="0" w:color="000000"/>
              <w:right w:val="single" w:sz="2" w:space="0" w:color="000000"/>
            </w:tcBorders>
          </w:tcPr>
          <w:p>
            <w:pPr/>
          </w:p>
        </w:tc>
        <w:tc>
          <w:tcPr>
            <w:tcW w:w="180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5" w:right="0"/>
              <w:jc w:val="left"/>
              <w:rPr>
                <w:rFonts w:ascii="Arial" w:hAnsi="Arial" w:cs="Arial" w:eastAsia="Arial" w:hint="default"/>
                <w:sz w:val="18"/>
                <w:szCs w:val="18"/>
              </w:rPr>
            </w:pPr>
            <w:r>
              <w:rPr>
                <w:rFonts w:ascii="Arial"/>
                <w:sz w:val="18"/>
              </w:rPr>
              <w:t>850,000,000.00</w:t>
            </w:r>
          </w:p>
        </w:tc>
      </w:tr>
    </w:tbl>
    <w:p>
      <w:pPr>
        <w:spacing w:line="240" w:lineRule="auto" w:before="5"/>
        <w:rPr>
          <w:rFonts w:ascii="宋体" w:hAnsi="宋体" w:cs="宋体" w:eastAsia="宋体" w:hint="default"/>
          <w:sz w:val="5"/>
          <w:szCs w:val="5"/>
        </w:rPr>
      </w:pPr>
    </w:p>
    <w:p>
      <w:pPr>
        <w:pStyle w:val="BodyText"/>
        <w:spacing w:line="240" w:lineRule="auto" w:before="32"/>
        <w:ind w:left="692" w:right="309"/>
        <w:jc w:val="left"/>
      </w:pPr>
      <w:r>
        <w:rPr/>
        <w:t>（</w:t>
      </w:r>
      <w:r>
        <w:rPr>
          <w:rFonts w:ascii="Arial" w:hAnsi="Arial" w:cs="Arial" w:eastAsia="Arial" w:hint="default"/>
        </w:rPr>
        <w:t>2</w:t>
      </w:r>
      <w:r>
        <w:rPr/>
        <w:t>）子公司</w:t>
      </w:r>
    </w:p>
    <w:p>
      <w:pPr>
        <w:pStyle w:val="BodyText"/>
        <w:spacing w:line="240" w:lineRule="auto" w:before="135"/>
        <w:ind w:left="692" w:right="309"/>
        <w:jc w:val="left"/>
      </w:pPr>
      <w:r>
        <w:rPr>
          <w:w w:val="100"/>
        </w:rPr>
        <w:t>子公司</w:t>
      </w:r>
      <w:r>
        <w:rPr>
          <w:spacing w:val="-3"/>
          <w:w w:val="100"/>
        </w:rPr>
        <w:t>情</w:t>
      </w:r>
      <w:r>
        <w:rPr>
          <w:w w:val="100"/>
        </w:rPr>
        <w:t>况详见</w:t>
      </w:r>
      <w:r>
        <w:rPr>
          <w:spacing w:val="-3"/>
        </w:rPr>
        <w:t> </w:t>
      </w:r>
      <w:r>
        <w:rPr>
          <w:rFonts w:ascii="Arial" w:hAnsi="Arial" w:cs="Arial" w:eastAsia="Arial" w:hint="default"/>
          <w:w w:val="100"/>
        </w:rPr>
        <w:t>“</w:t>
      </w:r>
      <w:r>
        <w:rPr>
          <w:spacing w:val="-3"/>
          <w:w w:val="100"/>
        </w:rPr>
        <w:t>十</w:t>
      </w:r>
      <w:r>
        <w:rPr>
          <w:w w:val="100"/>
        </w:rPr>
        <w:t>、</w:t>
      </w:r>
      <w:r>
        <w:rPr>
          <w:rFonts w:ascii="Arial" w:hAnsi="Arial" w:cs="Arial" w:eastAsia="Arial" w:hint="default"/>
          <w:spacing w:val="-1"/>
          <w:w w:val="100"/>
        </w:rPr>
        <w:t>1</w:t>
      </w:r>
      <w:r>
        <w:rPr>
          <w:spacing w:val="-113"/>
          <w:w w:val="100"/>
        </w:rPr>
        <w:t>、</w:t>
      </w:r>
      <w:r>
        <w:rPr>
          <w:w w:val="100"/>
        </w:rPr>
        <w:t>（</w:t>
      </w:r>
      <w:r>
        <w:rPr>
          <w:rFonts w:ascii="Arial" w:hAnsi="Arial" w:cs="Arial" w:eastAsia="Arial" w:hint="default"/>
          <w:spacing w:val="-1"/>
          <w:w w:val="100"/>
        </w:rPr>
        <w:t>1</w:t>
      </w:r>
      <w:r>
        <w:rPr>
          <w:w w:val="100"/>
        </w:rPr>
        <w:t>）企</w:t>
      </w:r>
      <w:r>
        <w:rPr>
          <w:spacing w:val="-3"/>
          <w:w w:val="100"/>
        </w:rPr>
        <w:t>业</w:t>
      </w:r>
      <w:r>
        <w:rPr>
          <w:w w:val="100"/>
        </w:rPr>
        <w:t>集团</w:t>
      </w:r>
      <w:r>
        <w:rPr>
          <w:spacing w:val="-3"/>
          <w:w w:val="100"/>
        </w:rPr>
        <w:t>的</w:t>
      </w:r>
      <w:r>
        <w:rPr>
          <w:w w:val="100"/>
        </w:rPr>
        <w:t>构成</w:t>
      </w:r>
      <w:r>
        <w:rPr>
          <w:rFonts w:ascii="Arial" w:hAnsi="Arial" w:cs="Arial" w:eastAsia="Arial" w:hint="default"/>
          <w:spacing w:val="-2"/>
          <w:w w:val="100"/>
        </w:rPr>
        <w:t>”</w:t>
      </w:r>
      <w:r>
        <w:rPr>
          <w:spacing w:val="-3"/>
          <w:w w:val="100"/>
        </w:rPr>
        <w:t>相</w:t>
      </w:r>
      <w:r>
        <w:rPr>
          <w:w w:val="100"/>
        </w:rPr>
        <w:t>关内容。</w:t>
      </w:r>
    </w:p>
    <w:p>
      <w:pPr>
        <w:spacing w:after="0" w:line="240" w:lineRule="auto"/>
        <w:jc w:val="left"/>
        <w:sectPr>
          <w:pgSz w:w="11910" w:h="16840"/>
          <w:pgMar w:header="745" w:footer="979" w:top="1060" w:bottom="1160" w:left="880" w:right="0"/>
        </w:sectPr>
      </w:pPr>
    </w:p>
    <w:p>
      <w:pPr>
        <w:spacing w:line="240" w:lineRule="auto" w:before="0"/>
        <w:rPr>
          <w:rFonts w:ascii="宋体" w:hAnsi="宋体" w:cs="宋体" w:eastAsia="宋体" w:hint="default"/>
          <w:sz w:val="20"/>
          <w:szCs w:val="20"/>
        </w:rPr>
      </w:pPr>
    </w:p>
    <w:p>
      <w:pPr>
        <w:pStyle w:val="BodyText"/>
        <w:spacing w:line="240" w:lineRule="auto" w:before="173"/>
        <w:ind w:left="592" w:right="1133"/>
        <w:jc w:val="left"/>
      </w:pPr>
      <w:r>
        <w:rPr/>
        <w:t>（</w:t>
      </w:r>
      <w:r>
        <w:rPr>
          <w:rFonts w:ascii="Arial" w:hAnsi="Arial" w:cs="Arial" w:eastAsia="Arial" w:hint="default"/>
        </w:rPr>
        <w:t>3</w:t>
      </w:r>
      <w:r>
        <w:rPr/>
        <w:t>）合营企业及联营企业</w:t>
      </w:r>
    </w:p>
    <w:p>
      <w:pPr>
        <w:pStyle w:val="BodyText"/>
        <w:spacing w:line="316" w:lineRule="auto" w:before="135"/>
        <w:ind w:right="1126" w:firstLine="439"/>
        <w:jc w:val="left"/>
      </w:pPr>
      <w:r>
        <w:rPr>
          <w:spacing w:val="-1"/>
          <w:w w:val="100"/>
        </w:rPr>
        <w:t>本公司重要的合营或联营企业详见</w:t>
      </w:r>
      <w:r>
        <w:rPr>
          <w:spacing w:val="14"/>
          <w:w w:val="100"/>
        </w:rPr>
        <w:t> </w:t>
      </w:r>
      <w:r>
        <w:rPr>
          <w:rFonts w:ascii="Arial" w:hAnsi="Arial" w:cs="Arial" w:eastAsia="Arial" w:hint="default"/>
          <w:spacing w:val="-5"/>
          <w:w w:val="100"/>
        </w:rPr>
        <w:t>“</w:t>
      </w:r>
      <w:r>
        <w:rPr>
          <w:spacing w:val="-5"/>
          <w:w w:val="100"/>
        </w:rPr>
        <w:t>十、</w:t>
      </w:r>
      <w:r>
        <w:rPr>
          <w:rFonts w:ascii="Arial" w:hAnsi="Arial" w:cs="Arial" w:eastAsia="Arial" w:hint="default"/>
          <w:spacing w:val="-5"/>
          <w:w w:val="100"/>
        </w:rPr>
        <w:t>2</w:t>
      </w:r>
      <w:r>
        <w:rPr>
          <w:spacing w:val="-5"/>
          <w:w w:val="100"/>
        </w:rPr>
        <w:t>、（</w:t>
      </w:r>
      <w:r>
        <w:rPr>
          <w:rFonts w:ascii="Arial" w:hAnsi="Arial" w:cs="Arial" w:eastAsia="Arial" w:hint="default"/>
          <w:spacing w:val="-5"/>
          <w:w w:val="100"/>
        </w:rPr>
        <w:t>1</w:t>
      </w:r>
      <w:r>
        <w:rPr>
          <w:spacing w:val="-5"/>
          <w:w w:val="100"/>
        </w:rPr>
        <w:t>）重要的合营企业或联营企业</w:t>
      </w:r>
      <w:r>
        <w:rPr>
          <w:rFonts w:ascii="Arial" w:hAnsi="Arial" w:cs="Arial" w:eastAsia="Arial" w:hint="default"/>
          <w:spacing w:val="-5"/>
          <w:w w:val="100"/>
        </w:rPr>
        <w:t>”</w:t>
      </w:r>
      <w:r>
        <w:rPr>
          <w:spacing w:val="-5"/>
          <w:w w:val="100"/>
        </w:rPr>
        <w:t>相关内容。本公司</w:t>
      </w:r>
      <w:r>
        <w:rPr>
          <w:w w:val="100"/>
        </w:rPr>
        <w:t> </w:t>
      </w:r>
      <w:r>
        <w:rPr/>
        <w:t>无其他合营或联营企业。</w:t>
      </w:r>
    </w:p>
    <w:p>
      <w:pPr>
        <w:pStyle w:val="BodyText"/>
        <w:spacing w:line="240" w:lineRule="auto" w:before="81"/>
        <w:ind w:left="592" w:right="1133"/>
        <w:jc w:val="left"/>
      </w:pPr>
      <w:r>
        <w:rPr/>
        <w:t>（</w:t>
      </w:r>
      <w:r>
        <w:rPr>
          <w:rFonts w:ascii="Arial" w:hAnsi="Arial" w:cs="Arial" w:eastAsia="Arial" w:hint="default"/>
        </w:rPr>
        <w:t>4</w:t>
      </w:r>
      <w:r>
        <w:rPr/>
        <w:t>）其他关联方</w:t>
      </w:r>
    </w:p>
    <w:p>
      <w:pPr>
        <w:spacing w:line="240" w:lineRule="auto" w:before="10"/>
        <w:rPr>
          <w:rFonts w:ascii="宋体" w:hAnsi="宋体" w:cs="宋体" w:eastAsia="宋体" w:hint="default"/>
          <w:sz w:val="5"/>
          <w:szCs w:val="5"/>
        </w:rPr>
      </w:pPr>
    </w:p>
    <w:tbl>
      <w:tblPr>
        <w:tblW w:w="0" w:type="auto"/>
        <w:jc w:val="left"/>
        <w:tblInd w:w="580" w:type="dxa"/>
        <w:tblLayout w:type="fixed"/>
        <w:tblCellMar>
          <w:top w:w="0" w:type="dxa"/>
          <w:left w:w="0" w:type="dxa"/>
          <w:bottom w:w="0" w:type="dxa"/>
          <w:right w:w="0" w:type="dxa"/>
        </w:tblCellMar>
        <w:tblLook w:val="01E0"/>
      </w:tblPr>
      <w:tblGrid>
        <w:gridCol w:w="4801"/>
        <w:gridCol w:w="3939"/>
      </w:tblGrid>
      <w:tr>
        <w:trPr>
          <w:trHeight w:val="497" w:hRule="exact"/>
        </w:trPr>
        <w:tc>
          <w:tcPr>
            <w:tcW w:w="480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49"/>
              <w:ind w:left="18"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393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r>
      <w:tr>
        <w:trPr>
          <w:trHeight w:val="485" w:hRule="exact"/>
        </w:trPr>
        <w:tc>
          <w:tcPr>
            <w:tcW w:w="48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中国远洋海运集团有限公司</w:t>
            </w:r>
          </w:p>
        </w:tc>
        <w:tc>
          <w:tcPr>
            <w:tcW w:w="39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left="1" w:right="0"/>
              <w:jc w:val="center"/>
              <w:rPr>
                <w:rFonts w:ascii="宋体" w:hAnsi="宋体" w:cs="宋体" w:eastAsia="宋体" w:hint="default"/>
                <w:sz w:val="18"/>
                <w:szCs w:val="18"/>
              </w:rPr>
            </w:pPr>
            <w:r>
              <w:rPr>
                <w:rFonts w:ascii="宋体" w:hAnsi="宋体" w:cs="宋体" w:eastAsia="宋体" w:hint="default"/>
                <w:sz w:val="18"/>
                <w:szCs w:val="18"/>
              </w:rPr>
              <w:t>最终控制方</w:t>
            </w:r>
          </w:p>
        </w:tc>
      </w:tr>
      <w:tr>
        <w:trPr>
          <w:trHeight w:val="485" w:hRule="exact"/>
        </w:trPr>
        <w:tc>
          <w:tcPr>
            <w:tcW w:w="48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中国远洋海运集团有限公司其他下属子公司（注）</w:t>
            </w:r>
          </w:p>
        </w:tc>
        <w:tc>
          <w:tcPr>
            <w:tcW w:w="39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85" w:hRule="exact"/>
        </w:trPr>
        <w:tc>
          <w:tcPr>
            <w:tcW w:w="48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0"/>
              <w:ind w:left="124" w:right="0"/>
              <w:jc w:val="left"/>
              <w:rPr>
                <w:rFonts w:ascii="宋体" w:hAnsi="宋体" w:cs="宋体" w:eastAsia="宋体" w:hint="default"/>
                <w:sz w:val="18"/>
                <w:szCs w:val="18"/>
              </w:rPr>
            </w:pPr>
            <w:r>
              <w:rPr>
                <w:rFonts w:ascii="宋体" w:hAnsi="宋体" w:cs="宋体" w:eastAsia="宋体" w:hint="default"/>
                <w:sz w:val="18"/>
                <w:szCs w:val="18"/>
              </w:rPr>
              <w:t>中远海运资产经营管理有限公司</w:t>
            </w:r>
          </w:p>
        </w:tc>
        <w:tc>
          <w:tcPr>
            <w:tcW w:w="39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right="0"/>
              <w:jc w:val="center"/>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87" w:hRule="exact"/>
        </w:trPr>
        <w:tc>
          <w:tcPr>
            <w:tcW w:w="48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2"/>
              <w:ind w:left="124" w:right="0"/>
              <w:jc w:val="left"/>
              <w:rPr>
                <w:rFonts w:ascii="宋体" w:hAnsi="宋体" w:cs="宋体" w:eastAsia="宋体" w:hint="default"/>
                <w:sz w:val="18"/>
                <w:szCs w:val="18"/>
              </w:rPr>
            </w:pPr>
            <w:r>
              <w:rPr>
                <w:rFonts w:ascii="宋体" w:hAnsi="宋体" w:cs="宋体" w:eastAsia="宋体" w:hint="default"/>
                <w:sz w:val="18"/>
                <w:szCs w:val="18"/>
              </w:rPr>
              <w:t>上海船舶运输科学研究所下属子公司</w:t>
            </w:r>
          </w:p>
        </w:tc>
        <w:tc>
          <w:tcPr>
            <w:tcW w:w="39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2"/>
              <w:ind w:left="1" w:right="0"/>
              <w:jc w:val="center"/>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85" w:hRule="exact"/>
        </w:trPr>
        <w:tc>
          <w:tcPr>
            <w:tcW w:w="48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中远海运集团财务有限责任公司</w:t>
            </w:r>
          </w:p>
        </w:tc>
        <w:tc>
          <w:tcPr>
            <w:tcW w:w="39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85" w:hRule="exact"/>
        </w:trPr>
        <w:tc>
          <w:tcPr>
            <w:tcW w:w="48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中远财务有限责任公司</w:t>
            </w:r>
          </w:p>
        </w:tc>
        <w:tc>
          <w:tcPr>
            <w:tcW w:w="39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85" w:hRule="exact"/>
        </w:trPr>
        <w:tc>
          <w:tcPr>
            <w:tcW w:w="48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上海海瑄置业有限公司</w:t>
            </w:r>
          </w:p>
        </w:tc>
        <w:tc>
          <w:tcPr>
            <w:tcW w:w="39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85" w:hRule="exact"/>
        </w:trPr>
        <w:tc>
          <w:tcPr>
            <w:tcW w:w="48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上海海璟置业有限公司</w:t>
            </w:r>
          </w:p>
        </w:tc>
        <w:tc>
          <w:tcPr>
            <w:tcW w:w="39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85" w:hRule="exact"/>
        </w:trPr>
        <w:tc>
          <w:tcPr>
            <w:tcW w:w="48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上海长兴中远海运</w:t>
            </w:r>
            <w:r>
              <w:rPr>
                <w:rFonts w:ascii="宋体" w:hAnsi="宋体" w:cs="宋体" w:eastAsia="宋体" w:hint="default"/>
                <w:spacing w:val="-40"/>
                <w:sz w:val="18"/>
                <w:szCs w:val="18"/>
              </w:rPr>
              <w:t> </w:t>
            </w:r>
            <w:r>
              <w:rPr>
                <w:rFonts w:ascii="宋体" w:hAnsi="宋体" w:cs="宋体" w:eastAsia="宋体" w:hint="default"/>
                <w:sz w:val="18"/>
                <w:szCs w:val="18"/>
              </w:rPr>
              <w:t>资产管理有限公司</w:t>
            </w:r>
          </w:p>
        </w:tc>
        <w:tc>
          <w:tcPr>
            <w:tcW w:w="39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85" w:hRule="exact"/>
        </w:trPr>
        <w:tc>
          <w:tcPr>
            <w:tcW w:w="48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0"/>
              <w:ind w:left="124" w:right="0"/>
              <w:jc w:val="left"/>
              <w:rPr>
                <w:rFonts w:ascii="宋体" w:hAnsi="宋体" w:cs="宋体" w:eastAsia="宋体" w:hint="default"/>
                <w:sz w:val="18"/>
                <w:szCs w:val="18"/>
              </w:rPr>
            </w:pPr>
            <w:r>
              <w:rPr>
                <w:rFonts w:ascii="宋体" w:hAnsi="宋体" w:cs="宋体" w:eastAsia="宋体" w:hint="default"/>
                <w:sz w:val="18"/>
                <w:szCs w:val="18"/>
              </w:rPr>
              <w:t>中海海运（上海）资产经营管理有限公司</w:t>
            </w:r>
          </w:p>
        </w:tc>
        <w:tc>
          <w:tcPr>
            <w:tcW w:w="39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right="0"/>
              <w:jc w:val="center"/>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85" w:hRule="exact"/>
        </w:trPr>
        <w:tc>
          <w:tcPr>
            <w:tcW w:w="48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中海工业建设（上海浦东）有限公司</w:t>
            </w:r>
          </w:p>
        </w:tc>
        <w:tc>
          <w:tcPr>
            <w:tcW w:w="39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85" w:hRule="exact"/>
        </w:trPr>
        <w:tc>
          <w:tcPr>
            <w:tcW w:w="48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中远海运物流有限公司</w:t>
            </w:r>
          </w:p>
        </w:tc>
        <w:tc>
          <w:tcPr>
            <w:tcW w:w="39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85" w:hRule="exact"/>
        </w:trPr>
        <w:tc>
          <w:tcPr>
            <w:tcW w:w="48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江门市远辉房地产有限公司</w:t>
            </w:r>
          </w:p>
        </w:tc>
        <w:tc>
          <w:tcPr>
            <w:tcW w:w="39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900" w:hRule="exact"/>
        </w:trPr>
        <w:tc>
          <w:tcPr>
            <w:tcW w:w="480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上海华东电脑股份有限公司及其下属子公司</w:t>
            </w:r>
          </w:p>
        </w:tc>
        <w:tc>
          <w:tcPr>
            <w:tcW w:w="3939" w:type="dxa"/>
            <w:tcBorders>
              <w:top w:val="single" w:sz="2" w:space="0" w:color="000000"/>
              <w:left w:val="single" w:sz="2" w:space="0" w:color="000000"/>
              <w:bottom w:val="single" w:sz="12" w:space="0" w:color="000000"/>
              <w:right w:val="nil" w:sz="6" w:space="0" w:color="auto"/>
            </w:tcBorders>
          </w:tcPr>
          <w:p>
            <w:pPr>
              <w:pStyle w:val="TableParagraph"/>
              <w:spacing w:line="408" w:lineRule="auto" w:before="149"/>
              <w:ind w:left="707" w:right="105" w:hanging="600"/>
              <w:jc w:val="left"/>
              <w:rPr>
                <w:rFonts w:ascii="宋体" w:hAnsi="宋体" w:cs="宋体" w:eastAsia="宋体" w:hint="default"/>
                <w:sz w:val="18"/>
                <w:szCs w:val="18"/>
              </w:rPr>
            </w:pPr>
            <w:r>
              <w:rPr>
                <w:rFonts w:ascii="宋体" w:hAnsi="宋体" w:cs="宋体" w:eastAsia="宋体" w:hint="default"/>
                <w:spacing w:val="-3"/>
                <w:sz w:val="18"/>
                <w:szCs w:val="18"/>
              </w:rPr>
              <w:t>关联自然人担任董事、高级管理人员的，除上市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公司及其控股子公司以外的法人</w:t>
            </w:r>
          </w:p>
        </w:tc>
      </w:tr>
    </w:tbl>
    <w:p>
      <w:pPr>
        <w:spacing w:line="240" w:lineRule="auto" w:before="5"/>
        <w:rPr>
          <w:rFonts w:ascii="宋体" w:hAnsi="宋体" w:cs="宋体" w:eastAsia="宋体" w:hint="default"/>
          <w:sz w:val="5"/>
          <w:szCs w:val="5"/>
        </w:rPr>
      </w:pPr>
    </w:p>
    <w:p>
      <w:pPr>
        <w:pStyle w:val="BodyText"/>
        <w:spacing w:line="333" w:lineRule="auto" w:before="32"/>
        <w:ind w:right="0" w:firstLine="439"/>
        <w:jc w:val="left"/>
      </w:pPr>
      <w:r>
        <w:rPr>
          <w:spacing w:val="-1"/>
        </w:rPr>
        <w:t>注：中国远洋海运集团有限公司其他下属子公司指除上海船舶运输科学研究所及其下属子公司、</w:t>
      </w:r>
      <w:r>
        <w:rPr>
          <w:w w:val="100"/>
        </w:rPr>
        <w:t> </w:t>
      </w:r>
      <w:r>
        <w:rPr/>
        <w:t>中海集团财务有限责任公司外的中国远洋海运集团有限公司的下属子公司。</w:t>
      </w:r>
    </w:p>
    <w:p>
      <w:pPr>
        <w:pStyle w:val="Heading4"/>
        <w:spacing w:line="240" w:lineRule="auto" w:before="65"/>
        <w:ind w:left="647" w:right="1133"/>
        <w:jc w:val="left"/>
        <w:rPr>
          <w:b w:val="0"/>
          <w:bCs w:val="0"/>
        </w:rPr>
      </w:pPr>
      <w:r>
        <w:rPr>
          <w:rFonts w:ascii="Arial" w:hAnsi="Arial" w:cs="Arial" w:eastAsia="Arial" w:hint="default"/>
        </w:rPr>
        <w:t>2</w:t>
      </w:r>
      <w:r>
        <w:rPr/>
        <w:t>、关联交易</w:t>
      </w:r>
      <w:r>
        <w:rPr>
          <w:b w:val="0"/>
          <w:bCs w:val="0"/>
        </w:rPr>
      </w:r>
    </w:p>
    <w:p>
      <w:pPr>
        <w:pStyle w:val="BodyText"/>
        <w:spacing w:line="240" w:lineRule="auto" w:before="138"/>
        <w:ind w:left="592" w:right="1133"/>
        <w:jc w:val="left"/>
      </w:pPr>
      <w:r>
        <w:rPr/>
        <w:t>（</w:t>
      </w:r>
      <w:r>
        <w:rPr>
          <w:rFonts w:ascii="Arial" w:hAnsi="Arial" w:cs="Arial" w:eastAsia="Arial" w:hint="default"/>
        </w:rPr>
        <w:t>1</w:t>
      </w:r>
      <w:r>
        <w:rPr/>
        <w:t>）购销商品、提供和接受劳务的关联交易</w:t>
      </w:r>
    </w:p>
    <w:p>
      <w:pPr>
        <w:pStyle w:val="BodyText"/>
        <w:spacing w:line="240" w:lineRule="auto" w:before="135"/>
        <w:ind w:left="592" w:right="1133"/>
        <w:jc w:val="left"/>
      </w:pPr>
      <w:r>
        <w:rPr/>
        <w:t>①采购商品</w:t>
      </w:r>
      <w:r>
        <w:rPr>
          <w:rFonts w:ascii="Arial" w:hAnsi="Arial" w:cs="Arial" w:eastAsia="Arial" w:hint="default"/>
        </w:rPr>
        <w:t>/</w:t>
      </w:r>
      <w:r>
        <w:rPr/>
        <w:t>接受劳务</w:t>
      </w:r>
    </w:p>
    <w:p>
      <w:pPr>
        <w:spacing w:line="240" w:lineRule="auto" w:before="8"/>
        <w:rPr>
          <w:rFonts w:ascii="宋体" w:hAnsi="宋体" w:cs="宋体" w:eastAsia="宋体" w:hint="default"/>
          <w:sz w:val="5"/>
          <w:szCs w:val="5"/>
        </w:rPr>
      </w:pPr>
    </w:p>
    <w:tbl>
      <w:tblPr>
        <w:tblW w:w="0" w:type="auto"/>
        <w:jc w:val="left"/>
        <w:tblInd w:w="676" w:type="dxa"/>
        <w:tblLayout w:type="fixed"/>
        <w:tblCellMar>
          <w:top w:w="0" w:type="dxa"/>
          <w:left w:w="0" w:type="dxa"/>
          <w:bottom w:w="0" w:type="dxa"/>
          <w:right w:w="0" w:type="dxa"/>
        </w:tblCellMar>
        <w:tblLook w:val="01E0"/>
      </w:tblPr>
      <w:tblGrid>
        <w:gridCol w:w="3706"/>
        <w:gridCol w:w="1560"/>
        <w:gridCol w:w="1642"/>
        <w:gridCol w:w="1642"/>
      </w:tblGrid>
      <w:tr>
        <w:trPr>
          <w:trHeight w:val="418" w:hRule="exact"/>
        </w:trPr>
        <w:tc>
          <w:tcPr>
            <w:tcW w:w="370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1"/>
              <w:ind w:left="18"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16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1"/>
              <w:ind w:left="369"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16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1"/>
              <w:ind w:left="370"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406" w:hRule="exact"/>
        </w:trPr>
        <w:tc>
          <w:tcPr>
            <w:tcW w:w="37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45" w:right="0"/>
              <w:jc w:val="left"/>
              <w:rPr>
                <w:rFonts w:ascii="宋体" w:hAnsi="宋体" w:cs="宋体" w:eastAsia="宋体" w:hint="default"/>
                <w:sz w:val="18"/>
                <w:szCs w:val="18"/>
              </w:rPr>
            </w:pPr>
            <w:r>
              <w:rPr>
                <w:rFonts w:ascii="宋体" w:hAnsi="宋体" w:cs="宋体" w:eastAsia="宋体" w:hint="default"/>
                <w:sz w:val="18"/>
                <w:szCs w:val="18"/>
              </w:rPr>
              <w:t>中国远洋海运集团有限公司其他下属子公司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物业费及档案管理</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24"/>
              <w:jc w:val="right"/>
              <w:rPr>
                <w:rFonts w:ascii="Arial" w:hAnsi="Arial" w:cs="Arial" w:eastAsia="Arial" w:hint="default"/>
                <w:sz w:val="18"/>
                <w:szCs w:val="18"/>
              </w:rPr>
            </w:pPr>
            <w:r>
              <w:rPr>
                <w:rFonts w:ascii="Arial"/>
                <w:spacing w:val="-1"/>
                <w:sz w:val="18"/>
              </w:rPr>
              <w:t>2,035,464.17</w:t>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right="26"/>
              <w:jc w:val="right"/>
              <w:rPr>
                <w:rFonts w:ascii="Arial" w:hAnsi="Arial" w:cs="Arial" w:eastAsia="Arial" w:hint="default"/>
                <w:sz w:val="18"/>
                <w:szCs w:val="18"/>
              </w:rPr>
            </w:pPr>
            <w:r>
              <w:rPr>
                <w:rFonts w:ascii="Arial"/>
                <w:spacing w:val="-1"/>
                <w:sz w:val="18"/>
              </w:rPr>
              <w:t>1,615,155.20</w:t>
            </w:r>
          </w:p>
        </w:tc>
      </w:tr>
      <w:tr>
        <w:trPr>
          <w:trHeight w:val="406" w:hRule="exact"/>
        </w:trPr>
        <w:tc>
          <w:tcPr>
            <w:tcW w:w="37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中国远洋海运集团有限公司其他下属子公司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技术服务</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24"/>
              <w:jc w:val="right"/>
              <w:rPr>
                <w:rFonts w:ascii="Arial" w:hAnsi="Arial" w:cs="Arial" w:eastAsia="Arial" w:hint="default"/>
                <w:sz w:val="18"/>
                <w:szCs w:val="18"/>
              </w:rPr>
            </w:pPr>
            <w:r>
              <w:rPr>
                <w:rFonts w:ascii="Arial"/>
                <w:spacing w:val="-1"/>
                <w:sz w:val="18"/>
              </w:rPr>
              <w:t>7,141,628.07</w:t>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right="26"/>
              <w:jc w:val="right"/>
              <w:rPr>
                <w:rFonts w:ascii="Arial" w:hAnsi="Arial" w:cs="Arial" w:eastAsia="Arial" w:hint="default"/>
                <w:sz w:val="18"/>
                <w:szCs w:val="18"/>
              </w:rPr>
            </w:pPr>
            <w:r>
              <w:rPr>
                <w:rFonts w:ascii="Arial"/>
                <w:spacing w:val="-1"/>
                <w:sz w:val="18"/>
              </w:rPr>
              <w:t>9,728,354.50</w:t>
            </w:r>
          </w:p>
        </w:tc>
      </w:tr>
      <w:tr>
        <w:trPr>
          <w:trHeight w:val="406" w:hRule="exact"/>
        </w:trPr>
        <w:tc>
          <w:tcPr>
            <w:tcW w:w="37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中国远洋海运集团有限公司其他下属子公司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系统集成</w:t>
            </w:r>
          </w:p>
        </w:tc>
        <w:tc>
          <w:tcPr>
            <w:tcW w:w="1642" w:type="dxa"/>
            <w:tcBorders>
              <w:top w:val="single" w:sz="2" w:space="0" w:color="000000"/>
              <w:left w:val="single" w:sz="2" w:space="0" w:color="000000"/>
              <w:bottom w:val="single" w:sz="2" w:space="0" w:color="000000"/>
              <w:right w:val="single" w:sz="2" w:space="0" w:color="000000"/>
            </w:tcBorders>
          </w:tcPr>
          <w:p>
            <w:pP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right="25"/>
              <w:jc w:val="right"/>
              <w:rPr>
                <w:rFonts w:ascii="Arial" w:hAnsi="Arial" w:cs="Arial" w:eastAsia="Arial" w:hint="default"/>
                <w:sz w:val="18"/>
                <w:szCs w:val="18"/>
              </w:rPr>
            </w:pPr>
            <w:r>
              <w:rPr>
                <w:rFonts w:ascii="Arial"/>
                <w:spacing w:val="-1"/>
                <w:sz w:val="18"/>
              </w:rPr>
              <w:t>87,467.23</w:t>
            </w:r>
          </w:p>
        </w:tc>
      </w:tr>
      <w:tr>
        <w:trPr>
          <w:trHeight w:val="418" w:hRule="exact"/>
        </w:trPr>
        <w:tc>
          <w:tcPr>
            <w:tcW w:w="370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中国远洋海运集团有限公司其他下属子公司</w:t>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设备采购</w:t>
            </w:r>
          </w:p>
        </w:tc>
        <w:tc>
          <w:tcPr>
            <w:tcW w:w="16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0"/>
              <w:ind w:right="25"/>
              <w:jc w:val="right"/>
              <w:rPr>
                <w:rFonts w:ascii="Arial" w:hAnsi="Arial" w:cs="Arial" w:eastAsia="Arial" w:hint="default"/>
                <w:sz w:val="18"/>
                <w:szCs w:val="18"/>
              </w:rPr>
            </w:pPr>
            <w:r>
              <w:rPr>
                <w:rFonts w:ascii="Arial"/>
                <w:spacing w:val="-1"/>
                <w:sz w:val="18"/>
              </w:rPr>
              <w:t>824,382.72</w:t>
            </w:r>
          </w:p>
        </w:tc>
        <w:tc>
          <w:tcPr>
            <w:tcW w:w="16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0"/>
              <w:ind w:right="28"/>
              <w:jc w:val="right"/>
              <w:rPr>
                <w:rFonts w:ascii="Arial" w:hAnsi="Arial" w:cs="Arial" w:eastAsia="Arial" w:hint="default"/>
                <w:sz w:val="18"/>
                <w:szCs w:val="18"/>
              </w:rPr>
            </w:pPr>
            <w:r>
              <w:rPr>
                <w:rFonts w:ascii="Arial"/>
                <w:spacing w:val="-1"/>
                <w:sz w:val="18"/>
              </w:rPr>
              <w:t>213,197.89</w:t>
            </w:r>
          </w:p>
        </w:tc>
      </w:tr>
    </w:tbl>
    <w:p>
      <w:pPr>
        <w:spacing w:after="0" w:line="240" w:lineRule="auto"/>
        <w:jc w:val="right"/>
        <w:rPr>
          <w:rFonts w:ascii="Arial" w:hAnsi="Arial" w:cs="Arial" w:eastAsia="Arial"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676" w:type="dxa"/>
        <w:tblLayout w:type="fixed"/>
        <w:tblCellMar>
          <w:top w:w="0" w:type="dxa"/>
          <w:left w:w="0" w:type="dxa"/>
          <w:bottom w:w="0" w:type="dxa"/>
          <w:right w:w="0" w:type="dxa"/>
        </w:tblCellMar>
        <w:tblLook w:val="01E0"/>
      </w:tblPr>
      <w:tblGrid>
        <w:gridCol w:w="3706"/>
        <w:gridCol w:w="1560"/>
        <w:gridCol w:w="1642"/>
        <w:gridCol w:w="1642"/>
      </w:tblGrid>
      <w:tr>
        <w:trPr>
          <w:trHeight w:val="418" w:hRule="exact"/>
        </w:trPr>
        <w:tc>
          <w:tcPr>
            <w:tcW w:w="370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1"/>
              <w:ind w:left="18"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16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1"/>
              <w:ind w:left="369"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16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1"/>
              <w:ind w:left="370"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406" w:hRule="exact"/>
        </w:trPr>
        <w:tc>
          <w:tcPr>
            <w:tcW w:w="37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45" w:right="0"/>
              <w:jc w:val="left"/>
              <w:rPr>
                <w:rFonts w:ascii="宋体" w:hAnsi="宋体" w:cs="宋体" w:eastAsia="宋体" w:hint="default"/>
                <w:sz w:val="18"/>
                <w:szCs w:val="18"/>
              </w:rPr>
            </w:pPr>
            <w:r>
              <w:rPr>
                <w:rFonts w:ascii="宋体" w:hAnsi="宋体" w:cs="宋体" w:eastAsia="宋体" w:hint="default"/>
                <w:sz w:val="18"/>
                <w:szCs w:val="18"/>
              </w:rPr>
              <w:t>上海船舶运输科学研究所</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技术服务</w:t>
            </w:r>
          </w:p>
        </w:tc>
        <w:tc>
          <w:tcPr>
            <w:tcW w:w="1642" w:type="dxa"/>
            <w:tcBorders>
              <w:top w:val="single" w:sz="2" w:space="0" w:color="000000"/>
              <w:left w:val="single" w:sz="2" w:space="0" w:color="000000"/>
              <w:bottom w:val="single" w:sz="2" w:space="0" w:color="000000"/>
              <w:right w:val="single" w:sz="2" w:space="0" w:color="000000"/>
            </w:tcBorders>
          </w:tcPr>
          <w:p>
            <w:pP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right="25"/>
              <w:jc w:val="right"/>
              <w:rPr>
                <w:rFonts w:ascii="Arial" w:hAnsi="Arial" w:cs="Arial" w:eastAsia="Arial" w:hint="default"/>
                <w:sz w:val="18"/>
                <w:szCs w:val="18"/>
              </w:rPr>
            </w:pPr>
            <w:r>
              <w:rPr>
                <w:rFonts w:ascii="Arial"/>
                <w:spacing w:val="-1"/>
                <w:sz w:val="18"/>
              </w:rPr>
              <w:t>59,568.10</w:t>
            </w:r>
          </w:p>
        </w:tc>
      </w:tr>
      <w:tr>
        <w:trPr>
          <w:trHeight w:val="406" w:hRule="exact"/>
        </w:trPr>
        <w:tc>
          <w:tcPr>
            <w:tcW w:w="37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上海船舶运输科学研究所下属子公司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技术服务</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24"/>
              <w:jc w:val="right"/>
              <w:rPr>
                <w:rFonts w:ascii="Arial" w:hAnsi="Arial" w:cs="Arial" w:eastAsia="Arial" w:hint="default"/>
                <w:sz w:val="18"/>
                <w:szCs w:val="18"/>
              </w:rPr>
            </w:pPr>
            <w:r>
              <w:rPr>
                <w:rFonts w:ascii="Arial"/>
                <w:spacing w:val="-1"/>
                <w:sz w:val="18"/>
              </w:rPr>
              <w:t>1,958,993.97</w:t>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right="26"/>
              <w:jc w:val="right"/>
              <w:rPr>
                <w:rFonts w:ascii="Arial" w:hAnsi="Arial" w:cs="Arial" w:eastAsia="Arial" w:hint="default"/>
                <w:sz w:val="18"/>
                <w:szCs w:val="18"/>
              </w:rPr>
            </w:pPr>
            <w:r>
              <w:rPr>
                <w:rFonts w:ascii="Arial"/>
                <w:spacing w:val="-1"/>
                <w:sz w:val="18"/>
              </w:rPr>
              <w:t>1,975,595.55</w:t>
            </w:r>
          </w:p>
        </w:tc>
      </w:tr>
      <w:tr>
        <w:trPr>
          <w:trHeight w:val="403" w:hRule="exact"/>
        </w:trPr>
        <w:tc>
          <w:tcPr>
            <w:tcW w:w="37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上海船舶运输科学研究所</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设备采购</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25"/>
              <w:jc w:val="right"/>
              <w:rPr>
                <w:rFonts w:ascii="Arial" w:hAnsi="Arial" w:cs="Arial" w:eastAsia="Arial" w:hint="default"/>
                <w:sz w:val="18"/>
                <w:szCs w:val="18"/>
              </w:rPr>
            </w:pPr>
            <w:r>
              <w:rPr>
                <w:rFonts w:ascii="Arial"/>
                <w:spacing w:val="-1"/>
                <w:sz w:val="18"/>
              </w:rPr>
              <w:t>796,460.18</w:t>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right="28"/>
              <w:jc w:val="right"/>
              <w:rPr>
                <w:rFonts w:ascii="Arial" w:hAnsi="Arial" w:cs="Arial" w:eastAsia="Arial" w:hint="default"/>
                <w:sz w:val="18"/>
                <w:szCs w:val="18"/>
              </w:rPr>
            </w:pPr>
            <w:r>
              <w:rPr>
                <w:rFonts w:ascii="Arial"/>
                <w:spacing w:val="-1"/>
                <w:sz w:val="18"/>
              </w:rPr>
              <w:t>384,615.38</w:t>
            </w:r>
          </w:p>
        </w:tc>
      </w:tr>
      <w:tr>
        <w:trPr>
          <w:trHeight w:val="406" w:hRule="exact"/>
        </w:trPr>
        <w:tc>
          <w:tcPr>
            <w:tcW w:w="37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45" w:right="0"/>
              <w:jc w:val="left"/>
              <w:rPr>
                <w:rFonts w:ascii="宋体" w:hAnsi="宋体" w:cs="宋体" w:eastAsia="宋体" w:hint="default"/>
                <w:sz w:val="18"/>
                <w:szCs w:val="18"/>
              </w:rPr>
            </w:pPr>
            <w:r>
              <w:rPr>
                <w:rFonts w:ascii="宋体" w:hAnsi="宋体" w:cs="宋体" w:eastAsia="宋体" w:hint="default"/>
                <w:sz w:val="18"/>
                <w:szCs w:val="18"/>
              </w:rPr>
              <w:t>上海船舶运输科学研究所下属子公司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设备采购</w:t>
            </w:r>
          </w:p>
        </w:tc>
        <w:tc>
          <w:tcPr>
            <w:tcW w:w="1642" w:type="dxa"/>
            <w:tcBorders>
              <w:top w:val="single" w:sz="2" w:space="0" w:color="000000"/>
              <w:left w:val="single" w:sz="2" w:space="0" w:color="000000"/>
              <w:bottom w:val="single" w:sz="2" w:space="0" w:color="000000"/>
              <w:right w:val="single" w:sz="2" w:space="0" w:color="000000"/>
            </w:tcBorders>
          </w:tcPr>
          <w:p>
            <w:pP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2"/>
              <w:ind w:right="28"/>
              <w:jc w:val="right"/>
              <w:rPr>
                <w:rFonts w:ascii="Arial" w:hAnsi="Arial" w:cs="Arial" w:eastAsia="Arial" w:hint="default"/>
                <w:sz w:val="18"/>
                <w:szCs w:val="18"/>
              </w:rPr>
            </w:pPr>
            <w:r>
              <w:rPr>
                <w:rFonts w:ascii="Arial"/>
                <w:spacing w:val="-1"/>
                <w:sz w:val="18"/>
              </w:rPr>
              <w:t>149,445.70</w:t>
            </w:r>
          </w:p>
        </w:tc>
      </w:tr>
      <w:tr>
        <w:trPr>
          <w:trHeight w:val="406" w:hRule="exact"/>
        </w:trPr>
        <w:tc>
          <w:tcPr>
            <w:tcW w:w="37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45" w:right="0"/>
              <w:jc w:val="left"/>
              <w:rPr>
                <w:rFonts w:ascii="宋体" w:hAnsi="宋体" w:cs="宋体" w:eastAsia="宋体" w:hint="default"/>
                <w:sz w:val="18"/>
                <w:szCs w:val="18"/>
              </w:rPr>
            </w:pPr>
            <w:r>
              <w:rPr>
                <w:rFonts w:ascii="宋体" w:hAnsi="宋体" w:cs="宋体" w:eastAsia="宋体" w:hint="default"/>
                <w:sz w:val="18"/>
                <w:szCs w:val="18"/>
              </w:rPr>
              <w:t>上海船舶运输科学研究所下属子公司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left="1" w:right="0"/>
              <w:jc w:val="center"/>
              <w:rPr>
                <w:rFonts w:ascii="宋体" w:hAnsi="宋体" w:cs="宋体" w:eastAsia="宋体" w:hint="default"/>
                <w:sz w:val="18"/>
                <w:szCs w:val="18"/>
              </w:rPr>
            </w:pPr>
            <w:r>
              <w:rPr>
                <w:rFonts w:ascii="宋体" w:hAnsi="宋体" w:cs="宋体" w:eastAsia="宋体" w:hint="default"/>
                <w:sz w:val="18"/>
                <w:szCs w:val="18"/>
              </w:rPr>
              <w:t>物业费及停车费</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25"/>
              <w:jc w:val="right"/>
              <w:rPr>
                <w:rFonts w:ascii="Arial" w:hAnsi="Arial" w:cs="Arial" w:eastAsia="Arial" w:hint="default"/>
                <w:sz w:val="18"/>
                <w:szCs w:val="18"/>
              </w:rPr>
            </w:pPr>
            <w:r>
              <w:rPr>
                <w:rFonts w:ascii="Arial"/>
                <w:spacing w:val="-1"/>
                <w:sz w:val="18"/>
              </w:rPr>
              <w:t>651,205.05</w:t>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right="28"/>
              <w:jc w:val="right"/>
              <w:rPr>
                <w:rFonts w:ascii="Arial" w:hAnsi="Arial" w:cs="Arial" w:eastAsia="Arial" w:hint="default"/>
                <w:sz w:val="18"/>
                <w:szCs w:val="18"/>
              </w:rPr>
            </w:pPr>
            <w:r>
              <w:rPr>
                <w:rFonts w:ascii="Arial"/>
                <w:spacing w:val="-1"/>
                <w:sz w:val="18"/>
              </w:rPr>
              <w:t>582,100.02</w:t>
            </w:r>
          </w:p>
        </w:tc>
      </w:tr>
      <w:tr>
        <w:trPr>
          <w:trHeight w:val="406" w:hRule="exact"/>
        </w:trPr>
        <w:tc>
          <w:tcPr>
            <w:tcW w:w="37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上海华东电脑股份有限公司及其下属子公司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设备采购</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23"/>
              <w:jc w:val="right"/>
              <w:rPr>
                <w:rFonts w:ascii="Arial" w:hAnsi="Arial" w:cs="Arial" w:eastAsia="Arial" w:hint="default"/>
                <w:sz w:val="18"/>
                <w:szCs w:val="18"/>
              </w:rPr>
            </w:pPr>
            <w:r>
              <w:rPr>
                <w:rFonts w:ascii="Arial"/>
                <w:spacing w:val="-1"/>
                <w:sz w:val="18"/>
              </w:rPr>
              <w:t>14,091,176.14</w:t>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right="26"/>
              <w:jc w:val="right"/>
              <w:rPr>
                <w:rFonts w:ascii="Arial" w:hAnsi="Arial" w:cs="Arial" w:eastAsia="Arial" w:hint="default"/>
                <w:sz w:val="18"/>
                <w:szCs w:val="18"/>
              </w:rPr>
            </w:pPr>
            <w:r>
              <w:rPr>
                <w:rFonts w:ascii="Arial"/>
                <w:spacing w:val="-1"/>
                <w:sz w:val="18"/>
              </w:rPr>
              <w:t>5,684,891.89</w:t>
            </w:r>
          </w:p>
        </w:tc>
      </w:tr>
      <w:tr>
        <w:trPr>
          <w:trHeight w:val="403" w:hRule="exact"/>
        </w:trPr>
        <w:tc>
          <w:tcPr>
            <w:tcW w:w="37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上海华东电脑股份有限公司及其下属子公司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技术服务</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23"/>
              <w:jc w:val="right"/>
              <w:rPr>
                <w:rFonts w:ascii="Arial" w:hAnsi="Arial" w:cs="Arial" w:eastAsia="Arial" w:hint="default"/>
                <w:sz w:val="18"/>
                <w:szCs w:val="18"/>
              </w:rPr>
            </w:pPr>
            <w:r>
              <w:rPr>
                <w:rFonts w:ascii="Arial"/>
                <w:spacing w:val="-1"/>
                <w:sz w:val="18"/>
              </w:rPr>
              <w:t>70,754.72</w:t>
            </w:r>
          </w:p>
        </w:tc>
        <w:tc>
          <w:tcPr>
            <w:tcW w:w="1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right="27"/>
              <w:jc w:val="right"/>
              <w:rPr>
                <w:rFonts w:ascii="Arial" w:hAnsi="Arial" w:cs="Arial" w:eastAsia="Arial" w:hint="default"/>
                <w:sz w:val="18"/>
                <w:szCs w:val="18"/>
              </w:rPr>
            </w:pPr>
            <w:r>
              <w:rPr>
                <w:rFonts w:ascii="Arial"/>
                <w:spacing w:val="-1"/>
                <w:sz w:val="18"/>
              </w:rPr>
              <w:t>161,509.43</w:t>
            </w:r>
          </w:p>
        </w:tc>
      </w:tr>
      <w:tr>
        <w:trPr>
          <w:trHeight w:val="406" w:hRule="exact"/>
        </w:trPr>
        <w:tc>
          <w:tcPr>
            <w:tcW w:w="37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45" w:right="0"/>
              <w:jc w:val="left"/>
              <w:rPr>
                <w:rFonts w:ascii="宋体" w:hAnsi="宋体" w:cs="宋体" w:eastAsia="宋体" w:hint="default"/>
                <w:sz w:val="18"/>
                <w:szCs w:val="18"/>
              </w:rPr>
            </w:pPr>
            <w:r>
              <w:rPr>
                <w:rFonts w:ascii="宋体" w:hAnsi="宋体" w:cs="宋体" w:eastAsia="宋体" w:hint="default"/>
                <w:sz w:val="18"/>
                <w:szCs w:val="18"/>
              </w:rPr>
              <w:t>宁夏交投科技发展有限公司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设备采购</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3"/>
              <w:ind w:right="23"/>
              <w:jc w:val="right"/>
              <w:rPr>
                <w:rFonts w:ascii="Arial" w:hAnsi="Arial" w:cs="Arial" w:eastAsia="Arial" w:hint="default"/>
                <w:sz w:val="18"/>
                <w:szCs w:val="18"/>
              </w:rPr>
            </w:pPr>
            <w:r>
              <w:rPr>
                <w:rFonts w:ascii="Arial"/>
                <w:spacing w:val="-1"/>
                <w:sz w:val="18"/>
              </w:rPr>
              <w:t>22,030,213.16</w:t>
            </w:r>
          </w:p>
        </w:tc>
        <w:tc>
          <w:tcPr>
            <w:tcW w:w="1642" w:type="dxa"/>
            <w:tcBorders>
              <w:top w:val="single" w:sz="2" w:space="0" w:color="000000"/>
              <w:left w:val="single" w:sz="2" w:space="0" w:color="000000"/>
              <w:bottom w:val="single" w:sz="2" w:space="0" w:color="000000"/>
              <w:right w:val="nil" w:sz="6" w:space="0" w:color="auto"/>
            </w:tcBorders>
          </w:tcPr>
          <w:p>
            <w:pPr/>
          </w:p>
        </w:tc>
      </w:tr>
      <w:tr>
        <w:trPr>
          <w:trHeight w:val="418" w:hRule="exact"/>
        </w:trPr>
        <w:tc>
          <w:tcPr>
            <w:tcW w:w="370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9"/>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2" w:space="0" w:color="000000"/>
              <w:left w:val="single" w:sz="2" w:space="0" w:color="000000"/>
              <w:bottom w:val="single" w:sz="12" w:space="0" w:color="000000"/>
              <w:right w:val="single" w:sz="2" w:space="0" w:color="000000"/>
            </w:tcBorders>
          </w:tcPr>
          <w:p>
            <w:pPr/>
          </w:p>
        </w:tc>
        <w:tc>
          <w:tcPr>
            <w:tcW w:w="16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0"/>
              <w:ind w:right="23"/>
              <w:jc w:val="right"/>
              <w:rPr>
                <w:rFonts w:ascii="Arial" w:hAnsi="Arial" w:cs="Arial" w:eastAsia="Arial" w:hint="default"/>
                <w:sz w:val="18"/>
                <w:szCs w:val="18"/>
              </w:rPr>
            </w:pPr>
            <w:r>
              <w:rPr>
                <w:rFonts w:ascii="Arial"/>
                <w:spacing w:val="-1"/>
                <w:sz w:val="18"/>
              </w:rPr>
              <w:t>49,600,278.18</w:t>
            </w:r>
          </w:p>
        </w:tc>
        <w:tc>
          <w:tcPr>
            <w:tcW w:w="16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0"/>
              <w:ind w:right="26"/>
              <w:jc w:val="right"/>
              <w:rPr>
                <w:rFonts w:ascii="Arial" w:hAnsi="Arial" w:cs="Arial" w:eastAsia="Arial" w:hint="default"/>
                <w:sz w:val="18"/>
                <w:szCs w:val="18"/>
              </w:rPr>
            </w:pPr>
            <w:r>
              <w:rPr>
                <w:rFonts w:ascii="Arial"/>
                <w:spacing w:val="-1"/>
                <w:sz w:val="18"/>
              </w:rPr>
              <w:t>20,641,900.89</w:t>
            </w:r>
          </w:p>
        </w:tc>
      </w:tr>
    </w:tbl>
    <w:p>
      <w:pPr>
        <w:spacing w:line="240" w:lineRule="auto" w:before="5"/>
        <w:rPr>
          <w:rFonts w:ascii="宋体" w:hAnsi="宋体" w:cs="宋体" w:eastAsia="宋体" w:hint="default"/>
          <w:sz w:val="5"/>
          <w:szCs w:val="5"/>
        </w:rPr>
      </w:pPr>
    </w:p>
    <w:p>
      <w:pPr>
        <w:pStyle w:val="BodyText"/>
        <w:spacing w:line="240" w:lineRule="auto" w:before="32"/>
        <w:ind w:left="592" w:right="1133"/>
        <w:jc w:val="left"/>
      </w:pPr>
      <w:r>
        <w:rPr/>
        <w:t>②销售商品</w:t>
      </w:r>
      <w:r>
        <w:rPr>
          <w:rFonts w:ascii="Arial" w:hAnsi="Arial" w:cs="Arial" w:eastAsia="Arial" w:hint="default"/>
        </w:rPr>
        <w:t>/</w:t>
      </w:r>
      <w:r>
        <w:rPr/>
        <w:t>提供劳务</w:t>
      </w:r>
    </w:p>
    <w:p>
      <w:pPr>
        <w:spacing w:line="240" w:lineRule="auto" w:before="8"/>
        <w:rPr>
          <w:rFonts w:ascii="宋体" w:hAnsi="宋体" w:cs="宋体" w:eastAsia="宋体" w:hint="default"/>
          <w:sz w:val="5"/>
          <w:szCs w:val="5"/>
        </w:rPr>
      </w:pPr>
    </w:p>
    <w:tbl>
      <w:tblPr>
        <w:tblW w:w="0" w:type="auto"/>
        <w:jc w:val="left"/>
        <w:tblInd w:w="659" w:type="dxa"/>
        <w:tblLayout w:type="fixed"/>
        <w:tblCellMar>
          <w:top w:w="0" w:type="dxa"/>
          <w:left w:w="0" w:type="dxa"/>
          <w:bottom w:w="0" w:type="dxa"/>
          <w:right w:w="0" w:type="dxa"/>
        </w:tblCellMar>
        <w:tblLook w:val="01E0"/>
      </w:tblPr>
      <w:tblGrid>
        <w:gridCol w:w="4143"/>
        <w:gridCol w:w="1289"/>
        <w:gridCol w:w="1560"/>
        <w:gridCol w:w="1592"/>
      </w:tblGrid>
      <w:tr>
        <w:trPr>
          <w:trHeight w:val="499" w:hRule="exact"/>
        </w:trPr>
        <w:tc>
          <w:tcPr>
            <w:tcW w:w="414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2"/>
              <w:ind w:left="18"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28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left="1" w:right="0"/>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left="328"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159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left="343"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485" w:hRule="exact"/>
        </w:trPr>
        <w:tc>
          <w:tcPr>
            <w:tcW w:w="41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45" w:right="0"/>
              <w:jc w:val="left"/>
              <w:rPr>
                <w:rFonts w:ascii="宋体" w:hAnsi="宋体" w:cs="宋体" w:eastAsia="宋体" w:hint="default"/>
                <w:sz w:val="18"/>
                <w:szCs w:val="18"/>
              </w:rPr>
            </w:pPr>
            <w:r>
              <w:rPr>
                <w:rFonts w:ascii="宋体" w:hAnsi="宋体" w:cs="宋体" w:eastAsia="宋体" w:hint="default"/>
                <w:sz w:val="18"/>
                <w:szCs w:val="18"/>
              </w:rPr>
              <w:t>中国远洋海运集团有限公司</w:t>
            </w:r>
          </w:p>
        </w:tc>
        <w:tc>
          <w:tcPr>
            <w:tcW w:w="12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1" w:right="0"/>
              <w:jc w:val="center"/>
              <w:rPr>
                <w:rFonts w:ascii="宋体" w:hAnsi="宋体" w:cs="宋体" w:eastAsia="宋体" w:hint="default"/>
                <w:sz w:val="18"/>
                <w:szCs w:val="18"/>
              </w:rPr>
            </w:pPr>
            <w:r>
              <w:rPr>
                <w:rFonts w:ascii="宋体" w:hAnsi="宋体" w:cs="宋体" w:eastAsia="宋体" w:hint="default"/>
                <w:sz w:val="18"/>
                <w:szCs w:val="18"/>
              </w:rPr>
              <w:t>技术服务</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3"/>
              <w:jc w:val="right"/>
              <w:rPr>
                <w:rFonts w:ascii="Arial" w:hAnsi="Arial" w:cs="Arial" w:eastAsia="Arial" w:hint="default"/>
                <w:sz w:val="18"/>
                <w:szCs w:val="18"/>
              </w:rPr>
            </w:pPr>
            <w:r>
              <w:rPr>
                <w:rFonts w:ascii="Arial"/>
                <w:spacing w:val="-2"/>
                <w:sz w:val="18"/>
              </w:rPr>
              <w:t>119,500,197.06</w:t>
            </w:r>
          </w:p>
        </w:tc>
        <w:tc>
          <w:tcPr>
            <w:tcW w:w="15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6"/>
              <w:jc w:val="right"/>
              <w:rPr>
                <w:rFonts w:ascii="Arial" w:hAnsi="Arial" w:cs="Arial" w:eastAsia="Arial" w:hint="default"/>
                <w:sz w:val="18"/>
                <w:szCs w:val="18"/>
              </w:rPr>
            </w:pPr>
            <w:r>
              <w:rPr>
                <w:rFonts w:ascii="Arial"/>
                <w:spacing w:val="-1"/>
                <w:sz w:val="18"/>
              </w:rPr>
              <w:t>99,285,071.13</w:t>
            </w:r>
          </w:p>
        </w:tc>
      </w:tr>
      <w:tr>
        <w:trPr>
          <w:trHeight w:val="485" w:hRule="exact"/>
        </w:trPr>
        <w:tc>
          <w:tcPr>
            <w:tcW w:w="41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45" w:right="0"/>
              <w:jc w:val="left"/>
              <w:rPr>
                <w:rFonts w:ascii="宋体" w:hAnsi="宋体" w:cs="宋体" w:eastAsia="宋体" w:hint="default"/>
                <w:sz w:val="18"/>
                <w:szCs w:val="18"/>
              </w:rPr>
            </w:pPr>
            <w:r>
              <w:rPr>
                <w:rFonts w:ascii="宋体" w:hAnsi="宋体" w:cs="宋体" w:eastAsia="宋体" w:hint="default"/>
                <w:sz w:val="18"/>
                <w:szCs w:val="18"/>
              </w:rPr>
              <w:t>中国远洋海运集团有限公司</w:t>
            </w:r>
          </w:p>
        </w:tc>
        <w:tc>
          <w:tcPr>
            <w:tcW w:w="12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1" w:right="0"/>
              <w:jc w:val="center"/>
              <w:rPr>
                <w:rFonts w:ascii="宋体" w:hAnsi="宋体" w:cs="宋体" w:eastAsia="宋体" w:hint="default"/>
                <w:sz w:val="18"/>
                <w:szCs w:val="18"/>
              </w:rPr>
            </w:pPr>
            <w:r>
              <w:rPr>
                <w:rFonts w:ascii="宋体" w:hAnsi="宋体" w:cs="宋体" w:eastAsia="宋体" w:hint="default"/>
                <w:sz w:val="18"/>
                <w:szCs w:val="18"/>
              </w:rPr>
              <w:t>产品销售</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6"/>
              <w:jc w:val="right"/>
              <w:rPr>
                <w:rFonts w:ascii="Arial" w:hAnsi="Arial" w:cs="Arial" w:eastAsia="Arial" w:hint="default"/>
                <w:sz w:val="18"/>
                <w:szCs w:val="18"/>
              </w:rPr>
            </w:pPr>
            <w:r>
              <w:rPr>
                <w:rFonts w:ascii="Arial"/>
                <w:spacing w:val="-2"/>
                <w:sz w:val="18"/>
              </w:rPr>
              <w:t>1,028,114.37</w:t>
            </w:r>
          </w:p>
        </w:tc>
        <w:tc>
          <w:tcPr>
            <w:tcW w:w="15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8"/>
              <w:jc w:val="right"/>
              <w:rPr>
                <w:rFonts w:ascii="Arial" w:hAnsi="Arial" w:cs="Arial" w:eastAsia="Arial" w:hint="default"/>
                <w:sz w:val="18"/>
                <w:szCs w:val="18"/>
              </w:rPr>
            </w:pPr>
            <w:r>
              <w:rPr>
                <w:rFonts w:ascii="Arial"/>
                <w:spacing w:val="-1"/>
                <w:sz w:val="18"/>
              </w:rPr>
              <w:t>894,747.45</w:t>
            </w:r>
          </w:p>
        </w:tc>
      </w:tr>
      <w:tr>
        <w:trPr>
          <w:trHeight w:val="485" w:hRule="exact"/>
        </w:trPr>
        <w:tc>
          <w:tcPr>
            <w:tcW w:w="41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45" w:right="0"/>
              <w:jc w:val="left"/>
              <w:rPr>
                <w:rFonts w:ascii="宋体" w:hAnsi="宋体" w:cs="宋体" w:eastAsia="宋体" w:hint="default"/>
                <w:sz w:val="18"/>
                <w:szCs w:val="18"/>
              </w:rPr>
            </w:pPr>
            <w:r>
              <w:rPr>
                <w:rFonts w:ascii="宋体" w:hAnsi="宋体" w:cs="宋体" w:eastAsia="宋体" w:hint="default"/>
                <w:sz w:val="18"/>
                <w:szCs w:val="18"/>
              </w:rPr>
              <w:t>中国远洋海运集团有限公司其他下属子公司</w:t>
            </w:r>
          </w:p>
        </w:tc>
        <w:tc>
          <w:tcPr>
            <w:tcW w:w="12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1" w:right="0"/>
              <w:jc w:val="center"/>
              <w:rPr>
                <w:rFonts w:ascii="宋体" w:hAnsi="宋体" w:cs="宋体" w:eastAsia="宋体" w:hint="default"/>
                <w:sz w:val="18"/>
                <w:szCs w:val="18"/>
              </w:rPr>
            </w:pPr>
            <w:r>
              <w:rPr>
                <w:rFonts w:ascii="宋体" w:hAnsi="宋体" w:cs="宋体" w:eastAsia="宋体" w:hint="default"/>
                <w:sz w:val="18"/>
                <w:szCs w:val="18"/>
              </w:rPr>
              <w:t>技术服务</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6"/>
              <w:jc w:val="right"/>
              <w:rPr>
                <w:rFonts w:ascii="Arial" w:hAnsi="Arial" w:cs="Arial" w:eastAsia="Arial" w:hint="default"/>
                <w:sz w:val="18"/>
                <w:szCs w:val="18"/>
              </w:rPr>
            </w:pPr>
            <w:r>
              <w:rPr>
                <w:rFonts w:ascii="Arial"/>
                <w:spacing w:val="-1"/>
                <w:sz w:val="18"/>
              </w:rPr>
              <w:t>227,237,677.67</w:t>
            </w:r>
          </w:p>
        </w:tc>
        <w:tc>
          <w:tcPr>
            <w:tcW w:w="15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8"/>
              <w:jc w:val="right"/>
              <w:rPr>
                <w:rFonts w:ascii="Arial" w:hAnsi="Arial" w:cs="Arial" w:eastAsia="Arial" w:hint="default"/>
                <w:sz w:val="18"/>
                <w:szCs w:val="18"/>
              </w:rPr>
            </w:pPr>
            <w:r>
              <w:rPr>
                <w:rFonts w:ascii="Arial"/>
                <w:spacing w:val="-1"/>
                <w:sz w:val="18"/>
              </w:rPr>
              <w:t>175,406,629.55</w:t>
            </w:r>
          </w:p>
        </w:tc>
      </w:tr>
      <w:tr>
        <w:trPr>
          <w:trHeight w:val="485" w:hRule="exact"/>
        </w:trPr>
        <w:tc>
          <w:tcPr>
            <w:tcW w:w="41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0"/>
              <w:ind w:left="45" w:right="0"/>
              <w:jc w:val="left"/>
              <w:rPr>
                <w:rFonts w:ascii="宋体" w:hAnsi="宋体" w:cs="宋体" w:eastAsia="宋体" w:hint="default"/>
                <w:sz w:val="18"/>
                <w:szCs w:val="18"/>
              </w:rPr>
            </w:pPr>
            <w:r>
              <w:rPr>
                <w:rFonts w:ascii="宋体" w:hAnsi="宋体" w:cs="宋体" w:eastAsia="宋体" w:hint="default"/>
                <w:sz w:val="18"/>
                <w:szCs w:val="18"/>
              </w:rPr>
              <w:t>中国远洋海运集团有限公司其他下属子公司</w:t>
            </w:r>
          </w:p>
        </w:tc>
        <w:tc>
          <w:tcPr>
            <w:tcW w:w="12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left="1" w:right="0"/>
              <w:jc w:val="center"/>
              <w:rPr>
                <w:rFonts w:ascii="宋体" w:hAnsi="宋体" w:cs="宋体" w:eastAsia="宋体" w:hint="default"/>
                <w:sz w:val="18"/>
                <w:szCs w:val="18"/>
              </w:rPr>
            </w:pPr>
            <w:r>
              <w:rPr>
                <w:rFonts w:ascii="宋体" w:hAnsi="宋体" w:cs="宋体" w:eastAsia="宋体" w:hint="default"/>
                <w:sz w:val="18"/>
                <w:szCs w:val="18"/>
              </w:rPr>
              <w:t>产品销售</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4"/>
              <w:jc w:val="right"/>
              <w:rPr>
                <w:rFonts w:ascii="Arial" w:hAnsi="Arial" w:cs="Arial" w:eastAsia="Arial" w:hint="default"/>
                <w:sz w:val="18"/>
                <w:szCs w:val="18"/>
              </w:rPr>
            </w:pPr>
            <w:r>
              <w:rPr>
                <w:rFonts w:ascii="Arial"/>
                <w:spacing w:val="-1"/>
                <w:sz w:val="18"/>
              </w:rPr>
              <w:t>9,595,369.76</w:t>
            </w:r>
          </w:p>
        </w:tc>
        <w:tc>
          <w:tcPr>
            <w:tcW w:w="15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6"/>
              <w:jc w:val="right"/>
              <w:rPr>
                <w:rFonts w:ascii="Arial" w:hAnsi="Arial" w:cs="Arial" w:eastAsia="Arial" w:hint="default"/>
                <w:sz w:val="18"/>
                <w:szCs w:val="18"/>
              </w:rPr>
            </w:pPr>
            <w:r>
              <w:rPr>
                <w:rFonts w:ascii="Arial"/>
                <w:spacing w:val="-1"/>
                <w:sz w:val="18"/>
              </w:rPr>
              <w:t>14,062,740.21</w:t>
            </w:r>
          </w:p>
        </w:tc>
      </w:tr>
      <w:tr>
        <w:trPr>
          <w:trHeight w:val="485" w:hRule="exact"/>
        </w:trPr>
        <w:tc>
          <w:tcPr>
            <w:tcW w:w="41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45" w:right="0"/>
              <w:jc w:val="left"/>
              <w:rPr>
                <w:rFonts w:ascii="宋体" w:hAnsi="宋体" w:cs="宋体" w:eastAsia="宋体" w:hint="default"/>
                <w:sz w:val="18"/>
                <w:szCs w:val="18"/>
              </w:rPr>
            </w:pPr>
            <w:r>
              <w:rPr>
                <w:rFonts w:ascii="宋体" w:hAnsi="宋体" w:cs="宋体" w:eastAsia="宋体" w:hint="default"/>
                <w:sz w:val="18"/>
                <w:szCs w:val="18"/>
              </w:rPr>
              <w:t>上海船舶运输科学研究所</w:t>
            </w:r>
          </w:p>
        </w:tc>
        <w:tc>
          <w:tcPr>
            <w:tcW w:w="12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1" w:right="0"/>
              <w:jc w:val="center"/>
              <w:rPr>
                <w:rFonts w:ascii="宋体" w:hAnsi="宋体" w:cs="宋体" w:eastAsia="宋体" w:hint="default"/>
                <w:sz w:val="18"/>
                <w:szCs w:val="18"/>
              </w:rPr>
            </w:pPr>
            <w:r>
              <w:rPr>
                <w:rFonts w:ascii="宋体" w:hAnsi="宋体" w:cs="宋体" w:eastAsia="宋体" w:hint="default"/>
                <w:sz w:val="18"/>
                <w:szCs w:val="18"/>
              </w:rPr>
              <w:t>技术服务</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5"/>
              <w:jc w:val="right"/>
              <w:rPr>
                <w:rFonts w:ascii="Arial" w:hAnsi="Arial" w:cs="Arial" w:eastAsia="Arial" w:hint="default"/>
                <w:sz w:val="18"/>
                <w:szCs w:val="18"/>
              </w:rPr>
            </w:pPr>
            <w:r>
              <w:rPr>
                <w:rFonts w:ascii="Arial"/>
                <w:spacing w:val="-1"/>
                <w:sz w:val="18"/>
              </w:rPr>
              <w:t>129,141.37</w:t>
            </w:r>
          </w:p>
        </w:tc>
        <w:tc>
          <w:tcPr>
            <w:tcW w:w="15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6"/>
              <w:jc w:val="right"/>
              <w:rPr>
                <w:rFonts w:ascii="Arial" w:hAnsi="Arial" w:cs="Arial" w:eastAsia="Arial" w:hint="default"/>
                <w:sz w:val="18"/>
                <w:szCs w:val="18"/>
              </w:rPr>
            </w:pPr>
            <w:r>
              <w:rPr>
                <w:rFonts w:ascii="Arial"/>
                <w:spacing w:val="-1"/>
                <w:sz w:val="18"/>
              </w:rPr>
              <w:t>1,402,292.78</w:t>
            </w:r>
          </w:p>
        </w:tc>
      </w:tr>
      <w:tr>
        <w:trPr>
          <w:trHeight w:val="485" w:hRule="exact"/>
        </w:trPr>
        <w:tc>
          <w:tcPr>
            <w:tcW w:w="41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45" w:right="0"/>
              <w:jc w:val="left"/>
              <w:rPr>
                <w:rFonts w:ascii="宋体" w:hAnsi="宋体" w:cs="宋体" w:eastAsia="宋体" w:hint="default"/>
                <w:sz w:val="18"/>
                <w:szCs w:val="18"/>
              </w:rPr>
            </w:pPr>
            <w:r>
              <w:rPr>
                <w:rFonts w:ascii="宋体" w:hAnsi="宋体" w:cs="宋体" w:eastAsia="宋体" w:hint="default"/>
                <w:sz w:val="18"/>
                <w:szCs w:val="18"/>
              </w:rPr>
              <w:t>上海船舶运输科学研究所</w:t>
            </w:r>
          </w:p>
        </w:tc>
        <w:tc>
          <w:tcPr>
            <w:tcW w:w="12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1" w:right="0"/>
              <w:jc w:val="center"/>
              <w:rPr>
                <w:rFonts w:ascii="宋体" w:hAnsi="宋体" w:cs="宋体" w:eastAsia="宋体" w:hint="default"/>
                <w:sz w:val="18"/>
                <w:szCs w:val="18"/>
              </w:rPr>
            </w:pPr>
            <w:r>
              <w:rPr>
                <w:rFonts w:ascii="宋体" w:hAnsi="宋体" w:cs="宋体" w:eastAsia="宋体" w:hint="default"/>
                <w:sz w:val="18"/>
                <w:szCs w:val="18"/>
              </w:rPr>
              <w:t>产品销售</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4"/>
              <w:jc w:val="right"/>
              <w:rPr>
                <w:rFonts w:ascii="Arial" w:hAnsi="Arial" w:cs="Arial" w:eastAsia="Arial" w:hint="default"/>
                <w:sz w:val="18"/>
                <w:szCs w:val="18"/>
              </w:rPr>
            </w:pPr>
            <w:r>
              <w:rPr>
                <w:rFonts w:ascii="Arial"/>
                <w:spacing w:val="-1"/>
                <w:sz w:val="18"/>
              </w:rPr>
              <w:t>2,210,408.93</w:t>
            </w:r>
          </w:p>
        </w:tc>
        <w:tc>
          <w:tcPr>
            <w:tcW w:w="15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8"/>
              <w:jc w:val="right"/>
              <w:rPr>
                <w:rFonts w:ascii="Arial" w:hAnsi="Arial" w:cs="Arial" w:eastAsia="Arial" w:hint="default"/>
                <w:sz w:val="18"/>
                <w:szCs w:val="18"/>
              </w:rPr>
            </w:pPr>
            <w:r>
              <w:rPr>
                <w:rFonts w:ascii="Arial"/>
                <w:spacing w:val="-1"/>
                <w:sz w:val="18"/>
              </w:rPr>
              <w:t>888,852.13</w:t>
            </w:r>
          </w:p>
        </w:tc>
      </w:tr>
      <w:tr>
        <w:trPr>
          <w:trHeight w:val="487" w:hRule="exact"/>
        </w:trPr>
        <w:tc>
          <w:tcPr>
            <w:tcW w:w="41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2"/>
              <w:ind w:left="45" w:right="0"/>
              <w:jc w:val="left"/>
              <w:rPr>
                <w:rFonts w:ascii="宋体" w:hAnsi="宋体" w:cs="宋体" w:eastAsia="宋体" w:hint="default"/>
                <w:sz w:val="18"/>
                <w:szCs w:val="18"/>
              </w:rPr>
            </w:pPr>
            <w:r>
              <w:rPr>
                <w:rFonts w:ascii="宋体" w:hAnsi="宋体" w:cs="宋体" w:eastAsia="宋体" w:hint="default"/>
                <w:sz w:val="18"/>
                <w:szCs w:val="18"/>
              </w:rPr>
              <w:t>上海船舶运输科学研究所下属子公司</w:t>
            </w:r>
          </w:p>
        </w:tc>
        <w:tc>
          <w:tcPr>
            <w:tcW w:w="12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2"/>
              <w:ind w:left="1" w:right="0"/>
              <w:jc w:val="center"/>
              <w:rPr>
                <w:rFonts w:ascii="宋体" w:hAnsi="宋体" w:cs="宋体" w:eastAsia="宋体" w:hint="default"/>
                <w:sz w:val="18"/>
                <w:szCs w:val="18"/>
              </w:rPr>
            </w:pPr>
            <w:r>
              <w:rPr>
                <w:rFonts w:ascii="宋体" w:hAnsi="宋体" w:cs="宋体" w:eastAsia="宋体" w:hint="default"/>
                <w:sz w:val="18"/>
                <w:szCs w:val="18"/>
              </w:rPr>
              <w:t>技术服务</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4"/>
              <w:jc w:val="right"/>
              <w:rPr>
                <w:rFonts w:ascii="Arial" w:hAnsi="Arial" w:cs="Arial" w:eastAsia="Arial" w:hint="default"/>
                <w:sz w:val="18"/>
                <w:szCs w:val="18"/>
              </w:rPr>
            </w:pPr>
            <w:r>
              <w:rPr>
                <w:rFonts w:ascii="Arial"/>
                <w:spacing w:val="-1"/>
                <w:sz w:val="18"/>
              </w:rPr>
              <w:t>1,183,788.54</w:t>
            </w:r>
          </w:p>
        </w:tc>
        <w:tc>
          <w:tcPr>
            <w:tcW w:w="15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8"/>
              <w:jc w:val="right"/>
              <w:rPr>
                <w:rFonts w:ascii="Arial" w:hAnsi="Arial" w:cs="Arial" w:eastAsia="Arial" w:hint="default"/>
                <w:sz w:val="18"/>
                <w:szCs w:val="18"/>
              </w:rPr>
            </w:pPr>
            <w:r>
              <w:rPr>
                <w:rFonts w:ascii="Arial"/>
                <w:spacing w:val="-1"/>
                <w:sz w:val="18"/>
              </w:rPr>
              <w:t>923,395.95</w:t>
            </w:r>
          </w:p>
        </w:tc>
      </w:tr>
      <w:tr>
        <w:trPr>
          <w:trHeight w:val="485" w:hRule="exact"/>
        </w:trPr>
        <w:tc>
          <w:tcPr>
            <w:tcW w:w="41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45" w:right="0"/>
              <w:jc w:val="left"/>
              <w:rPr>
                <w:rFonts w:ascii="宋体" w:hAnsi="宋体" w:cs="宋体" w:eastAsia="宋体" w:hint="default"/>
                <w:sz w:val="18"/>
                <w:szCs w:val="18"/>
              </w:rPr>
            </w:pPr>
            <w:r>
              <w:rPr>
                <w:rFonts w:ascii="宋体" w:hAnsi="宋体" w:cs="宋体" w:eastAsia="宋体" w:hint="default"/>
                <w:sz w:val="18"/>
                <w:szCs w:val="18"/>
              </w:rPr>
              <w:t>上海船舶运输科学研究所下属子公司</w:t>
            </w:r>
          </w:p>
        </w:tc>
        <w:tc>
          <w:tcPr>
            <w:tcW w:w="12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1" w:right="0"/>
              <w:jc w:val="center"/>
              <w:rPr>
                <w:rFonts w:ascii="宋体" w:hAnsi="宋体" w:cs="宋体" w:eastAsia="宋体" w:hint="default"/>
                <w:sz w:val="18"/>
                <w:szCs w:val="18"/>
              </w:rPr>
            </w:pPr>
            <w:r>
              <w:rPr>
                <w:rFonts w:ascii="宋体" w:hAnsi="宋体" w:cs="宋体" w:eastAsia="宋体" w:hint="default"/>
                <w:sz w:val="18"/>
                <w:szCs w:val="18"/>
              </w:rPr>
              <w:t>产品销售</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3"/>
              <w:jc w:val="right"/>
              <w:rPr>
                <w:rFonts w:ascii="Arial" w:hAnsi="Arial" w:cs="Arial" w:eastAsia="Arial" w:hint="default"/>
                <w:sz w:val="18"/>
                <w:szCs w:val="18"/>
              </w:rPr>
            </w:pPr>
            <w:r>
              <w:rPr>
                <w:rFonts w:ascii="Arial"/>
                <w:spacing w:val="-1"/>
                <w:sz w:val="18"/>
              </w:rPr>
              <w:t>4,565.49</w:t>
            </w:r>
          </w:p>
        </w:tc>
        <w:tc>
          <w:tcPr>
            <w:tcW w:w="15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5"/>
              <w:jc w:val="right"/>
              <w:rPr>
                <w:rFonts w:ascii="Arial" w:hAnsi="Arial" w:cs="Arial" w:eastAsia="Arial" w:hint="default"/>
                <w:sz w:val="18"/>
                <w:szCs w:val="18"/>
              </w:rPr>
            </w:pPr>
            <w:r>
              <w:rPr>
                <w:rFonts w:ascii="Arial"/>
                <w:spacing w:val="-1"/>
                <w:sz w:val="18"/>
              </w:rPr>
              <w:t>37,144.91</w:t>
            </w:r>
          </w:p>
        </w:tc>
      </w:tr>
      <w:tr>
        <w:trPr>
          <w:trHeight w:val="485" w:hRule="exact"/>
        </w:trPr>
        <w:tc>
          <w:tcPr>
            <w:tcW w:w="41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45" w:right="0"/>
              <w:jc w:val="left"/>
              <w:rPr>
                <w:rFonts w:ascii="宋体" w:hAnsi="宋体" w:cs="宋体" w:eastAsia="宋体" w:hint="default"/>
                <w:sz w:val="18"/>
                <w:szCs w:val="18"/>
              </w:rPr>
            </w:pPr>
            <w:r>
              <w:rPr>
                <w:rFonts w:ascii="宋体" w:hAnsi="宋体" w:cs="宋体" w:eastAsia="宋体" w:hint="default"/>
                <w:sz w:val="18"/>
                <w:szCs w:val="18"/>
              </w:rPr>
              <w:t>中远海运集团财务有限责任公司</w:t>
            </w:r>
          </w:p>
        </w:tc>
        <w:tc>
          <w:tcPr>
            <w:tcW w:w="12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1" w:right="0"/>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4"/>
              <w:jc w:val="right"/>
              <w:rPr>
                <w:rFonts w:ascii="Arial" w:hAnsi="Arial" w:cs="Arial" w:eastAsia="Arial" w:hint="default"/>
                <w:sz w:val="18"/>
                <w:szCs w:val="18"/>
              </w:rPr>
            </w:pPr>
            <w:r>
              <w:rPr>
                <w:rFonts w:ascii="Arial"/>
                <w:spacing w:val="-1"/>
                <w:sz w:val="18"/>
              </w:rPr>
              <w:t>9,318,484.28</w:t>
            </w:r>
          </w:p>
        </w:tc>
        <w:tc>
          <w:tcPr>
            <w:tcW w:w="15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8"/>
              <w:jc w:val="right"/>
              <w:rPr>
                <w:rFonts w:ascii="Arial" w:hAnsi="Arial" w:cs="Arial" w:eastAsia="Arial" w:hint="default"/>
                <w:sz w:val="18"/>
                <w:szCs w:val="18"/>
              </w:rPr>
            </w:pPr>
            <w:r>
              <w:rPr>
                <w:rFonts w:ascii="Arial"/>
                <w:spacing w:val="-2"/>
                <w:sz w:val="18"/>
              </w:rPr>
              <w:t>7,811,854.59</w:t>
            </w:r>
          </w:p>
        </w:tc>
      </w:tr>
      <w:tr>
        <w:trPr>
          <w:trHeight w:val="497" w:hRule="exact"/>
        </w:trPr>
        <w:tc>
          <w:tcPr>
            <w:tcW w:w="414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89" w:type="dxa"/>
            <w:tcBorders>
              <w:top w:val="single" w:sz="2" w:space="0" w:color="000000"/>
              <w:left w:val="single" w:sz="2" w:space="0" w:color="000000"/>
              <w:bottom w:val="single" w:sz="12" w:space="0" w:color="000000"/>
              <w:right w:val="single" w:sz="2" w:space="0" w:color="000000"/>
            </w:tcBorders>
          </w:tcPr>
          <w:p>
            <w:pP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6"/>
              <w:jc w:val="right"/>
              <w:rPr>
                <w:rFonts w:ascii="Arial" w:hAnsi="Arial" w:cs="Arial" w:eastAsia="Arial" w:hint="default"/>
                <w:sz w:val="18"/>
                <w:szCs w:val="18"/>
              </w:rPr>
            </w:pPr>
            <w:r>
              <w:rPr>
                <w:rFonts w:ascii="Arial"/>
                <w:spacing w:val="-1"/>
                <w:sz w:val="18"/>
              </w:rPr>
              <w:t>370,207,747.47</w:t>
            </w:r>
          </w:p>
        </w:tc>
        <w:tc>
          <w:tcPr>
            <w:tcW w:w="159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8"/>
              <w:jc w:val="right"/>
              <w:rPr>
                <w:rFonts w:ascii="Arial" w:hAnsi="Arial" w:cs="Arial" w:eastAsia="Arial" w:hint="default"/>
                <w:sz w:val="18"/>
                <w:szCs w:val="18"/>
              </w:rPr>
            </w:pPr>
            <w:r>
              <w:rPr>
                <w:rFonts w:ascii="Arial"/>
                <w:spacing w:val="-1"/>
                <w:sz w:val="18"/>
              </w:rPr>
              <w:t>300,712,728.70</w:t>
            </w:r>
          </w:p>
        </w:tc>
      </w:tr>
    </w:tbl>
    <w:p>
      <w:pPr>
        <w:spacing w:line="240" w:lineRule="auto" w:before="5"/>
        <w:rPr>
          <w:rFonts w:ascii="宋体" w:hAnsi="宋体" w:cs="宋体" w:eastAsia="宋体" w:hint="default"/>
          <w:sz w:val="5"/>
          <w:szCs w:val="5"/>
        </w:rPr>
      </w:pPr>
    </w:p>
    <w:p>
      <w:pPr>
        <w:pStyle w:val="BodyText"/>
        <w:spacing w:line="240" w:lineRule="auto" w:before="32"/>
        <w:ind w:left="592" w:right="1133"/>
        <w:jc w:val="left"/>
      </w:pPr>
      <w:r>
        <w:rPr/>
        <w:t>（</w:t>
      </w:r>
      <w:r>
        <w:rPr>
          <w:rFonts w:ascii="Arial" w:hAnsi="Arial" w:cs="Arial" w:eastAsia="Arial" w:hint="default"/>
        </w:rPr>
        <w:t>2</w:t>
      </w:r>
      <w:r>
        <w:rPr/>
        <w:t>）关联受托管理</w:t>
      </w:r>
      <w:r>
        <w:rPr>
          <w:rFonts w:ascii="Arial" w:hAnsi="Arial" w:cs="Arial" w:eastAsia="Arial" w:hint="default"/>
        </w:rPr>
        <w:t>/</w:t>
      </w:r>
      <w:r>
        <w:rPr/>
        <w:t>承包情况</w:t>
      </w:r>
    </w:p>
    <w:p>
      <w:pPr>
        <w:spacing w:line="240" w:lineRule="auto" w:before="8"/>
        <w:rPr>
          <w:rFonts w:ascii="宋体" w:hAnsi="宋体" w:cs="宋体" w:eastAsia="宋体" w:hint="default"/>
          <w:sz w:val="5"/>
          <w:szCs w:val="5"/>
        </w:rPr>
      </w:pPr>
    </w:p>
    <w:tbl>
      <w:tblPr>
        <w:tblW w:w="0" w:type="auto"/>
        <w:jc w:val="left"/>
        <w:tblInd w:w="580" w:type="dxa"/>
        <w:tblLayout w:type="fixed"/>
        <w:tblCellMar>
          <w:top w:w="0" w:type="dxa"/>
          <w:left w:w="0" w:type="dxa"/>
          <w:bottom w:w="0" w:type="dxa"/>
          <w:right w:w="0" w:type="dxa"/>
        </w:tblCellMar>
        <w:tblLook w:val="01E0"/>
      </w:tblPr>
      <w:tblGrid>
        <w:gridCol w:w="1399"/>
        <w:gridCol w:w="1136"/>
        <w:gridCol w:w="991"/>
        <w:gridCol w:w="1133"/>
        <w:gridCol w:w="1136"/>
        <w:gridCol w:w="1418"/>
        <w:gridCol w:w="1527"/>
      </w:tblGrid>
      <w:tr>
        <w:trPr>
          <w:trHeight w:val="898" w:hRule="exact"/>
        </w:trPr>
        <w:tc>
          <w:tcPr>
            <w:tcW w:w="1399" w:type="dxa"/>
            <w:tcBorders>
              <w:top w:val="single" w:sz="12" w:space="0" w:color="000000"/>
              <w:left w:val="nil" w:sz="6" w:space="0" w:color="auto"/>
              <w:bottom w:val="single" w:sz="2" w:space="0" w:color="000000"/>
              <w:right w:val="single" w:sz="2" w:space="0" w:color="000000"/>
            </w:tcBorders>
          </w:tcPr>
          <w:p>
            <w:pPr>
              <w:pStyle w:val="TableParagraph"/>
              <w:spacing w:line="384" w:lineRule="auto" w:before="152"/>
              <w:ind w:left="527" w:right="122" w:hanging="387"/>
              <w:jc w:val="left"/>
              <w:rPr>
                <w:rFonts w:ascii="宋体" w:hAnsi="宋体" w:cs="宋体" w:eastAsia="宋体" w:hint="default"/>
                <w:sz w:val="18"/>
                <w:szCs w:val="18"/>
              </w:rPr>
            </w:pPr>
            <w:r>
              <w:rPr>
                <w:rFonts w:ascii="宋体" w:hAnsi="宋体" w:cs="宋体" w:eastAsia="宋体" w:hint="default"/>
                <w:sz w:val="18"/>
                <w:szCs w:val="18"/>
              </w:rPr>
              <w:t>委托方</w:t>
            </w:r>
            <w:r>
              <w:rPr>
                <w:rFonts w:ascii="Arial" w:hAnsi="Arial" w:cs="Arial" w:eastAsia="Arial" w:hint="default"/>
                <w:sz w:val="18"/>
                <w:szCs w:val="18"/>
              </w:rPr>
              <w:t>/</w:t>
            </w:r>
            <w:r>
              <w:rPr>
                <w:rFonts w:ascii="宋体" w:hAnsi="宋体" w:cs="宋体" w:eastAsia="宋体" w:hint="default"/>
                <w:sz w:val="18"/>
                <w:szCs w:val="18"/>
              </w:rPr>
              <w:t>出包方 名称</w:t>
            </w:r>
          </w:p>
        </w:tc>
        <w:tc>
          <w:tcPr>
            <w:tcW w:w="1136" w:type="dxa"/>
            <w:tcBorders>
              <w:top w:val="single" w:sz="12" w:space="0" w:color="000000"/>
              <w:left w:val="single" w:sz="2" w:space="0" w:color="000000"/>
              <w:bottom w:val="single" w:sz="2" w:space="0" w:color="000000"/>
              <w:right w:val="single" w:sz="2" w:space="0" w:color="000000"/>
            </w:tcBorders>
          </w:tcPr>
          <w:p>
            <w:pPr>
              <w:pStyle w:val="TableParagraph"/>
              <w:spacing w:line="384" w:lineRule="auto" w:before="152"/>
              <w:ind w:left="203" w:right="179" w:hanging="24"/>
              <w:jc w:val="left"/>
              <w:rPr>
                <w:rFonts w:ascii="宋体" w:hAnsi="宋体" w:cs="宋体" w:eastAsia="宋体" w:hint="default"/>
                <w:sz w:val="18"/>
                <w:szCs w:val="18"/>
              </w:rPr>
            </w:pPr>
            <w:r>
              <w:rPr>
                <w:rFonts w:ascii="宋体" w:hAnsi="宋体" w:cs="宋体" w:eastAsia="宋体" w:hint="default"/>
                <w:sz w:val="18"/>
                <w:szCs w:val="18"/>
              </w:rPr>
              <w:t>受托方</w:t>
            </w:r>
            <w:r>
              <w:rPr>
                <w:rFonts w:ascii="Arial" w:hAnsi="Arial" w:cs="Arial" w:eastAsia="Arial" w:hint="default"/>
                <w:sz w:val="18"/>
                <w:szCs w:val="18"/>
              </w:rPr>
              <w:t>/</w:t>
            </w:r>
            <w:r>
              <w:rPr>
                <w:rFonts w:ascii="宋体" w:hAnsi="宋体" w:cs="宋体" w:eastAsia="宋体" w:hint="default"/>
                <w:sz w:val="18"/>
                <w:szCs w:val="18"/>
              </w:rPr>
              <w:t>承 包方名称</w:t>
            </w:r>
          </w:p>
        </w:tc>
        <w:tc>
          <w:tcPr>
            <w:tcW w:w="991" w:type="dxa"/>
            <w:tcBorders>
              <w:top w:val="single" w:sz="12" w:space="0" w:color="000000"/>
              <w:left w:val="single" w:sz="2" w:space="0" w:color="000000"/>
              <w:bottom w:val="single" w:sz="2" w:space="0" w:color="000000"/>
              <w:right w:val="single" w:sz="2" w:space="0" w:color="000000"/>
            </w:tcBorders>
          </w:tcPr>
          <w:p>
            <w:pPr>
              <w:pStyle w:val="TableParagraph"/>
              <w:spacing w:line="384" w:lineRule="auto" w:before="152"/>
              <w:ind w:left="134" w:right="103" w:hanging="24"/>
              <w:jc w:val="left"/>
              <w:rPr>
                <w:rFonts w:ascii="宋体" w:hAnsi="宋体" w:cs="宋体" w:eastAsia="宋体" w:hint="default"/>
                <w:sz w:val="18"/>
                <w:szCs w:val="18"/>
              </w:rPr>
            </w:pPr>
            <w:r>
              <w:rPr>
                <w:rFonts w:ascii="宋体" w:hAnsi="宋体" w:cs="宋体" w:eastAsia="宋体" w:hint="default"/>
                <w:sz w:val="18"/>
                <w:szCs w:val="18"/>
              </w:rPr>
              <w:t>受托</w:t>
            </w:r>
            <w:r>
              <w:rPr>
                <w:rFonts w:ascii="Arial" w:hAnsi="Arial" w:cs="Arial" w:eastAsia="Arial" w:hint="default"/>
                <w:sz w:val="18"/>
                <w:szCs w:val="18"/>
              </w:rPr>
              <w:t>/</w:t>
            </w:r>
            <w:r>
              <w:rPr>
                <w:rFonts w:ascii="宋体" w:hAnsi="宋体" w:cs="宋体" w:eastAsia="宋体" w:hint="default"/>
                <w:sz w:val="18"/>
                <w:szCs w:val="18"/>
              </w:rPr>
              <w:t>承包 资产类型</w:t>
            </w:r>
          </w:p>
        </w:tc>
        <w:tc>
          <w:tcPr>
            <w:tcW w:w="1133" w:type="dxa"/>
            <w:tcBorders>
              <w:top w:val="single" w:sz="12" w:space="0" w:color="000000"/>
              <w:left w:val="single" w:sz="2" w:space="0" w:color="000000"/>
              <w:bottom w:val="single" w:sz="2" w:space="0" w:color="000000"/>
              <w:right w:val="single" w:sz="2" w:space="0" w:color="000000"/>
            </w:tcBorders>
          </w:tcPr>
          <w:p>
            <w:pPr>
              <w:pStyle w:val="TableParagraph"/>
              <w:spacing w:line="384" w:lineRule="auto" w:before="152"/>
              <w:ind w:left="292" w:right="179" w:hanging="116"/>
              <w:jc w:val="left"/>
              <w:rPr>
                <w:rFonts w:ascii="宋体" w:hAnsi="宋体" w:cs="宋体" w:eastAsia="宋体" w:hint="default"/>
                <w:sz w:val="18"/>
                <w:szCs w:val="18"/>
              </w:rPr>
            </w:pPr>
            <w:r>
              <w:rPr>
                <w:rFonts w:ascii="宋体" w:hAnsi="宋体" w:cs="宋体" w:eastAsia="宋体" w:hint="default"/>
                <w:sz w:val="18"/>
                <w:szCs w:val="18"/>
              </w:rPr>
              <w:t>受托</w:t>
            </w:r>
            <w:r>
              <w:rPr>
                <w:rFonts w:ascii="Arial" w:hAnsi="Arial" w:cs="Arial" w:eastAsia="Arial" w:hint="default"/>
                <w:sz w:val="18"/>
                <w:szCs w:val="18"/>
              </w:rPr>
              <w:t>/</w:t>
            </w:r>
            <w:r>
              <w:rPr>
                <w:rFonts w:ascii="宋体" w:hAnsi="宋体" w:cs="宋体" w:eastAsia="宋体" w:hint="default"/>
                <w:sz w:val="18"/>
                <w:szCs w:val="18"/>
              </w:rPr>
              <w:t>承包 起始日</w:t>
            </w:r>
          </w:p>
        </w:tc>
        <w:tc>
          <w:tcPr>
            <w:tcW w:w="1136" w:type="dxa"/>
            <w:tcBorders>
              <w:top w:val="single" w:sz="12" w:space="0" w:color="000000"/>
              <w:left w:val="single" w:sz="2" w:space="0" w:color="000000"/>
              <w:bottom w:val="single" w:sz="2" w:space="0" w:color="000000"/>
              <w:right w:val="single" w:sz="2" w:space="0" w:color="000000"/>
            </w:tcBorders>
          </w:tcPr>
          <w:p>
            <w:pPr>
              <w:pStyle w:val="TableParagraph"/>
              <w:spacing w:line="384" w:lineRule="auto" w:before="152"/>
              <w:ind w:left="295" w:right="179" w:hanging="116"/>
              <w:jc w:val="left"/>
              <w:rPr>
                <w:rFonts w:ascii="宋体" w:hAnsi="宋体" w:cs="宋体" w:eastAsia="宋体" w:hint="default"/>
                <w:sz w:val="18"/>
                <w:szCs w:val="18"/>
              </w:rPr>
            </w:pPr>
            <w:r>
              <w:rPr>
                <w:rFonts w:ascii="宋体" w:hAnsi="宋体" w:cs="宋体" w:eastAsia="宋体" w:hint="default"/>
                <w:sz w:val="18"/>
                <w:szCs w:val="18"/>
              </w:rPr>
              <w:t>受托</w:t>
            </w:r>
            <w:r>
              <w:rPr>
                <w:rFonts w:ascii="Arial" w:hAnsi="Arial" w:cs="Arial" w:eastAsia="Arial" w:hint="default"/>
                <w:sz w:val="18"/>
                <w:szCs w:val="18"/>
              </w:rPr>
              <w:t>/</w:t>
            </w:r>
            <w:r>
              <w:rPr>
                <w:rFonts w:ascii="宋体" w:hAnsi="宋体" w:cs="宋体" w:eastAsia="宋体" w:hint="default"/>
                <w:sz w:val="18"/>
                <w:szCs w:val="18"/>
              </w:rPr>
              <w:t>承包 终止日</w:t>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384" w:lineRule="auto" w:before="152"/>
              <w:ind w:left="345" w:right="139" w:hanging="204"/>
              <w:jc w:val="left"/>
              <w:rPr>
                <w:rFonts w:ascii="宋体" w:hAnsi="宋体" w:cs="宋体" w:eastAsia="宋体" w:hint="default"/>
                <w:sz w:val="18"/>
                <w:szCs w:val="18"/>
              </w:rPr>
            </w:pPr>
            <w:r>
              <w:rPr>
                <w:rFonts w:ascii="宋体" w:hAnsi="宋体" w:cs="宋体" w:eastAsia="宋体" w:hint="default"/>
                <w:sz w:val="18"/>
                <w:szCs w:val="18"/>
              </w:rPr>
              <w:t>托管</w:t>
            </w:r>
            <w:r>
              <w:rPr>
                <w:rFonts w:ascii="Arial" w:hAnsi="Arial" w:cs="Arial" w:eastAsia="Arial" w:hint="default"/>
                <w:sz w:val="18"/>
                <w:szCs w:val="18"/>
              </w:rPr>
              <w:t>/</w:t>
            </w:r>
            <w:r>
              <w:rPr>
                <w:rFonts w:ascii="宋体" w:hAnsi="宋体" w:cs="宋体" w:eastAsia="宋体" w:hint="default"/>
                <w:sz w:val="18"/>
                <w:szCs w:val="18"/>
              </w:rPr>
              <w:t>承包收益 定价依据</w:t>
            </w:r>
          </w:p>
        </w:tc>
        <w:tc>
          <w:tcPr>
            <w:tcW w:w="1527" w:type="dxa"/>
            <w:tcBorders>
              <w:top w:val="single" w:sz="12" w:space="0" w:color="000000"/>
              <w:left w:val="single" w:sz="2" w:space="0" w:color="000000"/>
              <w:bottom w:val="single" w:sz="2" w:space="0" w:color="000000"/>
              <w:right w:val="nil" w:sz="6" w:space="0" w:color="auto"/>
            </w:tcBorders>
          </w:tcPr>
          <w:p>
            <w:pPr>
              <w:pStyle w:val="TableParagraph"/>
              <w:spacing w:line="398" w:lineRule="exact" w:before="44"/>
              <w:ind w:left="195" w:right="132" w:hanging="65"/>
              <w:jc w:val="left"/>
              <w:rPr>
                <w:rFonts w:ascii="宋体" w:hAnsi="宋体" w:cs="宋体" w:eastAsia="宋体" w:hint="default"/>
                <w:sz w:val="18"/>
                <w:szCs w:val="18"/>
              </w:rPr>
            </w:pPr>
            <w:r>
              <w:rPr>
                <w:rFonts w:ascii="宋体" w:hAnsi="宋体" w:cs="宋体" w:eastAsia="宋体" w:hint="default"/>
                <w:sz w:val="18"/>
                <w:szCs w:val="18"/>
              </w:rPr>
              <w:t>本年确认的托管 收益</w:t>
            </w:r>
            <w:r>
              <w:rPr>
                <w:rFonts w:ascii="Arial" w:hAnsi="Arial" w:cs="Arial" w:eastAsia="Arial" w:hint="default"/>
                <w:sz w:val="18"/>
                <w:szCs w:val="18"/>
              </w:rPr>
              <w:t>/</w:t>
            </w:r>
            <w:r>
              <w:rPr>
                <w:rFonts w:ascii="宋体" w:hAnsi="宋体" w:cs="宋体" w:eastAsia="宋体" w:hint="default"/>
                <w:sz w:val="18"/>
                <w:szCs w:val="18"/>
              </w:rPr>
              <w:t>承包收益</w:t>
            </w:r>
          </w:p>
        </w:tc>
      </w:tr>
      <w:tr>
        <w:trPr>
          <w:trHeight w:val="900" w:hRule="exact"/>
        </w:trPr>
        <w:tc>
          <w:tcPr>
            <w:tcW w:w="1399" w:type="dxa"/>
            <w:tcBorders>
              <w:top w:val="single" w:sz="2" w:space="0" w:color="000000"/>
              <w:left w:val="nil" w:sz="6" w:space="0" w:color="auto"/>
              <w:bottom w:val="single" w:sz="12" w:space="0" w:color="000000"/>
              <w:right w:val="single" w:sz="2" w:space="0" w:color="000000"/>
            </w:tcBorders>
          </w:tcPr>
          <w:p>
            <w:pPr>
              <w:pStyle w:val="TableParagraph"/>
              <w:spacing w:line="405" w:lineRule="auto" w:before="152"/>
              <w:ind w:left="124" w:right="89"/>
              <w:jc w:val="left"/>
              <w:rPr>
                <w:rFonts w:ascii="宋体" w:hAnsi="宋体" w:cs="宋体" w:eastAsia="宋体" w:hint="default"/>
                <w:sz w:val="18"/>
                <w:szCs w:val="18"/>
              </w:rPr>
            </w:pPr>
            <w:r>
              <w:rPr>
                <w:rFonts w:ascii="宋体" w:hAnsi="宋体" w:cs="宋体" w:eastAsia="宋体" w:hint="default"/>
                <w:spacing w:val="13"/>
                <w:sz w:val="18"/>
                <w:szCs w:val="18"/>
              </w:rPr>
              <w:t>上海船舶运输</w:t>
            </w:r>
            <w:r>
              <w:rPr>
                <w:rFonts w:ascii="宋体" w:hAnsi="宋体" w:cs="宋体" w:eastAsia="宋体" w:hint="default"/>
                <w:spacing w:val="-74"/>
                <w:sz w:val="18"/>
                <w:szCs w:val="18"/>
              </w:rPr>
              <w:t> </w:t>
            </w:r>
            <w:r>
              <w:rPr>
                <w:rFonts w:ascii="宋体" w:hAnsi="宋体" w:cs="宋体" w:eastAsia="宋体" w:hint="default"/>
                <w:sz w:val="18"/>
                <w:szCs w:val="18"/>
              </w:rPr>
              <w:t>科学研究所</w:t>
            </w:r>
          </w:p>
        </w:tc>
        <w:tc>
          <w:tcPr>
            <w:tcW w:w="113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991" w:type="dxa"/>
            <w:tcBorders>
              <w:top w:val="single" w:sz="2" w:space="0" w:color="000000"/>
              <w:left w:val="single" w:sz="2" w:space="0" w:color="000000"/>
              <w:bottom w:val="single" w:sz="12" w:space="0" w:color="000000"/>
              <w:right w:val="single" w:sz="2" w:space="0" w:color="000000"/>
            </w:tcBorders>
          </w:tcPr>
          <w:p>
            <w:pPr>
              <w:pStyle w:val="TableParagraph"/>
              <w:spacing w:line="405" w:lineRule="auto" w:before="152"/>
              <w:ind w:left="107" w:right="79"/>
              <w:jc w:val="left"/>
              <w:rPr>
                <w:rFonts w:ascii="宋体" w:hAnsi="宋体" w:cs="宋体" w:eastAsia="宋体" w:hint="default"/>
                <w:sz w:val="18"/>
                <w:szCs w:val="18"/>
              </w:rPr>
            </w:pPr>
            <w:r>
              <w:rPr>
                <w:rFonts w:ascii="宋体" w:hAnsi="宋体" w:cs="宋体" w:eastAsia="宋体" w:hint="default"/>
                <w:spacing w:val="14"/>
                <w:sz w:val="18"/>
                <w:szCs w:val="18"/>
              </w:rPr>
              <w:t>业务和日</w:t>
            </w:r>
            <w:r>
              <w:rPr>
                <w:rFonts w:ascii="宋体" w:hAnsi="宋体" w:cs="宋体" w:eastAsia="宋体" w:hint="default"/>
                <w:spacing w:val="-71"/>
                <w:sz w:val="18"/>
                <w:szCs w:val="18"/>
              </w:rPr>
              <w:t> </w:t>
            </w:r>
            <w:r>
              <w:rPr>
                <w:rFonts w:ascii="宋体" w:hAnsi="宋体" w:cs="宋体" w:eastAsia="宋体" w:hint="default"/>
                <w:sz w:val="18"/>
                <w:szCs w:val="18"/>
              </w:rPr>
              <w:t>常事务</w:t>
            </w:r>
          </w:p>
        </w:tc>
        <w:tc>
          <w:tcPr>
            <w:tcW w:w="11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201" w:right="0"/>
              <w:jc w:val="left"/>
              <w:rPr>
                <w:rFonts w:ascii="Arial" w:hAnsi="Arial" w:cs="Arial" w:eastAsia="Arial" w:hint="default"/>
                <w:sz w:val="18"/>
                <w:szCs w:val="18"/>
              </w:rPr>
            </w:pPr>
            <w:r>
              <w:rPr>
                <w:rFonts w:ascii="Arial"/>
                <w:sz w:val="18"/>
              </w:rPr>
              <w:t>2018-1-30</w:t>
            </w:r>
          </w:p>
        </w:tc>
        <w:tc>
          <w:tcPr>
            <w:tcW w:w="113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204" w:right="0"/>
              <w:jc w:val="left"/>
              <w:rPr>
                <w:rFonts w:ascii="Arial" w:hAnsi="Arial" w:cs="Arial" w:eastAsia="Arial" w:hint="default"/>
                <w:sz w:val="18"/>
                <w:szCs w:val="18"/>
              </w:rPr>
            </w:pPr>
            <w:r>
              <w:rPr>
                <w:rFonts w:ascii="Arial"/>
                <w:sz w:val="18"/>
              </w:rPr>
              <w:t>2020-1-30</w:t>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协议价</w:t>
            </w:r>
          </w:p>
        </w:tc>
        <w:tc>
          <w:tcPr>
            <w:tcW w:w="1527"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264" w:right="0"/>
              <w:jc w:val="left"/>
              <w:rPr>
                <w:rFonts w:ascii="Arial" w:hAnsi="Arial" w:cs="Arial" w:eastAsia="Arial" w:hint="default"/>
                <w:sz w:val="18"/>
                <w:szCs w:val="18"/>
              </w:rPr>
            </w:pPr>
            <w:r>
              <w:rPr>
                <w:rFonts w:ascii="Arial"/>
                <w:sz w:val="18"/>
              </w:rPr>
              <w:t>14,345,537.30</w:t>
            </w:r>
          </w:p>
        </w:tc>
      </w:tr>
    </w:tbl>
    <w:p>
      <w:pPr>
        <w:spacing w:line="240" w:lineRule="auto" w:before="5"/>
        <w:rPr>
          <w:rFonts w:ascii="宋体" w:hAnsi="宋体" w:cs="宋体" w:eastAsia="宋体" w:hint="default"/>
          <w:sz w:val="5"/>
          <w:szCs w:val="5"/>
        </w:rPr>
      </w:pPr>
    </w:p>
    <w:p>
      <w:pPr>
        <w:pStyle w:val="BodyText"/>
        <w:spacing w:line="240" w:lineRule="auto" w:before="32"/>
        <w:ind w:left="592" w:right="1133"/>
        <w:jc w:val="left"/>
      </w:pPr>
      <w:r>
        <w:rPr/>
        <w:t>（</w:t>
      </w:r>
      <w:r>
        <w:rPr>
          <w:rFonts w:ascii="Arial" w:hAnsi="Arial" w:cs="Arial" w:eastAsia="Arial" w:hint="default"/>
        </w:rPr>
        <w:t>3</w:t>
      </w:r>
      <w:r>
        <w:rPr/>
        <w:t>）关联租赁情况</w:t>
      </w:r>
    </w:p>
    <w:p>
      <w:pPr>
        <w:pStyle w:val="BodyText"/>
        <w:spacing w:line="240" w:lineRule="auto" w:before="135"/>
        <w:ind w:left="592" w:right="1133"/>
        <w:jc w:val="left"/>
      </w:pPr>
      <w:r>
        <w:rPr/>
        <w:t>①出租情况</w:t>
      </w:r>
    </w:p>
    <w:p>
      <w:pPr>
        <w:spacing w:after="0" w:line="240" w:lineRule="auto"/>
        <w:jc w:val="lef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580" w:type="dxa"/>
        <w:tblLayout w:type="fixed"/>
        <w:tblCellMar>
          <w:top w:w="0" w:type="dxa"/>
          <w:left w:w="0" w:type="dxa"/>
          <w:bottom w:w="0" w:type="dxa"/>
          <w:right w:w="0" w:type="dxa"/>
        </w:tblCellMar>
        <w:tblLook w:val="01E0"/>
      </w:tblPr>
      <w:tblGrid>
        <w:gridCol w:w="2677"/>
        <w:gridCol w:w="2268"/>
        <w:gridCol w:w="850"/>
        <w:gridCol w:w="1418"/>
        <w:gridCol w:w="1527"/>
      </w:tblGrid>
      <w:tr>
        <w:trPr>
          <w:trHeight w:val="898" w:hRule="exact"/>
        </w:trPr>
        <w:tc>
          <w:tcPr>
            <w:tcW w:w="267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895"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26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681"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850" w:type="dxa"/>
            <w:tcBorders>
              <w:top w:val="single" w:sz="12" w:space="0" w:color="000000"/>
              <w:left w:val="single" w:sz="2" w:space="0" w:color="000000"/>
              <w:bottom w:val="single" w:sz="2" w:space="0" w:color="000000"/>
              <w:right w:val="single" w:sz="2" w:space="0" w:color="000000"/>
            </w:tcBorders>
          </w:tcPr>
          <w:p>
            <w:pPr>
              <w:pStyle w:val="TableParagraph"/>
              <w:spacing w:line="405" w:lineRule="auto" w:before="152"/>
              <w:ind w:left="151" w:right="151"/>
              <w:jc w:val="left"/>
              <w:rPr>
                <w:rFonts w:ascii="宋体" w:hAnsi="宋体" w:cs="宋体" w:eastAsia="宋体" w:hint="default"/>
                <w:sz w:val="18"/>
                <w:szCs w:val="18"/>
              </w:rPr>
            </w:pPr>
            <w:r>
              <w:rPr>
                <w:rFonts w:ascii="宋体" w:hAnsi="宋体" w:cs="宋体" w:eastAsia="宋体" w:hint="default"/>
                <w:sz w:val="18"/>
                <w:szCs w:val="18"/>
              </w:rPr>
              <w:t>租赁资 产种类</w:t>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405" w:lineRule="auto" w:before="152"/>
              <w:ind w:left="436" w:right="167" w:hanging="272"/>
              <w:jc w:val="left"/>
              <w:rPr>
                <w:rFonts w:ascii="宋体" w:hAnsi="宋体" w:cs="宋体" w:eastAsia="宋体" w:hint="default"/>
                <w:sz w:val="18"/>
                <w:szCs w:val="18"/>
              </w:rPr>
            </w:pPr>
            <w:r>
              <w:rPr>
                <w:rFonts w:ascii="宋体" w:hAnsi="宋体" w:cs="宋体" w:eastAsia="宋体" w:hint="default"/>
                <w:sz w:val="18"/>
                <w:szCs w:val="18"/>
              </w:rPr>
              <w:t>本年确认的租 赁收益</w:t>
            </w:r>
          </w:p>
        </w:tc>
        <w:tc>
          <w:tcPr>
            <w:tcW w:w="1527" w:type="dxa"/>
            <w:tcBorders>
              <w:top w:val="single" w:sz="12" w:space="0" w:color="000000"/>
              <w:left w:val="single" w:sz="2" w:space="0" w:color="000000"/>
              <w:bottom w:val="single" w:sz="2" w:space="0" w:color="000000"/>
              <w:right w:val="nil" w:sz="6" w:space="0" w:color="auto"/>
            </w:tcBorders>
          </w:tcPr>
          <w:p>
            <w:pPr>
              <w:pStyle w:val="TableParagraph"/>
              <w:spacing w:line="405" w:lineRule="auto" w:before="152"/>
              <w:ind w:left="581" w:right="132" w:hanging="452"/>
              <w:jc w:val="left"/>
              <w:rPr>
                <w:rFonts w:ascii="宋体" w:hAnsi="宋体" w:cs="宋体" w:eastAsia="宋体" w:hint="default"/>
                <w:sz w:val="18"/>
                <w:szCs w:val="18"/>
              </w:rPr>
            </w:pPr>
            <w:r>
              <w:rPr>
                <w:rFonts w:ascii="宋体" w:hAnsi="宋体" w:cs="宋体" w:eastAsia="宋体" w:hint="default"/>
                <w:sz w:val="18"/>
                <w:szCs w:val="18"/>
              </w:rPr>
              <w:t>上年确认的租赁 收益</w:t>
            </w:r>
          </w:p>
        </w:tc>
      </w:tr>
      <w:tr>
        <w:trPr>
          <w:trHeight w:val="710"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49"/>
              <w:ind w:left="105" w:right="96"/>
              <w:jc w:val="left"/>
              <w:rPr>
                <w:rFonts w:ascii="宋体" w:hAnsi="宋体" w:cs="宋体" w:eastAsia="宋体" w:hint="default"/>
                <w:sz w:val="18"/>
                <w:szCs w:val="18"/>
              </w:rPr>
            </w:pPr>
            <w:r>
              <w:rPr>
                <w:rFonts w:ascii="宋体" w:hAnsi="宋体" w:cs="宋体" w:eastAsia="宋体" w:hint="default"/>
                <w:spacing w:val="7"/>
                <w:sz w:val="18"/>
                <w:szCs w:val="18"/>
              </w:rPr>
              <w:t>中远海运资产经营管理有 </w:t>
            </w:r>
            <w:r>
              <w:rPr>
                <w:rFonts w:ascii="宋体" w:hAnsi="宋体" w:cs="宋体" w:eastAsia="宋体" w:hint="default"/>
                <w:sz w:val="18"/>
                <w:szCs w:val="18"/>
              </w:rPr>
              <w:t>限公司</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40"/>
              <w:jc w:val="right"/>
              <w:rPr>
                <w:rFonts w:ascii="宋体" w:hAnsi="宋体" w:cs="宋体" w:eastAsia="宋体" w:hint="default"/>
                <w:sz w:val="18"/>
                <w:szCs w:val="18"/>
              </w:rPr>
            </w:pPr>
            <w:r>
              <w:rPr>
                <w:rFonts w:ascii="宋体" w:hAnsi="宋体" w:cs="宋体" w:eastAsia="宋体" w:hint="default"/>
                <w:sz w:val="18"/>
                <w:szCs w:val="18"/>
              </w:rPr>
              <w:t>房屋</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3"/>
              <w:jc w:val="right"/>
              <w:rPr>
                <w:rFonts w:ascii="Arial" w:hAnsi="Arial" w:cs="Arial" w:eastAsia="Arial" w:hint="default"/>
                <w:sz w:val="18"/>
                <w:szCs w:val="18"/>
              </w:rPr>
            </w:pPr>
            <w:r>
              <w:rPr>
                <w:rFonts w:ascii="Arial"/>
                <w:spacing w:val="-1"/>
                <w:sz w:val="18"/>
              </w:rPr>
              <w:t>4,603,375.72</w:t>
            </w:r>
          </w:p>
        </w:tc>
        <w:tc>
          <w:tcPr>
            <w:tcW w:w="15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5"/>
              <w:jc w:val="right"/>
              <w:rPr>
                <w:rFonts w:ascii="Arial" w:hAnsi="Arial" w:cs="Arial" w:eastAsia="Arial" w:hint="default"/>
                <w:sz w:val="18"/>
                <w:szCs w:val="18"/>
              </w:rPr>
            </w:pPr>
            <w:r>
              <w:rPr>
                <w:rFonts w:ascii="Arial"/>
                <w:spacing w:val="-1"/>
                <w:sz w:val="18"/>
              </w:rPr>
              <w:t>4,613,375.72</w:t>
            </w:r>
          </w:p>
        </w:tc>
      </w:tr>
      <w:tr>
        <w:trPr>
          <w:trHeight w:val="485"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宋体" w:hAnsi="宋体" w:cs="宋体" w:eastAsia="宋体" w:hint="default"/>
                <w:sz w:val="18"/>
                <w:szCs w:val="18"/>
              </w:rPr>
              <w:t>上海海瑄置业有限公司</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240"/>
              <w:jc w:val="right"/>
              <w:rPr>
                <w:rFonts w:ascii="宋体" w:hAnsi="宋体" w:cs="宋体" w:eastAsia="宋体" w:hint="default"/>
                <w:sz w:val="18"/>
                <w:szCs w:val="18"/>
              </w:rPr>
            </w:pPr>
            <w:r>
              <w:rPr>
                <w:rFonts w:ascii="宋体" w:hAnsi="宋体" w:cs="宋体" w:eastAsia="宋体" w:hint="default"/>
                <w:sz w:val="18"/>
                <w:szCs w:val="18"/>
              </w:rPr>
              <w:t>房屋</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625,769.47</w:t>
            </w:r>
          </w:p>
        </w:tc>
        <w:tc>
          <w:tcPr>
            <w:tcW w:w="15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7"/>
              <w:jc w:val="right"/>
              <w:rPr>
                <w:rFonts w:ascii="Arial" w:hAnsi="Arial" w:cs="Arial" w:eastAsia="Arial" w:hint="default"/>
                <w:sz w:val="18"/>
                <w:szCs w:val="18"/>
              </w:rPr>
            </w:pPr>
            <w:r>
              <w:rPr>
                <w:rFonts w:ascii="Arial"/>
                <w:spacing w:val="-1"/>
                <w:sz w:val="18"/>
              </w:rPr>
              <w:t>313,599.02</w:t>
            </w:r>
          </w:p>
        </w:tc>
      </w:tr>
      <w:tr>
        <w:trPr>
          <w:trHeight w:val="485"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宋体" w:hAnsi="宋体" w:cs="宋体" w:eastAsia="宋体" w:hint="default"/>
                <w:sz w:val="18"/>
                <w:szCs w:val="18"/>
              </w:rPr>
              <w:t>上海海璟置业有限公司</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240"/>
              <w:jc w:val="right"/>
              <w:rPr>
                <w:rFonts w:ascii="宋体" w:hAnsi="宋体" w:cs="宋体" w:eastAsia="宋体" w:hint="default"/>
                <w:sz w:val="18"/>
                <w:szCs w:val="18"/>
              </w:rPr>
            </w:pPr>
            <w:r>
              <w:rPr>
                <w:rFonts w:ascii="宋体" w:hAnsi="宋体" w:cs="宋体" w:eastAsia="宋体" w:hint="default"/>
                <w:sz w:val="18"/>
                <w:szCs w:val="18"/>
              </w:rPr>
              <w:t>房屋</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622,912.33</w:t>
            </w:r>
          </w:p>
        </w:tc>
        <w:tc>
          <w:tcPr>
            <w:tcW w:w="15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7"/>
              <w:jc w:val="right"/>
              <w:rPr>
                <w:rFonts w:ascii="Arial" w:hAnsi="Arial" w:cs="Arial" w:eastAsia="Arial" w:hint="default"/>
                <w:sz w:val="18"/>
                <w:szCs w:val="18"/>
              </w:rPr>
            </w:pPr>
            <w:r>
              <w:rPr>
                <w:rFonts w:ascii="Arial"/>
                <w:spacing w:val="-1"/>
                <w:sz w:val="18"/>
              </w:rPr>
              <w:t>313,599.02</w:t>
            </w:r>
          </w:p>
        </w:tc>
      </w:tr>
      <w:tr>
        <w:trPr>
          <w:trHeight w:val="708"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314" w:lineRule="auto" w:before="49"/>
              <w:ind w:left="105" w:right="96"/>
              <w:jc w:val="left"/>
              <w:rPr>
                <w:rFonts w:ascii="宋体" w:hAnsi="宋体" w:cs="宋体" w:eastAsia="宋体" w:hint="default"/>
                <w:sz w:val="18"/>
                <w:szCs w:val="18"/>
              </w:rPr>
            </w:pPr>
            <w:r>
              <w:rPr>
                <w:rFonts w:ascii="宋体" w:hAnsi="宋体" w:cs="宋体" w:eastAsia="宋体" w:hint="default"/>
                <w:spacing w:val="7"/>
                <w:sz w:val="18"/>
                <w:szCs w:val="18"/>
              </w:rPr>
              <w:t>上海长兴中远海运资产管 </w:t>
            </w:r>
            <w:r>
              <w:rPr>
                <w:rFonts w:ascii="宋体" w:hAnsi="宋体" w:cs="宋体" w:eastAsia="宋体" w:hint="default"/>
                <w:sz w:val="18"/>
                <w:szCs w:val="18"/>
              </w:rPr>
              <w:t>理有限公司</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40"/>
              <w:jc w:val="right"/>
              <w:rPr>
                <w:rFonts w:ascii="宋体" w:hAnsi="宋体" w:cs="宋体" w:eastAsia="宋体" w:hint="default"/>
                <w:sz w:val="18"/>
                <w:szCs w:val="18"/>
              </w:rPr>
            </w:pPr>
            <w:r>
              <w:rPr>
                <w:rFonts w:ascii="宋体" w:hAnsi="宋体" w:cs="宋体" w:eastAsia="宋体" w:hint="default"/>
                <w:sz w:val="18"/>
                <w:szCs w:val="18"/>
              </w:rPr>
              <w:t>房屋</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5"/>
              <w:jc w:val="right"/>
              <w:rPr>
                <w:rFonts w:ascii="Arial" w:hAnsi="Arial" w:cs="Arial" w:eastAsia="Arial" w:hint="default"/>
                <w:sz w:val="18"/>
                <w:szCs w:val="18"/>
              </w:rPr>
            </w:pPr>
            <w:r>
              <w:rPr>
                <w:rFonts w:ascii="Arial"/>
                <w:spacing w:val="-1"/>
                <w:sz w:val="18"/>
              </w:rPr>
              <w:t>504,334.41</w:t>
            </w:r>
          </w:p>
        </w:tc>
        <w:tc>
          <w:tcPr>
            <w:tcW w:w="15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7"/>
              <w:jc w:val="right"/>
              <w:rPr>
                <w:rFonts w:ascii="Arial" w:hAnsi="Arial" w:cs="Arial" w:eastAsia="Arial" w:hint="default"/>
                <w:sz w:val="18"/>
                <w:szCs w:val="18"/>
              </w:rPr>
            </w:pPr>
            <w:r>
              <w:rPr>
                <w:rFonts w:ascii="Arial"/>
                <w:spacing w:val="-1"/>
                <w:sz w:val="18"/>
              </w:rPr>
              <w:t>252,881.49</w:t>
            </w:r>
          </w:p>
        </w:tc>
      </w:tr>
      <w:tr>
        <w:trPr>
          <w:trHeight w:val="711"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49"/>
              <w:ind w:left="105" w:right="96"/>
              <w:jc w:val="left"/>
              <w:rPr>
                <w:rFonts w:ascii="宋体" w:hAnsi="宋体" w:cs="宋体" w:eastAsia="宋体" w:hint="default"/>
                <w:sz w:val="18"/>
                <w:szCs w:val="18"/>
              </w:rPr>
            </w:pPr>
            <w:r>
              <w:rPr>
                <w:rFonts w:ascii="宋体" w:hAnsi="宋体" w:cs="宋体" w:eastAsia="宋体" w:hint="default"/>
                <w:spacing w:val="7"/>
                <w:sz w:val="18"/>
                <w:szCs w:val="18"/>
              </w:rPr>
              <w:t>中海海运（上海）资产经 </w:t>
            </w:r>
            <w:r>
              <w:rPr>
                <w:rFonts w:ascii="宋体" w:hAnsi="宋体" w:cs="宋体" w:eastAsia="宋体" w:hint="default"/>
                <w:sz w:val="18"/>
                <w:szCs w:val="18"/>
              </w:rPr>
              <w:t>营管理有限公司</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40"/>
              <w:jc w:val="right"/>
              <w:rPr>
                <w:rFonts w:ascii="宋体" w:hAnsi="宋体" w:cs="宋体" w:eastAsia="宋体" w:hint="default"/>
                <w:sz w:val="18"/>
                <w:szCs w:val="18"/>
              </w:rPr>
            </w:pPr>
            <w:r>
              <w:rPr>
                <w:rFonts w:ascii="宋体" w:hAnsi="宋体" w:cs="宋体" w:eastAsia="宋体" w:hint="default"/>
                <w:sz w:val="18"/>
                <w:szCs w:val="18"/>
              </w:rPr>
              <w:t>房屋</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5"/>
              <w:jc w:val="right"/>
              <w:rPr>
                <w:rFonts w:ascii="Arial" w:hAnsi="Arial" w:cs="Arial" w:eastAsia="Arial" w:hint="default"/>
                <w:sz w:val="18"/>
                <w:szCs w:val="18"/>
              </w:rPr>
            </w:pPr>
            <w:r>
              <w:rPr>
                <w:rFonts w:ascii="Arial"/>
                <w:spacing w:val="-1"/>
                <w:sz w:val="18"/>
              </w:rPr>
              <w:t>502,905.84</w:t>
            </w:r>
          </w:p>
        </w:tc>
        <w:tc>
          <w:tcPr>
            <w:tcW w:w="15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7"/>
              <w:jc w:val="right"/>
              <w:rPr>
                <w:rFonts w:ascii="Arial" w:hAnsi="Arial" w:cs="Arial" w:eastAsia="Arial" w:hint="default"/>
                <w:sz w:val="18"/>
                <w:szCs w:val="18"/>
              </w:rPr>
            </w:pPr>
            <w:r>
              <w:rPr>
                <w:rFonts w:ascii="Arial"/>
                <w:spacing w:val="-1"/>
                <w:sz w:val="18"/>
              </w:rPr>
              <w:t>251,452.92</w:t>
            </w:r>
          </w:p>
        </w:tc>
      </w:tr>
      <w:tr>
        <w:trPr>
          <w:trHeight w:val="708"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314" w:lineRule="auto" w:before="49"/>
              <w:ind w:left="105" w:right="96"/>
              <w:jc w:val="left"/>
              <w:rPr>
                <w:rFonts w:ascii="宋体" w:hAnsi="宋体" w:cs="宋体" w:eastAsia="宋体" w:hint="default"/>
                <w:sz w:val="18"/>
                <w:szCs w:val="18"/>
              </w:rPr>
            </w:pPr>
            <w:r>
              <w:rPr>
                <w:rFonts w:ascii="宋体" w:hAnsi="宋体" w:cs="宋体" w:eastAsia="宋体" w:hint="default"/>
                <w:spacing w:val="7"/>
                <w:sz w:val="18"/>
                <w:szCs w:val="18"/>
              </w:rPr>
              <w:t>中远海运古野通信导航科 </w:t>
            </w:r>
            <w:r>
              <w:rPr>
                <w:rFonts w:ascii="宋体" w:hAnsi="宋体" w:cs="宋体" w:eastAsia="宋体" w:hint="default"/>
                <w:sz w:val="18"/>
                <w:szCs w:val="18"/>
              </w:rPr>
              <w:t>技（上海）有限公司</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40"/>
              <w:jc w:val="right"/>
              <w:rPr>
                <w:rFonts w:ascii="宋体" w:hAnsi="宋体" w:cs="宋体" w:eastAsia="宋体" w:hint="default"/>
                <w:sz w:val="18"/>
                <w:szCs w:val="18"/>
              </w:rPr>
            </w:pPr>
            <w:r>
              <w:rPr>
                <w:rFonts w:ascii="宋体" w:hAnsi="宋体" w:cs="宋体" w:eastAsia="宋体" w:hint="default"/>
                <w:sz w:val="18"/>
                <w:szCs w:val="18"/>
              </w:rPr>
              <w:t>房屋</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5"/>
              <w:jc w:val="right"/>
              <w:rPr>
                <w:rFonts w:ascii="Arial" w:hAnsi="Arial" w:cs="Arial" w:eastAsia="Arial" w:hint="default"/>
                <w:sz w:val="18"/>
                <w:szCs w:val="18"/>
              </w:rPr>
            </w:pPr>
            <w:r>
              <w:rPr>
                <w:rFonts w:ascii="Arial"/>
                <w:spacing w:val="-1"/>
                <w:sz w:val="18"/>
              </w:rPr>
              <w:t>884,035.36</w:t>
            </w:r>
          </w:p>
        </w:tc>
        <w:tc>
          <w:tcPr>
            <w:tcW w:w="15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7"/>
              <w:jc w:val="right"/>
              <w:rPr>
                <w:rFonts w:ascii="Arial" w:hAnsi="Arial" w:cs="Arial" w:eastAsia="Arial" w:hint="default"/>
                <w:sz w:val="18"/>
                <w:szCs w:val="18"/>
              </w:rPr>
            </w:pPr>
            <w:r>
              <w:rPr>
                <w:rFonts w:ascii="Arial"/>
                <w:spacing w:val="-1"/>
                <w:sz w:val="18"/>
              </w:rPr>
              <w:t>181,301.51</w:t>
            </w:r>
          </w:p>
        </w:tc>
      </w:tr>
      <w:tr>
        <w:trPr>
          <w:trHeight w:val="722" w:hRule="exact"/>
        </w:trPr>
        <w:tc>
          <w:tcPr>
            <w:tcW w:w="267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p>
        </w:tc>
        <w:tc>
          <w:tcPr>
            <w:tcW w:w="2268" w:type="dxa"/>
            <w:tcBorders>
              <w:top w:val="single" w:sz="2" w:space="0" w:color="000000"/>
              <w:left w:val="single" w:sz="2" w:space="0" w:color="000000"/>
              <w:bottom w:val="single" w:sz="12" w:space="0" w:color="000000"/>
              <w:right w:val="single" w:sz="2" w:space="0" w:color="000000"/>
            </w:tcBorders>
          </w:tcPr>
          <w:p>
            <w:pPr>
              <w:pStyle w:val="TableParagraph"/>
              <w:spacing w:line="316" w:lineRule="auto" w:before="49"/>
              <w:ind w:left="105" w:right="12"/>
              <w:jc w:val="left"/>
              <w:rPr>
                <w:rFonts w:ascii="宋体" w:hAnsi="宋体" w:cs="宋体" w:eastAsia="宋体" w:hint="default"/>
                <w:sz w:val="18"/>
                <w:szCs w:val="18"/>
              </w:rPr>
            </w:pPr>
            <w:r>
              <w:rPr>
                <w:rFonts w:ascii="宋体" w:hAnsi="宋体" w:cs="宋体" w:eastAsia="宋体" w:hint="default"/>
                <w:spacing w:val="-2"/>
                <w:sz w:val="18"/>
                <w:szCs w:val="18"/>
              </w:rPr>
              <w:t>中海工业建设（上海浦东）</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有限公司</w:t>
            </w:r>
          </w:p>
        </w:tc>
        <w:tc>
          <w:tcPr>
            <w:tcW w:w="8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40"/>
              <w:jc w:val="right"/>
              <w:rPr>
                <w:rFonts w:ascii="宋体" w:hAnsi="宋体" w:cs="宋体" w:eastAsia="宋体" w:hint="default"/>
                <w:sz w:val="18"/>
                <w:szCs w:val="18"/>
              </w:rPr>
            </w:pPr>
            <w:r>
              <w:rPr>
                <w:rFonts w:ascii="宋体" w:hAnsi="宋体" w:cs="宋体" w:eastAsia="宋体" w:hint="default"/>
                <w:sz w:val="18"/>
                <w:szCs w:val="18"/>
              </w:rPr>
              <w:t>房屋</w:t>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17,142.84</w:t>
            </w:r>
          </w:p>
        </w:tc>
        <w:tc>
          <w:tcPr>
            <w:tcW w:w="152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19,999.98</w:t>
            </w:r>
          </w:p>
        </w:tc>
      </w:tr>
    </w:tbl>
    <w:p>
      <w:pPr>
        <w:spacing w:line="240" w:lineRule="auto" w:before="5"/>
        <w:rPr>
          <w:rFonts w:ascii="宋体" w:hAnsi="宋体" w:cs="宋体" w:eastAsia="宋体" w:hint="default"/>
          <w:sz w:val="5"/>
          <w:szCs w:val="5"/>
        </w:rPr>
      </w:pPr>
    </w:p>
    <w:p>
      <w:pPr>
        <w:pStyle w:val="BodyText"/>
        <w:spacing w:line="240" w:lineRule="auto" w:before="32"/>
        <w:ind w:left="592" w:right="1133"/>
        <w:jc w:val="left"/>
      </w:pPr>
      <w:r>
        <w:rPr/>
        <w:t>②承租情况</w:t>
      </w:r>
    </w:p>
    <w:p>
      <w:pPr>
        <w:spacing w:line="240" w:lineRule="auto" w:before="11"/>
        <w:rPr>
          <w:rFonts w:ascii="宋体" w:hAnsi="宋体" w:cs="宋体" w:eastAsia="宋体" w:hint="default"/>
          <w:sz w:val="6"/>
          <w:szCs w:val="6"/>
        </w:rPr>
      </w:pPr>
    </w:p>
    <w:tbl>
      <w:tblPr>
        <w:tblW w:w="0" w:type="auto"/>
        <w:jc w:val="left"/>
        <w:tblInd w:w="580" w:type="dxa"/>
        <w:tblLayout w:type="fixed"/>
        <w:tblCellMar>
          <w:top w:w="0" w:type="dxa"/>
          <w:left w:w="0" w:type="dxa"/>
          <w:bottom w:w="0" w:type="dxa"/>
          <w:right w:w="0" w:type="dxa"/>
        </w:tblCellMar>
        <w:tblLook w:val="01E0"/>
      </w:tblPr>
      <w:tblGrid>
        <w:gridCol w:w="2535"/>
        <w:gridCol w:w="2648"/>
        <w:gridCol w:w="828"/>
        <w:gridCol w:w="1369"/>
        <w:gridCol w:w="1361"/>
      </w:tblGrid>
      <w:tr>
        <w:trPr>
          <w:trHeight w:val="898" w:hRule="exact"/>
        </w:trPr>
        <w:tc>
          <w:tcPr>
            <w:tcW w:w="253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825"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64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871"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828" w:type="dxa"/>
            <w:tcBorders>
              <w:top w:val="single" w:sz="12" w:space="0" w:color="000000"/>
              <w:left w:val="single" w:sz="2" w:space="0" w:color="000000"/>
              <w:bottom w:val="single" w:sz="2" w:space="0" w:color="000000"/>
              <w:right w:val="single" w:sz="2" w:space="0" w:color="000000"/>
            </w:tcBorders>
          </w:tcPr>
          <w:p>
            <w:pPr>
              <w:pStyle w:val="TableParagraph"/>
              <w:spacing w:line="402" w:lineRule="exact" w:before="38"/>
              <w:ind w:left="141" w:right="139"/>
              <w:jc w:val="left"/>
              <w:rPr>
                <w:rFonts w:ascii="宋体" w:hAnsi="宋体" w:cs="宋体" w:eastAsia="宋体" w:hint="default"/>
                <w:sz w:val="18"/>
                <w:szCs w:val="18"/>
              </w:rPr>
            </w:pPr>
            <w:r>
              <w:rPr>
                <w:rFonts w:ascii="宋体" w:hAnsi="宋体" w:cs="宋体" w:eastAsia="宋体" w:hint="default"/>
                <w:sz w:val="18"/>
                <w:szCs w:val="18"/>
              </w:rPr>
              <w:t>租赁资 产种类</w:t>
            </w:r>
          </w:p>
        </w:tc>
        <w:tc>
          <w:tcPr>
            <w:tcW w:w="1369" w:type="dxa"/>
            <w:tcBorders>
              <w:top w:val="single" w:sz="12" w:space="0" w:color="000000"/>
              <w:left w:val="single" w:sz="2" w:space="0" w:color="000000"/>
              <w:bottom w:val="single" w:sz="2" w:space="0" w:color="000000"/>
              <w:right w:val="single" w:sz="2" w:space="0" w:color="000000"/>
            </w:tcBorders>
          </w:tcPr>
          <w:p>
            <w:pPr>
              <w:pStyle w:val="TableParagraph"/>
              <w:spacing w:line="402" w:lineRule="exact" w:before="38"/>
              <w:ind w:left="501" w:right="140" w:hanging="360"/>
              <w:jc w:val="left"/>
              <w:rPr>
                <w:rFonts w:ascii="宋体" w:hAnsi="宋体" w:cs="宋体" w:eastAsia="宋体" w:hint="default"/>
                <w:sz w:val="18"/>
                <w:szCs w:val="18"/>
              </w:rPr>
            </w:pPr>
            <w:r>
              <w:rPr>
                <w:rFonts w:ascii="宋体" w:hAnsi="宋体" w:cs="宋体" w:eastAsia="宋体" w:hint="default"/>
                <w:sz w:val="18"/>
                <w:szCs w:val="18"/>
              </w:rPr>
              <w:t>本年确认的租 赁费</w:t>
            </w:r>
          </w:p>
        </w:tc>
        <w:tc>
          <w:tcPr>
            <w:tcW w:w="1361" w:type="dxa"/>
            <w:tcBorders>
              <w:top w:val="single" w:sz="12" w:space="0" w:color="000000"/>
              <w:left w:val="single" w:sz="2" w:space="0" w:color="000000"/>
              <w:bottom w:val="single" w:sz="2" w:space="0" w:color="000000"/>
              <w:right w:val="nil" w:sz="6" w:space="0" w:color="auto"/>
            </w:tcBorders>
          </w:tcPr>
          <w:p>
            <w:pPr>
              <w:pStyle w:val="TableParagraph"/>
              <w:spacing w:line="402" w:lineRule="exact" w:before="38"/>
              <w:ind w:left="496" w:right="139" w:hanging="360"/>
              <w:jc w:val="left"/>
              <w:rPr>
                <w:rFonts w:ascii="宋体" w:hAnsi="宋体" w:cs="宋体" w:eastAsia="宋体" w:hint="default"/>
                <w:sz w:val="18"/>
                <w:szCs w:val="18"/>
              </w:rPr>
            </w:pPr>
            <w:r>
              <w:rPr>
                <w:rFonts w:ascii="宋体" w:hAnsi="宋体" w:cs="宋体" w:eastAsia="宋体" w:hint="default"/>
                <w:sz w:val="18"/>
                <w:szCs w:val="18"/>
              </w:rPr>
              <w:t>上年确认的租 赁费</w:t>
            </w:r>
          </w:p>
        </w:tc>
      </w:tr>
      <w:tr>
        <w:trPr>
          <w:trHeight w:val="485" w:hRule="exact"/>
        </w:trPr>
        <w:tc>
          <w:tcPr>
            <w:tcW w:w="2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中远海运物流有限公司</w:t>
            </w:r>
          </w:p>
        </w:tc>
        <w:tc>
          <w:tcPr>
            <w:tcW w:w="26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105" w:right="0"/>
              <w:jc w:val="left"/>
              <w:rPr>
                <w:rFonts w:ascii="宋体" w:hAnsi="宋体" w:cs="宋体" w:eastAsia="宋体" w:hint="default"/>
                <w:sz w:val="18"/>
                <w:szCs w:val="18"/>
              </w:rPr>
            </w:pPr>
            <w:r>
              <w:rPr>
                <w:rFonts w:ascii="宋体" w:hAnsi="宋体" w:cs="宋体" w:eastAsia="宋体" w:hint="default"/>
                <w:spacing w:val="-7"/>
                <w:sz w:val="18"/>
                <w:szCs w:val="18"/>
              </w:rPr>
              <w:t>中远海运科技（北京）有限公司</w:t>
            </w:r>
          </w:p>
        </w:tc>
        <w:tc>
          <w:tcPr>
            <w:tcW w:w="8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105"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1,103,850.55</w:t>
            </w:r>
          </w:p>
        </w:tc>
        <w:tc>
          <w:tcPr>
            <w:tcW w:w="13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1,103,850.54</w:t>
            </w:r>
          </w:p>
        </w:tc>
      </w:tr>
      <w:tr>
        <w:trPr>
          <w:trHeight w:val="485" w:hRule="exact"/>
        </w:trPr>
        <w:tc>
          <w:tcPr>
            <w:tcW w:w="2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上海船舶运输科学研究所</w:t>
            </w:r>
          </w:p>
        </w:tc>
        <w:tc>
          <w:tcPr>
            <w:tcW w:w="26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105" w:right="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p>
        </w:tc>
        <w:tc>
          <w:tcPr>
            <w:tcW w:w="8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105"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2,645,405.72</w:t>
            </w:r>
          </w:p>
        </w:tc>
        <w:tc>
          <w:tcPr>
            <w:tcW w:w="13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2,269,718.10</w:t>
            </w:r>
          </w:p>
        </w:tc>
      </w:tr>
      <w:tr>
        <w:trPr>
          <w:trHeight w:val="499" w:hRule="exact"/>
        </w:trPr>
        <w:tc>
          <w:tcPr>
            <w:tcW w:w="253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江门市远辉房地产有限公司</w:t>
            </w:r>
          </w:p>
        </w:tc>
        <w:tc>
          <w:tcPr>
            <w:tcW w:w="26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9"/>
              <w:ind w:left="105" w:right="0"/>
              <w:jc w:val="left"/>
              <w:rPr>
                <w:rFonts w:ascii="宋体" w:hAnsi="宋体" w:cs="宋体" w:eastAsia="宋体" w:hint="default"/>
                <w:sz w:val="18"/>
                <w:szCs w:val="18"/>
              </w:rPr>
            </w:pPr>
            <w:r>
              <w:rPr>
                <w:rFonts w:ascii="宋体" w:hAnsi="宋体" w:cs="宋体" w:eastAsia="宋体" w:hint="default"/>
                <w:sz w:val="18"/>
                <w:szCs w:val="18"/>
              </w:rPr>
              <w:t>中远网络航海科技有限公司</w:t>
            </w:r>
          </w:p>
        </w:tc>
        <w:tc>
          <w:tcPr>
            <w:tcW w:w="8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9"/>
              <w:ind w:left="105"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13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273,581.62</w:t>
            </w:r>
          </w:p>
        </w:tc>
        <w:tc>
          <w:tcPr>
            <w:tcW w:w="136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7"/>
              <w:jc w:val="right"/>
              <w:rPr>
                <w:rFonts w:ascii="Arial" w:hAnsi="Arial" w:cs="Arial" w:eastAsia="Arial" w:hint="default"/>
                <w:sz w:val="18"/>
                <w:szCs w:val="18"/>
              </w:rPr>
            </w:pPr>
            <w:r>
              <w:rPr>
                <w:rFonts w:ascii="Arial"/>
                <w:spacing w:val="-1"/>
                <w:sz w:val="18"/>
              </w:rPr>
              <w:t>249,190.48</w:t>
            </w:r>
          </w:p>
        </w:tc>
      </w:tr>
    </w:tbl>
    <w:p>
      <w:pPr>
        <w:spacing w:line="240" w:lineRule="auto" w:before="5"/>
        <w:rPr>
          <w:rFonts w:ascii="宋体" w:hAnsi="宋体" w:cs="宋体" w:eastAsia="宋体" w:hint="default"/>
          <w:sz w:val="5"/>
          <w:szCs w:val="5"/>
        </w:rPr>
      </w:pPr>
    </w:p>
    <w:p>
      <w:pPr>
        <w:pStyle w:val="BodyText"/>
        <w:spacing w:line="240" w:lineRule="auto" w:before="32"/>
        <w:ind w:left="592" w:right="1133"/>
        <w:jc w:val="left"/>
      </w:pPr>
      <w:r>
        <w:rPr/>
        <w:t>（</w:t>
      </w:r>
      <w:r>
        <w:rPr>
          <w:rFonts w:ascii="Arial" w:hAnsi="Arial" w:cs="Arial" w:eastAsia="Arial" w:hint="default"/>
        </w:rPr>
        <w:t>4</w:t>
      </w:r>
      <w:r>
        <w:rPr/>
        <w:t>）关键管理人员薪酬</w:t>
      </w:r>
    </w:p>
    <w:p>
      <w:pPr>
        <w:spacing w:line="240" w:lineRule="auto" w:before="8"/>
        <w:rPr>
          <w:rFonts w:ascii="宋体" w:hAnsi="宋体" w:cs="宋体" w:eastAsia="宋体" w:hint="default"/>
          <w:sz w:val="5"/>
          <w:szCs w:val="5"/>
        </w:rPr>
      </w:pPr>
    </w:p>
    <w:tbl>
      <w:tblPr>
        <w:tblW w:w="0" w:type="auto"/>
        <w:jc w:val="left"/>
        <w:tblInd w:w="542" w:type="dxa"/>
        <w:tblLayout w:type="fixed"/>
        <w:tblCellMar>
          <w:top w:w="0" w:type="dxa"/>
          <w:left w:w="0" w:type="dxa"/>
          <w:bottom w:w="0" w:type="dxa"/>
          <w:right w:w="0" w:type="dxa"/>
        </w:tblCellMar>
        <w:tblLook w:val="01E0"/>
      </w:tblPr>
      <w:tblGrid>
        <w:gridCol w:w="3579"/>
        <w:gridCol w:w="2568"/>
        <w:gridCol w:w="2672"/>
      </w:tblGrid>
      <w:tr>
        <w:trPr>
          <w:trHeight w:val="497" w:hRule="exact"/>
        </w:trPr>
        <w:tc>
          <w:tcPr>
            <w:tcW w:w="357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49"/>
              <w:ind w:left="18"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56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9"/>
              <w:ind w:left="832"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67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49"/>
              <w:ind w:left="883"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499" w:hRule="exact"/>
        </w:trPr>
        <w:tc>
          <w:tcPr>
            <w:tcW w:w="357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18" w:right="0"/>
              <w:jc w:val="center"/>
              <w:rPr>
                <w:rFonts w:ascii="宋体" w:hAnsi="宋体" w:cs="宋体" w:eastAsia="宋体" w:hint="default"/>
                <w:sz w:val="18"/>
                <w:szCs w:val="18"/>
              </w:rPr>
            </w:pPr>
            <w:r>
              <w:rPr>
                <w:rFonts w:ascii="宋体" w:hAnsi="宋体" w:cs="宋体" w:eastAsia="宋体" w:hint="default"/>
                <w:sz w:val="18"/>
                <w:szCs w:val="18"/>
              </w:rPr>
              <w:t>薪酬合计</w:t>
            </w:r>
          </w:p>
        </w:tc>
        <w:tc>
          <w:tcPr>
            <w:tcW w:w="25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485" w:right="0"/>
              <w:jc w:val="left"/>
              <w:rPr>
                <w:rFonts w:ascii="Arial" w:hAnsi="Arial" w:cs="Arial" w:eastAsia="Arial" w:hint="default"/>
                <w:sz w:val="18"/>
                <w:szCs w:val="18"/>
              </w:rPr>
            </w:pPr>
            <w:r>
              <w:rPr>
                <w:rFonts w:ascii="Arial"/>
                <w:sz w:val="18"/>
              </w:rPr>
              <w:t>8,002,729.00</w:t>
            </w:r>
          </w:p>
        </w:tc>
        <w:tc>
          <w:tcPr>
            <w:tcW w:w="267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589" w:right="0"/>
              <w:jc w:val="left"/>
              <w:rPr>
                <w:rFonts w:ascii="Arial" w:hAnsi="Arial" w:cs="Arial" w:eastAsia="Arial" w:hint="default"/>
                <w:sz w:val="18"/>
                <w:szCs w:val="18"/>
              </w:rPr>
            </w:pPr>
            <w:r>
              <w:rPr>
                <w:rFonts w:ascii="Arial"/>
                <w:sz w:val="18"/>
              </w:rPr>
              <w:t>3,070,659.50</w:t>
            </w:r>
          </w:p>
        </w:tc>
      </w:tr>
    </w:tbl>
    <w:p>
      <w:pPr>
        <w:pStyle w:val="Heading4"/>
        <w:spacing w:line="240" w:lineRule="auto" w:before="63"/>
        <w:ind w:left="647" w:right="1133"/>
        <w:jc w:val="left"/>
        <w:rPr>
          <w:b w:val="0"/>
          <w:bCs w:val="0"/>
        </w:rPr>
      </w:pPr>
      <w:r>
        <w:rPr>
          <w:rFonts w:ascii="Arial" w:hAnsi="Arial" w:cs="Arial" w:eastAsia="Arial" w:hint="default"/>
        </w:rPr>
        <w:t>3</w:t>
      </w:r>
      <w:r>
        <w:rPr/>
        <w:t>、关联方往来余额</w:t>
      </w:r>
      <w:r>
        <w:rPr>
          <w:b w:val="0"/>
          <w:bCs w:val="0"/>
        </w:rPr>
      </w:r>
    </w:p>
    <w:p>
      <w:pPr>
        <w:pStyle w:val="BodyText"/>
        <w:spacing w:line="240" w:lineRule="auto" w:before="138"/>
        <w:ind w:left="592" w:right="1133"/>
        <w:jc w:val="left"/>
      </w:pPr>
      <w:r>
        <w:rPr/>
        <w:t>（</w:t>
      </w:r>
      <w:r>
        <w:rPr>
          <w:rFonts w:ascii="Arial" w:hAnsi="Arial" w:cs="Arial" w:eastAsia="Arial" w:hint="default"/>
        </w:rPr>
        <w:t>1</w:t>
      </w:r>
      <w:r>
        <w:rPr/>
        <w:t>）应收项目</w:t>
      </w:r>
    </w:p>
    <w:p>
      <w:pPr>
        <w:spacing w:line="240" w:lineRule="auto" w:before="8"/>
        <w:rPr>
          <w:rFonts w:ascii="宋体" w:hAnsi="宋体" w:cs="宋体" w:eastAsia="宋体" w:hint="default"/>
          <w:sz w:val="5"/>
          <w:szCs w:val="5"/>
        </w:rPr>
      </w:pPr>
    </w:p>
    <w:tbl>
      <w:tblPr>
        <w:tblW w:w="0" w:type="auto"/>
        <w:jc w:val="left"/>
        <w:tblInd w:w="494" w:type="dxa"/>
        <w:tblLayout w:type="fixed"/>
        <w:tblCellMar>
          <w:top w:w="0" w:type="dxa"/>
          <w:left w:w="0" w:type="dxa"/>
          <w:bottom w:w="0" w:type="dxa"/>
          <w:right w:w="0" w:type="dxa"/>
        </w:tblCellMar>
        <w:tblLook w:val="01E0"/>
      </w:tblPr>
      <w:tblGrid>
        <w:gridCol w:w="1291"/>
        <w:gridCol w:w="2235"/>
        <w:gridCol w:w="1560"/>
        <w:gridCol w:w="1133"/>
        <w:gridCol w:w="1561"/>
        <w:gridCol w:w="1133"/>
      </w:tblGrid>
      <w:tr>
        <w:trPr>
          <w:trHeight w:val="497" w:hRule="exact"/>
        </w:trPr>
        <w:tc>
          <w:tcPr>
            <w:tcW w:w="1291"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29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235"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693"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693"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49"/>
              <w:ind w:left="1"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85" w:hRule="exact"/>
        </w:trPr>
        <w:tc>
          <w:tcPr>
            <w:tcW w:w="1291" w:type="dxa"/>
            <w:vMerge/>
            <w:tcBorders>
              <w:left w:val="nil" w:sz="6" w:space="0" w:color="auto"/>
              <w:bottom w:val="single" w:sz="2" w:space="0" w:color="000000"/>
              <w:right w:val="single" w:sz="2" w:space="0" w:color="000000"/>
            </w:tcBorders>
          </w:tcPr>
          <w:p>
            <w:pPr/>
          </w:p>
        </w:tc>
        <w:tc>
          <w:tcPr>
            <w:tcW w:w="2235" w:type="dxa"/>
            <w:vMerge/>
            <w:tcBorders>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4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20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4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left="20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0" w:hRule="exact"/>
        </w:trPr>
        <w:tc>
          <w:tcPr>
            <w:tcW w:w="12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35"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49"/>
              <w:ind w:left="107" w:right="103"/>
              <w:jc w:val="left"/>
              <w:rPr>
                <w:rFonts w:ascii="宋体" w:hAnsi="宋体" w:cs="宋体" w:eastAsia="宋体" w:hint="default"/>
                <w:sz w:val="18"/>
                <w:szCs w:val="18"/>
              </w:rPr>
            </w:pPr>
            <w:r>
              <w:rPr>
                <w:rFonts w:ascii="宋体" w:hAnsi="宋体" w:cs="宋体" w:eastAsia="宋体" w:hint="default"/>
                <w:spacing w:val="2"/>
                <w:sz w:val="18"/>
                <w:szCs w:val="18"/>
              </w:rPr>
              <w:t>中国远洋海运集团有限公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3"/>
              <w:jc w:val="right"/>
              <w:rPr>
                <w:rFonts w:ascii="Arial" w:hAnsi="Arial" w:cs="Arial" w:eastAsia="Arial" w:hint="default"/>
                <w:sz w:val="18"/>
                <w:szCs w:val="18"/>
              </w:rPr>
            </w:pPr>
            <w:r>
              <w:rPr>
                <w:rFonts w:ascii="Arial"/>
                <w:spacing w:val="-2"/>
                <w:sz w:val="18"/>
              </w:rPr>
              <w:t>60,645,711.66</w:t>
            </w:r>
          </w:p>
        </w:tc>
        <w:tc>
          <w:tcPr>
            <w:tcW w:w="1133" w:type="dxa"/>
            <w:tcBorders>
              <w:top w:val="single" w:sz="2" w:space="0" w:color="000000"/>
              <w:left w:val="single" w:sz="2" w:space="0" w:color="000000"/>
              <w:bottom w:val="single" w:sz="2" w:space="0" w:color="000000"/>
              <w:right w:val="single" w:sz="2" w:space="0" w:color="000000"/>
            </w:tcBorders>
          </w:tcPr>
          <w:p>
            <w:pP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1"/>
              <w:jc w:val="right"/>
              <w:rPr>
                <w:rFonts w:ascii="Arial" w:hAnsi="Arial" w:cs="Arial" w:eastAsia="Arial" w:hint="default"/>
                <w:sz w:val="18"/>
                <w:szCs w:val="18"/>
              </w:rPr>
            </w:pPr>
            <w:r>
              <w:rPr>
                <w:rFonts w:ascii="Arial"/>
                <w:spacing w:val="-1"/>
                <w:sz w:val="18"/>
              </w:rPr>
              <w:t>62,391,426.79</w:t>
            </w:r>
          </w:p>
        </w:tc>
        <w:tc>
          <w:tcPr>
            <w:tcW w:w="1133" w:type="dxa"/>
            <w:tcBorders>
              <w:top w:val="single" w:sz="2" w:space="0" w:color="000000"/>
              <w:left w:val="single" w:sz="2" w:space="0" w:color="000000"/>
              <w:bottom w:val="single" w:sz="2" w:space="0" w:color="000000"/>
              <w:right w:val="nil" w:sz="6" w:space="0" w:color="auto"/>
            </w:tcBorders>
          </w:tcPr>
          <w:p>
            <w:pPr/>
          </w:p>
        </w:tc>
      </w:tr>
      <w:tr>
        <w:trPr>
          <w:trHeight w:val="708" w:hRule="exact"/>
        </w:trPr>
        <w:tc>
          <w:tcPr>
            <w:tcW w:w="12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35" w:type="dxa"/>
            <w:tcBorders>
              <w:top w:val="single" w:sz="2" w:space="0" w:color="000000"/>
              <w:left w:val="single" w:sz="2" w:space="0" w:color="000000"/>
              <w:bottom w:val="single" w:sz="2" w:space="0" w:color="000000"/>
              <w:right w:val="single" w:sz="2" w:space="0" w:color="000000"/>
            </w:tcBorders>
          </w:tcPr>
          <w:p>
            <w:pPr>
              <w:pStyle w:val="TableParagraph"/>
              <w:spacing w:line="314" w:lineRule="auto" w:before="49"/>
              <w:ind w:left="107" w:right="103"/>
              <w:jc w:val="left"/>
              <w:rPr>
                <w:rFonts w:ascii="宋体" w:hAnsi="宋体" w:cs="宋体" w:eastAsia="宋体" w:hint="default"/>
                <w:sz w:val="18"/>
                <w:szCs w:val="18"/>
              </w:rPr>
            </w:pPr>
            <w:r>
              <w:rPr>
                <w:rFonts w:ascii="宋体" w:hAnsi="宋体" w:cs="宋体" w:eastAsia="宋体" w:hint="default"/>
                <w:spacing w:val="2"/>
                <w:sz w:val="18"/>
                <w:szCs w:val="18"/>
              </w:rPr>
              <w:t>中国远洋海运集团有限公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司其他下属子公司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3"/>
              <w:jc w:val="right"/>
              <w:rPr>
                <w:rFonts w:ascii="Arial" w:hAnsi="Arial" w:cs="Arial" w:eastAsia="Arial" w:hint="default"/>
                <w:sz w:val="18"/>
                <w:szCs w:val="18"/>
              </w:rPr>
            </w:pPr>
            <w:r>
              <w:rPr>
                <w:rFonts w:ascii="Arial"/>
                <w:spacing w:val="-1"/>
                <w:sz w:val="18"/>
              </w:rPr>
              <w:t>3,828,709.80</w:t>
            </w:r>
          </w:p>
        </w:tc>
        <w:tc>
          <w:tcPr>
            <w:tcW w:w="1133" w:type="dxa"/>
            <w:tcBorders>
              <w:top w:val="single" w:sz="2" w:space="0" w:color="000000"/>
              <w:left w:val="single" w:sz="2" w:space="0" w:color="000000"/>
              <w:bottom w:val="single" w:sz="2" w:space="0" w:color="000000"/>
              <w:right w:val="single" w:sz="2" w:space="0" w:color="000000"/>
            </w:tcBorders>
          </w:tcPr>
          <w:p>
            <w:pP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1"/>
              <w:jc w:val="right"/>
              <w:rPr>
                <w:rFonts w:ascii="Arial" w:hAnsi="Arial" w:cs="Arial" w:eastAsia="Arial" w:hint="default"/>
                <w:sz w:val="18"/>
                <w:szCs w:val="18"/>
              </w:rPr>
            </w:pPr>
            <w:r>
              <w:rPr>
                <w:rFonts w:ascii="Arial"/>
                <w:spacing w:val="-1"/>
                <w:sz w:val="18"/>
              </w:rPr>
              <w:t>6,422,816.81</w:t>
            </w:r>
          </w:p>
        </w:tc>
        <w:tc>
          <w:tcPr>
            <w:tcW w:w="1133" w:type="dxa"/>
            <w:tcBorders>
              <w:top w:val="single" w:sz="2" w:space="0" w:color="000000"/>
              <w:left w:val="single" w:sz="2" w:space="0" w:color="000000"/>
              <w:bottom w:val="single" w:sz="2" w:space="0" w:color="000000"/>
              <w:right w:val="nil" w:sz="6" w:space="0" w:color="auto"/>
            </w:tcBorders>
          </w:tcPr>
          <w:p>
            <w:pPr/>
          </w:p>
        </w:tc>
      </w:tr>
      <w:tr>
        <w:trPr>
          <w:trHeight w:val="500" w:hRule="exact"/>
        </w:trPr>
        <w:tc>
          <w:tcPr>
            <w:tcW w:w="129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50"/>
              <w:ind w:left="1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上海船舶运输科学研究所</w:t>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167,681.65</w:t>
            </w:r>
          </w:p>
        </w:tc>
        <w:tc>
          <w:tcPr>
            <w:tcW w:w="1133" w:type="dxa"/>
            <w:tcBorders>
              <w:top w:val="single" w:sz="2" w:space="0" w:color="000000"/>
              <w:left w:val="single" w:sz="2" w:space="0" w:color="000000"/>
              <w:bottom w:val="single" w:sz="12" w:space="0" w:color="000000"/>
              <w:right w:val="single" w:sz="2" w:space="0" w:color="000000"/>
            </w:tcBorders>
          </w:tcPr>
          <w:p>
            <w:pPr/>
          </w:p>
        </w:tc>
        <w:tc>
          <w:tcPr>
            <w:tcW w:w="15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145,730.90</w:t>
            </w:r>
          </w:p>
        </w:tc>
        <w:tc>
          <w:tcPr>
            <w:tcW w:w="1133"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494" w:type="dxa"/>
        <w:tblLayout w:type="fixed"/>
        <w:tblCellMar>
          <w:top w:w="0" w:type="dxa"/>
          <w:left w:w="0" w:type="dxa"/>
          <w:bottom w:w="0" w:type="dxa"/>
          <w:right w:w="0" w:type="dxa"/>
        </w:tblCellMar>
        <w:tblLook w:val="01E0"/>
      </w:tblPr>
      <w:tblGrid>
        <w:gridCol w:w="1291"/>
        <w:gridCol w:w="2235"/>
        <w:gridCol w:w="1560"/>
        <w:gridCol w:w="1133"/>
        <w:gridCol w:w="1561"/>
        <w:gridCol w:w="1133"/>
      </w:tblGrid>
      <w:tr>
        <w:trPr>
          <w:trHeight w:val="500" w:hRule="exact"/>
        </w:trPr>
        <w:tc>
          <w:tcPr>
            <w:tcW w:w="1291"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29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235"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693"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693"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left="1"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85" w:hRule="exact"/>
        </w:trPr>
        <w:tc>
          <w:tcPr>
            <w:tcW w:w="1291" w:type="dxa"/>
            <w:vMerge/>
            <w:tcBorders>
              <w:left w:val="nil" w:sz="6" w:space="0" w:color="auto"/>
              <w:bottom w:val="single" w:sz="2" w:space="0" w:color="000000"/>
              <w:right w:val="single" w:sz="2" w:space="0" w:color="000000"/>
            </w:tcBorders>
          </w:tcPr>
          <w:p>
            <w:pPr/>
          </w:p>
        </w:tc>
        <w:tc>
          <w:tcPr>
            <w:tcW w:w="2235" w:type="dxa"/>
            <w:vMerge/>
            <w:tcBorders>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4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20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4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left="20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08" w:hRule="exact"/>
        </w:trPr>
        <w:tc>
          <w:tcPr>
            <w:tcW w:w="12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35" w:type="dxa"/>
            <w:tcBorders>
              <w:top w:val="single" w:sz="2" w:space="0" w:color="000000"/>
              <w:left w:val="single" w:sz="2" w:space="0" w:color="000000"/>
              <w:bottom w:val="single" w:sz="2" w:space="0" w:color="000000"/>
              <w:right w:val="single" w:sz="2" w:space="0" w:color="000000"/>
            </w:tcBorders>
          </w:tcPr>
          <w:p>
            <w:pPr>
              <w:pStyle w:val="TableParagraph"/>
              <w:spacing w:line="314" w:lineRule="auto" w:before="49"/>
              <w:ind w:left="107" w:right="103"/>
              <w:jc w:val="left"/>
              <w:rPr>
                <w:rFonts w:ascii="宋体" w:hAnsi="宋体" w:cs="宋体" w:eastAsia="宋体" w:hint="default"/>
                <w:sz w:val="18"/>
                <w:szCs w:val="18"/>
              </w:rPr>
            </w:pPr>
            <w:r>
              <w:rPr>
                <w:rFonts w:ascii="宋体" w:hAnsi="宋体" w:cs="宋体" w:eastAsia="宋体" w:hint="default"/>
                <w:spacing w:val="2"/>
                <w:sz w:val="18"/>
                <w:szCs w:val="18"/>
              </w:rPr>
              <w:t>上海船舶运输科学研究所</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下属子公司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3"/>
              <w:jc w:val="right"/>
              <w:rPr>
                <w:rFonts w:ascii="Arial" w:hAnsi="Arial" w:cs="Arial" w:eastAsia="Arial" w:hint="default"/>
                <w:sz w:val="18"/>
                <w:szCs w:val="18"/>
              </w:rPr>
            </w:pPr>
            <w:r>
              <w:rPr>
                <w:rFonts w:ascii="Arial"/>
                <w:spacing w:val="-1"/>
                <w:sz w:val="18"/>
              </w:rPr>
              <w:t>80,943.39</w:t>
            </w:r>
          </w:p>
        </w:tc>
        <w:tc>
          <w:tcPr>
            <w:tcW w:w="1133" w:type="dxa"/>
            <w:tcBorders>
              <w:top w:val="single" w:sz="2" w:space="0" w:color="000000"/>
              <w:left w:val="single" w:sz="2" w:space="0" w:color="000000"/>
              <w:bottom w:val="single" w:sz="2" w:space="0" w:color="000000"/>
              <w:right w:val="single" w:sz="2" w:space="0" w:color="000000"/>
            </w:tcBorders>
          </w:tcPr>
          <w:p>
            <w:pPr/>
          </w:p>
        </w:tc>
        <w:tc>
          <w:tcPr>
            <w:tcW w:w="1561" w:type="dxa"/>
            <w:tcBorders>
              <w:top w:val="single" w:sz="2" w:space="0" w:color="000000"/>
              <w:left w:val="single" w:sz="2" w:space="0" w:color="000000"/>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nil" w:sz="6" w:space="0" w:color="auto"/>
            </w:tcBorders>
          </w:tcPr>
          <w:p>
            <w:pPr/>
          </w:p>
        </w:tc>
      </w:tr>
      <w:tr>
        <w:trPr>
          <w:trHeight w:val="708" w:hRule="exact"/>
        </w:trPr>
        <w:tc>
          <w:tcPr>
            <w:tcW w:w="12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35"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49"/>
              <w:ind w:left="107" w:right="103"/>
              <w:jc w:val="left"/>
              <w:rPr>
                <w:rFonts w:ascii="宋体" w:hAnsi="宋体" w:cs="宋体" w:eastAsia="宋体" w:hint="default"/>
                <w:sz w:val="18"/>
                <w:szCs w:val="18"/>
              </w:rPr>
            </w:pPr>
            <w:r>
              <w:rPr>
                <w:rFonts w:ascii="宋体" w:hAnsi="宋体" w:cs="宋体" w:eastAsia="宋体" w:hint="default"/>
                <w:spacing w:val="2"/>
                <w:sz w:val="18"/>
                <w:szCs w:val="18"/>
              </w:rPr>
              <w:t>中远海运古野通信导航科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技（上海）有限公司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3"/>
              <w:jc w:val="right"/>
              <w:rPr>
                <w:rFonts w:ascii="Arial" w:hAnsi="Arial" w:cs="Arial" w:eastAsia="Arial" w:hint="default"/>
                <w:sz w:val="18"/>
                <w:szCs w:val="18"/>
              </w:rPr>
            </w:pPr>
            <w:r>
              <w:rPr>
                <w:rFonts w:ascii="Arial"/>
                <w:spacing w:val="-1"/>
                <w:sz w:val="18"/>
              </w:rPr>
              <w:t>7,536.76</w:t>
            </w:r>
          </w:p>
        </w:tc>
        <w:tc>
          <w:tcPr>
            <w:tcW w:w="1133" w:type="dxa"/>
            <w:tcBorders>
              <w:top w:val="single" w:sz="2" w:space="0" w:color="000000"/>
              <w:left w:val="single" w:sz="2" w:space="0" w:color="000000"/>
              <w:bottom w:val="single" w:sz="2" w:space="0" w:color="000000"/>
              <w:right w:val="single" w:sz="2" w:space="0" w:color="000000"/>
            </w:tcBorders>
          </w:tcPr>
          <w:p>
            <w:pP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0"/>
              <w:jc w:val="right"/>
              <w:rPr>
                <w:rFonts w:ascii="Arial" w:hAnsi="Arial" w:cs="Arial" w:eastAsia="Arial" w:hint="default"/>
                <w:sz w:val="18"/>
                <w:szCs w:val="18"/>
              </w:rPr>
            </w:pPr>
            <w:r>
              <w:rPr>
                <w:rFonts w:ascii="Arial"/>
                <w:spacing w:val="-1"/>
                <w:sz w:val="18"/>
              </w:rPr>
              <w:t>84,974.77</w:t>
            </w:r>
          </w:p>
        </w:tc>
        <w:tc>
          <w:tcPr>
            <w:tcW w:w="1133" w:type="dxa"/>
            <w:tcBorders>
              <w:top w:val="single" w:sz="2" w:space="0" w:color="000000"/>
              <w:left w:val="single" w:sz="2" w:space="0" w:color="000000"/>
              <w:bottom w:val="single" w:sz="2" w:space="0" w:color="000000"/>
              <w:right w:val="nil" w:sz="6" w:space="0" w:color="auto"/>
            </w:tcBorders>
          </w:tcPr>
          <w:p>
            <w:pPr/>
          </w:p>
        </w:tc>
      </w:tr>
      <w:tr>
        <w:trPr>
          <w:trHeight w:val="710" w:hRule="exact"/>
        </w:trPr>
        <w:tc>
          <w:tcPr>
            <w:tcW w:w="12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35"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49"/>
              <w:ind w:left="107" w:right="102"/>
              <w:jc w:val="left"/>
              <w:rPr>
                <w:rFonts w:ascii="宋体" w:hAnsi="宋体" w:cs="宋体" w:eastAsia="宋体" w:hint="default"/>
                <w:sz w:val="18"/>
                <w:szCs w:val="18"/>
              </w:rPr>
            </w:pPr>
            <w:r>
              <w:rPr>
                <w:rFonts w:ascii="宋体" w:hAnsi="宋体" w:cs="宋体" w:eastAsia="宋体" w:hint="default"/>
                <w:spacing w:val="3"/>
                <w:sz w:val="18"/>
                <w:szCs w:val="18"/>
              </w:rPr>
              <w:t>中远海运集团财务有限责</w:t>
            </w:r>
            <w:r>
              <w:rPr>
                <w:rFonts w:ascii="宋体" w:hAnsi="宋体" w:cs="宋体" w:eastAsia="宋体" w:hint="default"/>
                <w:sz w:val="18"/>
                <w:szCs w:val="18"/>
              </w:rPr>
              <w:t> 任公司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3"/>
              <w:jc w:val="right"/>
              <w:rPr>
                <w:rFonts w:ascii="Arial" w:hAnsi="Arial" w:cs="Arial" w:eastAsia="Arial" w:hint="default"/>
                <w:sz w:val="18"/>
                <w:szCs w:val="18"/>
              </w:rPr>
            </w:pPr>
            <w:r>
              <w:rPr>
                <w:rFonts w:ascii="Arial"/>
                <w:spacing w:val="-1"/>
                <w:sz w:val="18"/>
              </w:rPr>
              <w:t>5,908.43</w:t>
            </w:r>
          </w:p>
        </w:tc>
        <w:tc>
          <w:tcPr>
            <w:tcW w:w="1133" w:type="dxa"/>
            <w:tcBorders>
              <w:top w:val="single" w:sz="2" w:space="0" w:color="000000"/>
              <w:left w:val="single" w:sz="2" w:space="0" w:color="000000"/>
              <w:bottom w:val="single" w:sz="2" w:space="0" w:color="000000"/>
              <w:right w:val="single" w:sz="2" w:space="0" w:color="000000"/>
            </w:tcBorders>
          </w:tcPr>
          <w:p>
            <w:pPr/>
          </w:p>
        </w:tc>
        <w:tc>
          <w:tcPr>
            <w:tcW w:w="1561" w:type="dxa"/>
            <w:tcBorders>
              <w:top w:val="single" w:sz="2" w:space="0" w:color="000000"/>
              <w:left w:val="single" w:sz="2" w:space="0" w:color="000000"/>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nil" w:sz="6" w:space="0" w:color="auto"/>
            </w:tcBorders>
          </w:tcPr>
          <w:p>
            <w:pPr/>
          </w:p>
        </w:tc>
      </w:tr>
      <w:tr>
        <w:trPr>
          <w:trHeight w:val="709" w:hRule="exact"/>
        </w:trPr>
        <w:tc>
          <w:tcPr>
            <w:tcW w:w="12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235"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49"/>
              <w:ind w:left="107" w:right="103"/>
              <w:jc w:val="left"/>
              <w:rPr>
                <w:rFonts w:ascii="宋体" w:hAnsi="宋体" w:cs="宋体" w:eastAsia="宋体" w:hint="default"/>
                <w:sz w:val="18"/>
                <w:szCs w:val="18"/>
              </w:rPr>
            </w:pPr>
            <w:r>
              <w:rPr>
                <w:rFonts w:ascii="宋体" w:hAnsi="宋体" w:cs="宋体" w:eastAsia="宋体" w:hint="default"/>
                <w:spacing w:val="2"/>
                <w:sz w:val="18"/>
                <w:szCs w:val="18"/>
              </w:rPr>
              <w:t>中国远洋海运集团有限公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司其他下属子公司</w:t>
            </w:r>
          </w:p>
        </w:tc>
        <w:tc>
          <w:tcPr>
            <w:tcW w:w="1560" w:type="dxa"/>
            <w:tcBorders>
              <w:top w:val="single" w:sz="2" w:space="0" w:color="000000"/>
              <w:left w:val="single" w:sz="2" w:space="0" w:color="000000"/>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single" w:sz="2" w:space="0" w:color="000000"/>
            </w:tcBorders>
          </w:tcPr>
          <w:p>
            <w:pP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1,321,396.13</w:t>
            </w:r>
          </w:p>
        </w:tc>
        <w:tc>
          <w:tcPr>
            <w:tcW w:w="1133" w:type="dxa"/>
            <w:tcBorders>
              <w:top w:val="single" w:sz="2" w:space="0" w:color="000000"/>
              <w:left w:val="single" w:sz="2" w:space="0" w:color="000000"/>
              <w:bottom w:val="single" w:sz="2" w:space="0" w:color="000000"/>
              <w:right w:val="nil" w:sz="6" w:space="0" w:color="auto"/>
            </w:tcBorders>
          </w:tcPr>
          <w:p>
            <w:pPr/>
          </w:p>
        </w:tc>
      </w:tr>
      <w:tr>
        <w:trPr>
          <w:trHeight w:val="710" w:hRule="exact"/>
        </w:trPr>
        <w:tc>
          <w:tcPr>
            <w:tcW w:w="12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235"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49"/>
              <w:ind w:left="107" w:right="103"/>
              <w:jc w:val="left"/>
              <w:rPr>
                <w:rFonts w:ascii="宋体" w:hAnsi="宋体" w:cs="宋体" w:eastAsia="宋体" w:hint="default"/>
                <w:sz w:val="18"/>
                <w:szCs w:val="18"/>
              </w:rPr>
            </w:pPr>
            <w:r>
              <w:rPr>
                <w:rFonts w:ascii="宋体" w:hAnsi="宋体" w:cs="宋体" w:eastAsia="宋体" w:hint="default"/>
                <w:spacing w:val="2"/>
                <w:sz w:val="18"/>
                <w:szCs w:val="18"/>
              </w:rPr>
              <w:t>上海华东电脑股份有限公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司及其下属子公司</w:t>
            </w:r>
          </w:p>
        </w:tc>
        <w:tc>
          <w:tcPr>
            <w:tcW w:w="1560" w:type="dxa"/>
            <w:tcBorders>
              <w:top w:val="single" w:sz="2" w:space="0" w:color="000000"/>
              <w:left w:val="single" w:sz="2" w:space="0" w:color="000000"/>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single" w:sz="2" w:space="0" w:color="000000"/>
            </w:tcBorders>
          </w:tcPr>
          <w:p>
            <w:pP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0"/>
              <w:jc w:val="right"/>
              <w:rPr>
                <w:rFonts w:ascii="Arial" w:hAnsi="Arial" w:cs="Arial" w:eastAsia="Arial" w:hint="default"/>
                <w:sz w:val="18"/>
                <w:szCs w:val="18"/>
              </w:rPr>
            </w:pPr>
            <w:r>
              <w:rPr>
                <w:rFonts w:ascii="Arial"/>
                <w:spacing w:val="-4"/>
                <w:sz w:val="18"/>
              </w:rPr>
              <w:t>11,117.70</w:t>
            </w:r>
          </w:p>
        </w:tc>
        <w:tc>
          <w:tcPr>
            <w:tcW w:w="1133" w:type="dxa"/>
            <w:tcBorders>
              <w:top w:val="single" w:sz="2" w:space="0" w:color="000000"/>
              <w:left w:val="single" w:sz="2" w:space="0" w:color="000000"/>
              <w:bottom w:val="single" w:sz="2" w:space="0" w:color="000000"/>
              <w:right w:val="nil" w:sz="6" w:space="0" w:color="auto"/>
            </w:tcBorders>
          </w:tcPr>
          <w:p>
            <w:pPr/>
          </w:p>
        </w:tc>
      </w:tr>
      <w:tr>
        <w:trPr>
          <w:trHeight w:val="708" w:hRule="exact"/>
        </w:trPr>
        <w:tc>
          <w:tcPr>
            <w:tcW w:w="12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235" w:type="dxa"/>
            <w:tcBorders>
              <w:top w:val="single" w:sz="2" w:space="0" w:color="000000"/>
              <w:left w:val="single" w:sz="2" w:space="0" w:color="000000"/>
              <w:bottom w:val="single" w:sz="2" w:space="0" w:color="000000"/>
              <w:right w:val="single" w:sz="2" w:space="0" w:color="000000"/>
            </w:tcBorders>
          </w:tcPr>
          <w:p>
            <w:pPr>
              <w:pStyle w:val="TableParagraph"/>
              <w:spacing w:line="314" w:lineRule="auto" w:before="49"/>
              <w:ind w:left="107" w:right="103"/>
              <w:jc w:val="left"/>
              <w:rPr>
                <w:rFonts w:ascii="宋体" w:hAnsi="宋体" w:cs="宋体" w:eastAsia="宋体" w:hint="default"/>
                <w:sz w:val="18"/>
                <w:szCs w:val="18"/>
              </w:rPr>
            </w:pPr>
            <w:r>
              <w:rPr>
                <w:rFonts w:ascii="宋体" w:hAnsi="宋体" w:cs="宋体" w:eastAsia="宋体" w:hint="default"/>
                <w:spacing w:val="2"/>
                <w:sz w:val="18"/>
                <w:szCs w:val="18"/>
              </w:rPr>
              <w:t>宁夏交投科技发展有限公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3"/>
              <w:jc w:val="right"/>
              <w:rPr>
                <w:rFonts w:ascii="Arial" w:hAnsi="Arial" w:cs="Arial" w:eastAsia="Arial" w:hint="default"/>
                <w:sz w:val="18"/>
                <w:szCs w:val="18"/>
              </w:rPr>
            </w:pPr>
            <w:r>
              <w:rPr>
                <w:rFonts w:ascii="Arial"/>
                <w:spacing w:val="-1"/>
                <w:sz w:val="18"/>
              </w:rPr>
              <w:t>66,829,859.00</w:t>
            </w:r>
          </w:p>
        </w:tc>
        <w:tc>
          <w:tcPr>
            <w:tcW w:w="1133" w:type="dxa"/>
            <w:tcBorders>
              <w:top w:val="single" w:sz="2" w:space="0" w:color="000000"/>
              <w:left w:val="single" w:sz="2" w:space="0" w:color="000000"/>
              <w:bottom w:val="single" w:sz="2" w:space="0" w:color="000000"/>
              <w:right w:val="single" w:sz="2" w:space="0" w:color="000000"/>
            </w:tcBorders>
          </w:tcPr>
          <w:p>
            <w:pPr/>
          </w:p>
        </w:tc>
        <w:tc>
          <w:tcPr>
            <w:tcW w:w="1561" w:type="dxa"/>
            <w:tcBorders>
              <w:top w:val="single" w:sz="2" w:space="0" w:color="000000"/>
              <w:left w:val="single" w:sz="2" w:space="0" w:color="000000"/>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nil" w:sz="6" w:space="0" w:color="auto"/>
            </w:tcBorders>
          </w:tcPr>
          <w:p>
            <w:pPr/>
          </w:p>
        </w:tc>
      </w:tr>
      <w:tr>
        <w:trPr>
          <w:trHeight w:val="722" w:hRule="exact"/>
        </w:trPr>
        <w:tc>
          <w:tcPr>
            <w:tcW w:w="129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35" w:type="dxa"/>
            <w:tcBorders>
              <w:top w:val="single" w:sz="2" w:space="0" w:color="000000"/>
              <w:left w:val="single" w:sz="2" w:space="0" w:color="000000"/>
              <w:bottom w:val="single" w:sz="12" w:space="0" w:color="000000"/>
              <w:right w:val="single" w:sz="2" w:space="0" w:color="000000"/>
            </w:tcBorders>
          </w:tcPr>
          <w:p>
            <w:pPr>
              <w:pStyle w:val="TableParagraph"/>
              <w:spacing w:line="316" w:lineRule="auto" w:before="49"/>
              <w:ind w:left="107" w:right="103"/>
              <w:jc w:val="left"/>
              <w:rPr>
                <w:rFonts w:ascii="宋体" w:hAnsi="宋体" w:cs="宋体" w:eastAsia="宋体" w:hint="default"/>
                <w:sz w:val="18"/>
                <w:szCs w:val="18"/>
              </w:rPr>
            </w:pPr>
            <w:r>
              <w:rPr>
                <w:rFonts w:ascii="宋体" w:hAnsi="宋体" w:cs="宋体" w:eastAsia="宋体" w:hint="default"/>
                <w:spacing w:val="2"/>
                <w:sz w:val="18"/>
                <w:szCs w:val="18"/>
              </w:rPr>
              <w:t>中国远洋海运集团有限公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司其他下属子公司</w:t>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1,455,500.00</w:t>
            </w:r>
          </w:p>
        </w:tc>
        <w:tc>
          <w:tcPr>
            <w:tcW w:w="1133" w:type="dxa"/>
            <w:tcBorders>
              <w:top w:val="single" w:sz="2" w:space="0" w:color="000000"/>
              <w:left w:val="single" w:sz="2" w:space="0" w:color="000000"/>
              <w:bottom w:val="single" w:sz="12" w:space="0" w:color="000000"/>
              <w:right w:val="single" w:sz="2" w:space="0" w:color="000000"/>
            </w:tcBorders>
          </w:tcPr>
          <w:p>
            <w:pPr/>
          </w:p>
        </w:tc>
        <w:tc>
          <w:tcPr>
            <w:tcW w:w="15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0"/>
              <w:jc w:val="right"/>
              <w:rPr>
                <w:rFonts w:ascii="Arial" w:hAnsi="Arial" w:cs="Arial" w:eastAsia="Arial" w:hint="default"/>
                <w:sz w:val="18"/>
                <w:szCs w:val="18"/>
              </w:rPr>
            </w:pPr>
            <w:r>
              <w:rPr>
                <w:rFonts w:ascii="Arial"/>
                <w:spacing w:val="-1"/>
                <w:sz w:val="18"/>
              </w:rPr>
              <w:t>62,600.27</w:t>
            </w:r>
          </w:p>
        </w:tc>
        <w:tc>
          <w:tcPr>
            <w:tcW w:w="1133" w:type="dxa"/>
            <w:tcBorders>
              <w:top w:val="single" w:sz="2" w:space="0" w:color="000000"/>
              <w:left w:val="single" w:sz="2" w:space="0" w:color="000000"/>
              <w:bottom w:val="single" w:sz="12" w:space="0" w:color="000000"/>
              <w:right w:val="nil" w:sz="6" w:space="0" w:color="auto"/>
            </w:tcBorders>
          </w:tcPr>
          <w:p>
            <w:pPr/>
          </w:p>
        </w:tc>
      </w:tr>
    </w:tbl>
    <w:p>
      <w:pPr>
        <w:spacing w:line="240" w:lineRule="auto" w:before="5"/>
        <w:rPr>
          <w:rFonts w:ascii="宋体" w:hAnsi="宋体" w:cs="宋体" w:eastAsia="宋体" w:hint="default"/>
          <w:sz w:val="5"/>
          <w:szCs w:val="5"/>
        </w:rPr>
      </w:pPr>
    </w:p>
    <w:p>
      <w:pPr>
        <w:pStyle w:val="BodyText"/>
        <w:spacing w:line="240" w:lineRule="auto" w:before="32"/>
        <w:ind w:left="592" w:right="1133"/>
        <w:jc w:val="left"/>
      </w:pPr>
      <w:r>
        <w:rPr/>
        <w:t>（</w:t>
      </w:r>
      <w:r>
        <w:rPr>
          <w:rFonts w:ascii="Arial" w:hAnsi="Arial" w:cs="Arial" w:eastAsia="Arial" w:hint="default"/>
        </w:rPr>
        <w:t>2</w:t>
      </w:r>
      <w:r>
        <w:rPr/>
        <w:t>）应付项目</w:t>
      </w:r>
    </w:p>
    <w:p>
      <w:pPr>
        <w:spacing w:line="240" w:lineRule="auto" w:before="8"/>
        <w:rPr>
          <w:rFonts w:ascii="宋体" w:hAnsi="宋体" w:cs="宋体" w:eastAsia="宋体" w:hint="default"/>
          <w:sz w:val="5"/>
          <w:szCs w:val="5"/>
        </w:rPr>
      </w:pPr>
    </w:p>
    <w:tbl>
      <w:tblPr>
        <w:tblW w:w="0" w:type="auto"/>
        <w:jc w:val="left"/>
        <w:tblInd w:w="580" w:type="dxa"/>
        <w:tblLayout w:type="fixed"/>
        <w:tblCellMar>
          <w:top w:w="0" w:type="dxa"/>
          <w:left w:w="0" w:type="dxa"/>
          <w:bottom w:w="0" w:type="dxa"/>
          <w:right w:w="0" w:type="dxa"/>
        </w:tblCellMar>
        <w:tblLook w:val="01E0"/>
      </w:tblPr>
      <w:tblGrid>
        <w:gridCol w:w="1334"/>
        <w:gridCol w:w="4035"/>
        <w:gridCol w:w="1685"/>
        <w:gridCol w:w="1685"/>
      </w:tblGrid>
      <w:tr>
        <w:trPr>
          <w:trHeight w:val="497" w:hRule="exact"/>
        </w:trPr>
        <w:tc>
          <w:tcPr>
            <w:tcW w:w="133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0"/>
              <w:ind w:left="31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403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68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0"/>
              <w:ind w:left="480"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68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0"/>
              <w:ind w:left="480"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487" w:hRule="exact"/>
        </w:trPr>
        <w:tc>
          <w:tcPr>
            <w:tcW w:w="13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2"/>
              <w:ind w:left="1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0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2"/>
              <w:ind w:left="105" w:right="0"/>
              <w:jc w:val="left"/>
              <w:rPr>
                <w:rFonts w:ascii="宋体" w:hAnsi="宋体" w:cs="宋体" w:eastAsia="宋体" w:hint="default"/>
                <w:sz w:val="18"/>
                <w:szCs w:val="18"/>
              </w:rPr>
            </w:pPr>
            <w:r>
              <w:rPr>
                <w:rFonts w:ascii="宋体" w:hAnsi="宋体" w:cs="宋体" w:eastAsia="宋体" w:hint="default"/>
                <w:sz w:val="18"/>
                <w:szCs w:val="18"/>
              </w:rPr>
              <w:t>上海船舶运输科学研究所其他下属子公司</w:t>
            </w:r>
          </w:p>
        </w:tc>
        <w:tc>
          <w:tcPr>
            <w:tcW w:w="16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2"/>
                <w:sz w:val="18"/>
              </w:rPr>
              <w:t>116,502.85</w:t>
            </w:r>
          </w:p>
        </w:tc>
        <w:tc>
          <w:tcPr>
            <w:tcW w:w="16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4"/>
              <w:jc w:val="right"/>
              <w:rPr>
                <w:rFonts w:ascii="Arial" w:hAnsi="Arial" w:cs="Arial" w:eastAsia="Arial" w:hint="default"/>
                <w:sz w:val="18"/>
                <w:szCs w:val="18"/>
              </w:rPr>
            </w:pPr>
            <w:r>
              <w:rPr>
                <w:rFonts w:ascii="Arial"/>
                <w:spacing w:val="-2"/>
                <w:sz w:val="18"/>
              </w:rPr>
              <w:t>114,680.00</w:t>
            </w:r>
          </w:p>
        </w:tc>
      </w:tr>
      <w:tr>
        <w:trPr>
          <w:trHeight w:val="485" w:hRule="exact"/>
        </w:trPr>
        <w:tc>
          <w:tcPr>
            <w:tcW w:w="13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0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105" w:right="0"/>
              <w:jc w:val="left"/>
              <w:rPr>
                <w:rFonts w:ascii="宋体" w:hAnsi="宋体" w:cs="宋体" w:eastAsia="宋体" w:hint="default"/>
                <w:sz w:val="18"/>
                <w:szCs w:val="18"/>
              </w:rPr>
            </w:pPr>
            <w:r>
              <w:rPr>
                <w:rFonts w:ascii="宋体" w:hAnsi="宋体" w:cs="宋体" w:eastAsia="宋体" w:hint="default"/>
                <w:sz w:val="18"/>
                <w:szCs w:val="18"/>
              </w:rPr>
              <w:t>中国远洋海运集团有限公司其他下属子公司</w:t>
            </w:r>
          </w:p>
        </w:tc>
        <w:tc>
          <w:tcPr>
            <w:tcW w:w="16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908,171.12</w:t>
            </w:r>
          </w:p>
        </w:tc>
        <w:tc>
          <w:tcPr>
            <w:tcW w:w="16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3,495,023.03</w:t>
            </w:r>
          </w:p>
        </w:tc>
      </w:tr>
      <w:tr>
        <w:trPr>
          <w:trHeight w:val="485" w:hRule="exact"/>
        </w:trPr>
        <w:tc>
          <w:tcPr>
            <w:tcW w:w="13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0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105" w:right="0"/>
              <w:jc w:val="left"/>
              <w:rPr>
                <w:rFonts w:ascii="宋体" w:hAnsi="宋体" w:cs="宋体" w:eastAsia="宋体" w:hint="default"/>
                <w:sz w:val="18"/>
                <w:szCs w:val="18"/>
              </w:rPr>
            </w:pPr>
            <w:r>
              <w:rPr>
                <w:rFonts w:ascii="宋体" w:hAnsi="宋体" w:cs="宋体" w:eastAsia="宋体" w:hint="default"/>
                <w:sz w:val="18"/>
                <w:szCs w:val="18"/>
              </w:rPr>
              <w:t>上海华东电脑股份有限公司及其下属子公司</w:t>
            </w:r>
          </w:p>
        </w:tc>
        <w:tc>
          <w:tcPr>
            <w:tcW w:w="16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3,627,589.20</w:t>
            </w:r>
          </w:p>
        </w:tc>
        <w:tc>
          <w:tcPr>
            <w:tcW w:w="16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1,763,000.00</w:t>
            </w:r>
          </w:p>
        </w:tc>
      </w:tr>
      <w:tr>
        <w:trPr>
          <w:trHeight w:val="485" w:hRule="exact"/>
        </w:trPr>
        <w:tc>
          <w:tcPr>
            <w:tcW w:w="13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0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105" w:right="0"/>
              <w:jc w:val="left"/>
              <w:rPr>
                <w:rFonts w:ascii="宋体" w:hAnsi="宋体" w:cs="宋体" w:eastAsia="宋体" w:hint="default"/>
                <w:sz w:val="18"/>
                <w:szCs w:val="18"/>
              </w:rPr>
            </w:pPr>
            <w:r>
              <w:rPr>
                <w:rFonts w:ascii="宋体" w:hAnsi="宋体" w:cs="宋体" w:eastAsia="宋体" w:hint="default"/>
                <w:sz w:val="18"/>
                <w:szCs w:val="18"/>
              </w:rPr>
              <w:t>中国远洋海运集团有限公司</w:t>
            </w:r>
          </w:p>
        </w:tc>
        <w:tc>
          <w:tcPr>
            <w:tcW w:w="16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30,833,099.17</w:t>
            </w:r>
          </w:p>
        </w:tc>
        <w:tc>
          <w:tcPr>
            <w:tcW w:w="16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41,613,684.04</w:t>
            </w:r>
          </w:p>
        </w:tc>
      </w:tr>
      <w:tr>
        <w:trPr>
          <w:trHeight w:val="485" w:hRule="exact"/>
        </w:trPr>
        <w:tc>
          <w:tcPr>
            <w:tcW w:w="13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0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105" w:right="0"/>
              <w:jc w:val="left"/>
              <w:rPr>
                <w:rFonts w:ascii="宋体" w:hAnsi="宋体" w:cs="宋体" w:eastAsia="宋体" w:hint="default"/>
                <w:sz w:val="18"/>
                <w:szCs w:val="18"/>
              </w:rPr>
            </w:pPr>
            <w:r>
              <w:rPr>
                <w:rFonts w:ascii="宋体" w:hAnsi="宋体" w:cs="宋体" w:eastAsia="宋体" w:hint="default"/>
                <w:sz w:val="18"/>
                <w:szCs w:val="18"/>
              </w:rPr>
              <w:t>中国远洋海运集团有限公司其他下属子公司</w:t>
            </w:r>
          </w:p>
        </w:tc>
        <w:tc>
          <w:tcPr>
            <w:tcW w:w="16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4"/>
              <w:jc w:val="right"/>
              <w:rPr>
                <w:rFonts w:ascii="Arial" w:hAnsi="Arial" w:cs="Arial" w:eastAsia="Arial" w:hint="default"/>
                <w:sz w:val="18"/>
                <w:szCs w:val="18"/>
              </w:rPr>
            </w:pPr>
            <w:r>
              <w:rPr>
                <w:rFonts w:ascii="Arial"/>
                <w:spacing w:val="-1"/>
                <w:sz w:val="18"/>
              </w:rPr>
              <w:t>101,791,663.27</w:t>
            </w:r>
          </w:p>
        </w:tc>
        <w:tc>
          <w:tcPr>
            <w:tcW w:w="16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2"/>
                <w:sz w:val="18"/>
              </w:rPr>
              <w:t>57,426,311.37</w:t>
            </w:r>
          </w:p>
        </w:tc>
      </w:tr>
      <w:tr>
        <w:trPr>
          <w:trHeight w:val="485" w:hRule="exact"/>
        </w:trPr>
        <w:tc>
          <w:tcPr>
            <w:tcW w:w="13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0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105" w:right="0"/>
              <w:jc w:val="left"/>
              <w:rPr>
                <w:rFonts w:ascii="宋体" w:hAnsi="宋体" w:cs="宋体" w:eastAsia="宋体" w:hint="default"/>
                <w:sz w:val="18"/>
                <w:szCs w:val="18"/>
              </w:rPr>
            </w:pPr>
            <w:r>
              <w:rPr>
                <w:rFonts w:ascii="宋体" w:hAnsi="宋体" w:cs="宋体" w:eastAsia="宋体" w:hint="default"/>
                <w:sz w:val="18"/>
                <w:szCs w:val="18"/>
              </w:rPr>
              <w:t>上海船舶运输科学研究所</w:t>
            </w:r>
          </w:p>
        </w:tc>
        <w:tc>
          <w:tcPr>
            <w:tcW w:w="16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1,645,013.49</w:t>
            </w:r>
          </w:p>
        </w:tc>
        <w:tc>
          <w:tcPr>
            <w:tcW w:w="16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1,047,742.75</w:t>
            </w:r>
          </w:p>
        </w:tc>
      </w:tr>
      <w:tr>
        <w:trPr>
          <w:trHeight w:val="485" w:hRule="exact"/>
        </w:trPr>
        <w:tc>
          <w:tcPr>
            <w:tcW w:w="13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0"/>
              <w:ind w:left="1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0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left="105" w:right="0"/>
              <w:jc w:val="left"/>
              <w:rPr>
                <w:rFonts w:ascii="宋体" w:hAnsi="宋体" w:cs="宋体" w:eastAsia="宋体" w:hint="default"/>
                <w:sz w:val="18"/>
                <w:szCs w:val="18"/>
              </w:rPr>
            </w:pPr>
            <w:r>
              <w:rPr>
                <w:rFonts w:ascii="宋体" w:hAnsi="宋体" w:cs="宋体" w:eastAsia="宋体" w:hint="default"/>
                <w:sz w:val="18"/>
                <w:szCs w:val="18"/>
              </w:rPr>
              <w:t>上海船舶运输科学研究所下属子公司</w:t>
            </w:r>
          </w:p>
        </w:tc>
        <w:tc>
          <w:tcPr>
            <w:tcW w:w="16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1,471,942.55</w:t>
            </w:r>
          </w:p>
        </w:tc>
        <w:tc>
          <w:tcPr>
            <w:tcW w:w="16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4"/>
              <w:jc w:val="right"/>
              <w:rPr>
                <w:rFonts w:ascii="Arial" w:hAnsi="Arial" w:cs="Arial" w:eastAsia="Arial" w:hint="default"/>
                <w:sz w:val="18"/>
                <w:szCs w:val="18"/>
              </w:rPr>
            </w:pPr>
            <w:r>
              <w:rPr>
                <w:rFonts w:ascii="Arial"/>
                <w:spacing w:val="-1"/>
                <w:sz w:val="18"/>
              </w:rPr>
              <w:t>635,530.19</w:t>
            </w:r>
          </w:p>
        </w:tc>
      </w:tr>
      <w:tr>
        <w:trPr>
          <w:trHeight w:val="485" w:hRule="exact"/>
        </w:trPr>
        <w:tc>
          <w:tcPr>
            <w:tcW w:w="13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0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105" w:right="0"/>
              <w:jc w:val="left"/>
              <w:rPr>
                <w:rFonts w:ascii="宋体" w:hAnsi="宋体" w:cs="宋体" w:eastAsia="宋体" w:hint="default"/>
                <w:sz w:val="18"/>
                <w:szCs w:val="18"/>
              </w:rPr>
            </w:pPr>
            <w:r>
              <w:rPr>
                <w:rFonts w:ascii="宋体" w:hAnsi="宋体" w:cs="宋体" w:eastAsia="宋体" w:hint="default"/>
                <w:sz w:val="18"/>
                <w:szCs w:val="18"/>
              </w:rPr>
              <w:t>中远海运集团财务有限责任公司</w:t>
            </w:r>
          </w:p>
        </w:tc>
        <w:tc>
          <w:tcPr>
            <w:tcW w:w="16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3,421,655.95</w:t>
            </w:r>
          </w:p>
        </w:tc>
        <w:tc>
          <w:tcPr>
            <w:tcW w:w="1685"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13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0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105" w:right="0"/>
              <w:jc w:val="left"/>
              <w:rPr>
                <w:rFonts w:ascii="宋体" w:hAnsi="宋体" w:cs="宋体" w:eastAsia="宋体" w:hint="default"/>
                <w:sz w:val="18"/>
                <w:szCs w:val="18"/>
              </w:rPr>
            </w:pPr>
            <w:r>
              <w:rPr>
                <w:rFonts w:ascii="宋体" w:hAnsi="宋体" w:cs="宋体" w:eastAsia="宋体" w:hint="default"/>
                <w:sz w:val="18"/>
                <w:szCs w:val="18"/>
              </w:rPr>
              <w:t>中国远洋海运集团有限公司其他下属子公司</w:t>
            </w:r>
          </w:p>
        </w:tc>
        <w:tc>
          <w:tcPr>
            <w:tcW w:w="16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2"/>
                <w:sz w:val="18"/>
              </w:rPr>
              <w:t>2,658,711.03</w:t>
            </w:r>
          </w:p>
        </w:tc>
        <w:tc>
          <w:tcPr>
            <w:tcW w:w="16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2,433,732.26</w:t>
            </w:r>
          </w:p>
        </w:tc>
      </w:tr>
      <w:tr>
        <w:trPr>
          <w:trHeight w:val="499" w:hRule="exact"/>
        </w:trPr>
        <w:tc>
          <w:tcPr>
            <w:tcW w:w="133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0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9"/>
              <w:ind w:left="105" w:right="0"/>
              <w:jc w:val="left"/>
              <w:rPr>
                <w:rFonts w:ascii="宋体" w:hAnsi="宋体" w:cs="宋体" w:eastAsia="宋体" w:hint="default"/>
                <w:sz w:val="18"/>
                <w:szCs w:val="18"/>
              </w:rPr>
            </w:pPr>
            <w:r>
              <w:rPr>
                <w:rFonts w:ascii="宋体" w:hAnsi="宋体" w:cs="宋体" w:eastAsia="宋体" w:hint="default"/>
                <w:sz w:val="18"/>
                <w:szCs w:val="18"/>
              </w:rPr>
              <w:t>上海船舶运输科学研究所</w:t>
            </w:r>
          </w:p>
        </w:tc>
        <w:tc>
          <w:tcPr>
            <w:tcW w:w="16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1,275,000.00</w:t>
            </w:r>
          </w:p>
        </w:tc>
        <w:tc>
          <w:tcPr>
            <w:tcW w:w="168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1,275,000.00</w:t>
            </w:r>
          </w:p>
        </w:tc>
      </w:tr>
    </w:tbl>
    <w:p>
      <w:pPr>
        <w:spacing w:line="348" w:lineRule="auto" w:before="62"/>
        <w:ind w:left="592" w:right="8562" w:firstLine="55"/>
        <w:jc w:val="left"/>
        <w:rPr>
          <w:rFonts w:ascii="宋体" w:hAnsi="宋体" w:cs="宋体" w:eastAsia="宋体" w:hint="default"/>
          <w:sz w:val="22"/>
          <w:szCs w:val="22"/>
        </w:rPr>
      </w:pPr>
      <w:r>
        <w:rPr>
          <w:rFonts w:ascii="Arial" w:hAnsi="Arial" w:cs="Arial" w:eastAsia="Arial" w:hint="default"/>
          <w:b/>
          <w:bCs/>
          <w:sz w:val="22"/>
          <w:szCs w:val="22"/>
        </w:rPr>
        <w:t>4</w:t>
      </w:r>
      <w:r>
        <w:rPr>
          <w:rFonts w:ascii="宋体" w:hAnsi="宋体" w:cs="宋体" w:eastAsia="宋体" w:hint="default"/>
          <w:b/>
          <w:bCs/>
          <w:sz w:val="22"/>
          <w:szCs w:val="22"/>
        </w:rPr>
        <w:t>、其他关联交易</w:t>
      </w:r>
      <w:r>
        <w:rPr>
          <w:rFonts w:ascii="宋体" w:hAnsi="宋体" w:cs="宋体" w:eastAsia="宋体" w:hint="default"/>
          <w:b/>
          <w:bCs/>
          <w:w w:val="99"/>
          <w:sz w:val="22"/>
          <w:szCs w:val="22"/>
        </w:rPr>
        <w:t> </w:t>
      </w:r>
      <w:r>
        <w:rPr>
          <w:rFonts w:ascii="宋体" w:hAnsi="宋体" w:cs="宋体" w:eastAsia="宋体" w:hint="default"/>
          <w:spacing w:val="-1"/>
          <w:sz w:val="22"/>
          <w:szCs w:val="22"/>
        </w:rPr>
        <w:t>存于财务公司存款</w:t>
      </w:r>
    </w:p>
    <w:tbl>
      <w:tblPr>
        <w:tblW w:w="0" w:type="auto"/>
        <w:jc w:val="left"/>
        <w:tblInd w:w="618" w:type="dxa"/>
        <w:tblLayout w:type="fixed"/>
        <w:tblCellMar>
          <w:top w:w="0" w:type="dxa"/>
          <w:left w:w="0" w:type="dxa"/>
          <w:bottom w:w="0" w:type="dxa"/>
          <w:right w:w="0" w:type="dxa"/>
        </w:tblCellMar>
        <w:tblLook w:val="01E0"/>
      </w:tblPr>
      <w:tblGrid>
        <w:gridCol w:w="3490"/>
        <w:gridCol w:w="2588"/>
        <w:gridCol w:w="2588"/>
      </w:tblGrid>
      <w:tr>
        <w:trPr>
          <w:trHeight w:val="500" w:hRule="exact"/>
        </w:trPr>
        <w:tc>
          <w:tcPr>
            <w:tcW w:w="349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42"/>
              <w:ind w:left="16"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58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58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99" w:hRule="exact"/>
        </w:trPr>
        <w:tc>
          <w:tcPr>
            <w:tcW w:w="349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0"/>
              <w:ind w:left="124" w:right="0"/>
              <w:jc w:val="left"/>
              <w:rPr>
                <w:rFonts w:ascii="宋体" w:hAnsi="宋体" w:cs="宋体" w:eastAsia="宋体" w:hint="default"/>
                <w:sz w:val="18"/>
                <w:szCs w:val="18"/>
              </w:rPr>
            </w:pPr>
            <w:r>
              <w:rPr>
                <w:rFonts w:ascii="宋体" w:hAnsi="宋体" w:cs="宋体" w:eastAsia="宋体" w:hint="default"/>
                <w:sz w:val="18"/>
                <w:szCs w:val="18"/>
              </w:rPr>
              <w:t>中远海运集团财务有限责任公司</w:t>
            </w:r>
          </w:p>
        </w:tc>
        <w:tc>
          <w:tcPr>
            <w:tcW w:w="258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6" w:right="0"/>
              <w:jc w:val="left"/>
              <w:rPr>
                <w:rFonts w:ascii="Arial" w:hAnsi="Arial" w:cs="Arial" w:eastAsia="Arial" w:hint="default"/>
                <w:sz w:val="18"/>
                <w:szCs w:val="18"/>
              </w:rPr>
            </w:pPr>
            <w:r>
              <w:rPr>
                <w:rFonts w:ascii="Arial"/>
                <w:sz w:val="18"/>
              </w:rPr>
              <w:t>991,347,922.49</w:t>
            </w:r>
          </w:p>
        </w:tc>
        <w:tc>
          <w:tcPr>
            <w:tcW w:w="258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7" w:right="0"/>
              <w:jc w:val="left"/>
              <w:rPr>
                <w:rFonts w:ascii="Arial" w:hAnsi="Arial" w:cs="Arial" w:eastAsia="Arial" w:hint="default"/>
                <w:sz w:val="18"/>
                <w:szCs w:val="18"/>
              </w:rPr>
            </w:pPr>
            <w:r>
              <w:rPr>
                <w:rFonts w:ascii="Arial"/>
                <w:sz w:val="18"/>
              </w:rPr>
              <w:t>613,383,052.31</w:t>
            </w:r>
          </w:p>
        </w:tc>
      </w:tr>
    </w:tbl>
    <w:p>
      <w:pPr>
        <w:spacing w:after="0" w:line="240" w:lineRule="auto"/>
        <w:jc w:val="left"/>
        <w:rPr>
          <w:rFonts w:ascii="Arial" w:hAnsi="Arial" w:cs="Arial" w:eastAsia="Arial"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3"/>
        <w:ind w:left="592" w:right="1133"/>
        <w:jc w:val="left"/>
      </w:pPr>
      <w:r>
        <w:rPr/>
        <w:t>本公司本年度存于中远海运集团财务有限责任公司的款项产生的利息为</w:t>
      </w:r>
      <w:r>
        <w:rPr>
          <w:spacing w:val="-58"/>
        </w:rPr>
        <w:t> </w:t>
      </w:r>
      <w:r>
        <w:rPr>
          <w:rFonts w:ascii="Arial" w:hAnsi="Arial" w:cs="Arial" w:eastAsia="Arial" w:hint="default"/>
        </w:rPr>
        <w:t>9,318,484.28</w:t>
      </w:r>
      <w:r>
        <w:rPr>
          <w:rFonts w:ascii="Arial" w:hAnsi="Arial" w:cs="Arial" w:eastAsia="Arial" w:hint="default"/>
          <w:spacing w:val="-12"/>
        </w:rPr>
        <w:t> </w:t>
      </w:r>
      <w:r>
        <w:rPr/>
        <w:t>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3"/>
        <w:spacing w:line="240" w:lineRule="auto" w:before="160"/>
        <w:ind w:right="0"/>
        <w:jc w:val="both"/>
        <w:rPr>
          <w:b w:val="0"/>
          <w:bCs w:val="0"/>
        </w:rPr>
      </w:pPr>
      <w:r>
        <w:rPr/>
        <w:t>十四、股份支付</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592" w:right="1133"/>
        <w:jc w:val="left"/>
      </w:pPr>
      <w:r>
        <w:rPr/>
        <w:t>截至资产负债表日，本年本公司无需披露的股份支付事项。</w:t>
      </w:r>
    </w:p>
    <w:p>
      <w:pPr>
        <w:spacing w:line="240" w:lineRule="auto" w:before="9"/>
        <w:rPr>
          <w:rFonts w:ascii="宋体" w:hAnsi="宋体" w:cs="宋体" w:eastAsia="宋体" w:hint="default"/>
          <w:sz w:val="23"/>
          <w:szCs w:val="23"/>
        </w:rPr>
      </w:pPr>
    </w:p>
    <w:p>
      <w:pPr>
        <w:pStyle w:val="Heading3"/>
        <w:spacing w:line="240" w:lineRule="auto"/>
        <w:ind w:right="0"/>
        <w:jc w:val="both"/>
        <w:rPr>
          <w:b w:val="0"/>
          <w:bCs w:val="0"/>
        </w:rPr>
      </w:pPr>
      <w:r>
        <w:rPr/>
        <w:t>十五、或有事项</w:t>
      </w:r>
      <w:r>
        <w:rPr>
          <w:b w:val="0"/>
          <w:bCs w:val="0"/>
        </w:rPr>
      </w:r>
    </w:p>
    <w:p>
      <w:pPr>
        <w:spacing w:line="240" w:lineRule="auto" w:before="9"/>
        <w:rPr>
          <w:rFonts w:ascii="宋体" w:hAnsi="宋体" w:cs="宋体" w:eastAsia="宋体" w:hint="default"/>
          <w:b/>
          <w:bCs/>
          <w:sz w:val="30"/>
          <w:szCs w:val="30"/>
        </w:rPr>
      </w:pPr>
    </w:p>
    <w:p>
      <w:pPr>
        <w:pStyle w:val="BodyText"/>
        <w:spacing w:line="240" w:lineRule="auto"/>
        <w:ind w:left="592" w:right="1133"/>
        <w:jc w:val="left"/>
      </w:pPr>
      <w:r>
        <w:rPr/>
        <w:t>截至资产负债表日，本年本公司无需披露的或有事项。</w:t>
      </w:r>
    </w:p>
    <w:p>
      <w:pPr>
        <w:spacing w:line="240" w:lineRule="auto" w:before="9"/>
        <w:rPr>
          <w:rFonts w:ascii="宋体" w:hAnsi="宋体" w:cs="宋体" w:eastAsia="宋体" w:hint="default"/>
          <w:sz w:val="23"/>
          <w:szCs w:val="23"/>
        </w:rPr>
      </w:pPr>
    </w:p>
    <w:p>
      <w:pPr>
        <w:pStyle w:val="Heading3"/>
        <w:spacing w:line="240" w:lineRule="auto"/>
        <w:ind w:right="0"/>
        <w:jc w:val="both"/>
        <w:rPr>
          <w:b w:val="0"/>
          <w:bCs w:val="0"/>
        </w:rPr>
      </w:pPr>
      <w:r>
        <w:rPr/>
        <w:t>十六、承诺事项</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592" w:right="1133"/>
        <w:jc w:val="left"/>
      </w:pPr>
      <w:r>
        <w:rPr/>
        <w:t>截至资产负债表日，本年本公司无需披露的重要承诺事项。</w:t>
      </w:r>
    </w:p>
    <w:p>
      <w:pPr>
        <w:spacing w:line="240" w:lineRule="auto" w:before="9"/>
        <w:rPr>
          <w:rFonts w:ascii="宋体" w:hAnsi="宋体" w:cs="宋体" w:eastAsia="宋体" w:hint="default"/>
          <w:sz w:val="23"/>
          <w:szCs w:val="23"/>
        </w:rPr>
      </w:pPr>
    </w:p>
    <w:p>
      <w:pPr>
        <w:pStyle w:val="Heading3"/>
        <w:spacing w:line="240" w:lineRule="auto"/>
        <w:ind w:right="0"/>
        <w:jc w:val="both"/>
        <w:rPr>
          <w:b w:val="0"/>
          <w:bCs w:val="0"/>
        </w:rPr>
      </w:pPr>
      <w:r>
        <w:rPr/>
        <w:t>十七、资产负债表日后事项</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592" w:right="1133"/>
        <w:jc w:val="left"/>
      </w:pPr>
      <w:r>
        <w:rPr>
          <w:rFonts w:ascii="Arial" w:hAnsi="Arial" w:cs="Arial" w:eastAsia="Arial" w:hint="default"/>
        </w:rPr>
        <w:t>1</w:t>
      </w:r>
      <w:r>
        <w:rPr/>
        <w:t>、贵州新思维股权转让事项</w:t>
      </w:r>
    </w:p>
    <w:p>
      <w:pPr>
        <w:pStyle w:val="BodyText"/>
        <w:spacing w:line="316" w:lineRule="auto" w:before="135"/>
        <w:ind w:right="1129" w:firstLine="439"/>
        <w:jc w:val="both"/>
      </w:pPr>
      <w:r>
        <w:rPr>
          <w:rFonts w:ascii="Arial" w:hAnsi="Arial" w:cs="Arial" w:eastAsia="Arial" w:hint="default"/>
        </w:rPr>
        <w:t>2019</w:t>
      </w:r>
      <w:r>
        <w:rPr>
          <w:rFonts w:ascii="Arial" w:hAnsi="Arial" w:cs="Arial" w:eastAsia="Arial" w:hint="default"/>
          <w:spacing w:val="-4"/>
        </w:rPr>
        <w:t> </w:t>
      </w:r>
      <w:r>
        <w:rPr/>
        <w:t>年</w:t>
      </w:r>
      <w:r>
        <w:rPr>
          <w:spacing w:val="-52"/>
        </w:rPr>
        <w:t> </w:t>
      </w:r>
      <w:r>
        <w:rPr>
          <w:rFonts w:ascii="Arial" w:hAnsi="Arial" w:cs="Arial" w:eastAsia="Arial" w:hint="default"/>
        </w:rPr>
        <w:t>12</w:t>
      </w:r>
      <w:r>
        <w:rPr>
          <w:rFonts w:ascii="Arial" w:hAnsi="Arial" w:cs="Arial" w:eastAsia="Arial" w:hint="default"/>
          <w:spacing w:val="-4"/>
        </w:rPr>
        <w:t> </w:t>
      </w:r>
      <w:r>
        <w:rPr/>
        <w:t>月</w:t>
      </w:r>
      <w:r>
        <w:rPr>
          <w:spacing w:val="-52"/>
        </w:rPr>
        <w:t> </w:t>
      </w:r>
      <w:r>
        <w:rPr>
          <w:rFonts w:ascii="Arial" w:hAnsi="Arial" w:cs="Arial" w:eastAsia="Arial" w:hint="default"/>
        </w:rPr>
        <w:t>30</w:t>
      </w:r>
      <w:r>
        <w:rPr>
          <w:rFonts w:ascii="Arial" w:hAnsi="Arial" w:cs="Arial" w:eastAsia="Arial" w:hint="default"/>
          <w:spacing w:val="-4"/>
        </w:rPr>
        <w:t> </w:t>
      </w:r>
      <w:r>
        <w:rPr/>
        <w:t>日，本公司与贵州高速公路集团有限公司、贵州中南交通科技有限公司签订股</w:t>
      </w:r>
      <w:r>
        <w:rPr>
          <w:w w:val="100"/>
        </w:rPr>
        <w:t> </w:t>
      </w:r>
      <w:r>
        <w:rPr>
          <w:spacing w:val="-5"/>
        </w:rPr>
        <w:t>权增资协议，以本公司持有的贵州新思维 </w:t>
      </w:r>
      <w:r>
        <w:rPr>
          <w:rFonts w:ascii="Arial" w:hAnsi="Arial" w:cs="Arial" w:eastAsia="Arial" w:hint="default"/>
        </w:rPr>
        <w:t>30%</w:t>
      </w:r>
      <w:r>
        <w:rPr/>
        <w:t>的股权及现金合计 </w:t>
      </w:r>
      <w:r>
        <w:rPr>
          <w:rFonts w:ascii="Arial" w:hAnsi="Arial" w:cs="Arial" w:eastAsia="Arial" w:hint="default"/>
        </w:rPr>
        <w:t>8,120.00</w:t>
      </w:r>
      <w:r>
        <w:rPr>
          <w:rFonts w:ascii="Arial" w:hAnsi="Arial" w:cs="Arial" w:eastAsia="Arial" w:hint="default"/>
          <w:spacing w:val="7"/>
        </w:rPr>
        <w:t> </w:t>
      </w:r>
      <w:r>
        <w:rPr/>
        <w:t>万元对贵州中南交通科技</w:t>
      </w:r>
      <w:r>
        <w:rPr>
          <w:w w:val="100"/>
        </w:rPr>
        <w:t> </w:t>
      </w:r>
      <w:r>
        <w:rPr/>
        <w:t>有限公司进行增资。根据增资协议，本公司转让贵州新思维</w:t>
      </w:r>
      <w:r>
        <w:rPr>
          <w:spacing w:val="61"/>
        </w:rPr>
        <w:t> </w:t>
      </w:r>
      <w:r>
        <w:rPr>
          <w:rFonts w:ascii="Arial" w:hAnsi="Arial" w:cs="Arial" w:eastAsia="Arial" w:hint="default"/>
        </w:rPr>
        <w:t>30%</w:t>
      </w:r>
      <w:r>
        <w:rPr/>
        <w:t>股权的交割日为贵州新思维办理完</w:t>
      </w:r>
      <w:r>
        <w:rPr>
          <w:spacing w:val="-105"/>
        </w:rPr>
        <w:t> </w:t>
      </w:r>
      <w:r>
        <w:rPr>
          <w:spacing w:val="-105"/>
        </w:rPr>
      </w:r>
      <w:r>
        <w:rPr/>
        <w:t>毕股东变更的工商登记手续之日。贵州新思维于</w:t>
      </w:r>
      <w:r>
        <w:rPr>
          <w:spacing w:val="-41"/>
        </w:rPr>
        <w:t> </w:t>
      </w:r>
      <w:r>
        <w:rPr>
          <w:rFonts w:ascii="Arial" w:hAnsi="Arial" w:cs="Arial" w:eastAsia="Arial" w:hint="default"/>
        </w:rPr>
        <w:t>2020</w:t>
      </w:r>
      <w:r>
        <w:rPr>
          <w:rFonts w:ascii="Arial" w:hAnsi="Arial" w:cs="Arial" w:eastAsia="Arial" w:hint="default"/>
          <w:spacing w:val="7"/>
        </w:rPr>
        <w:t> </w:t>
      </w:r>
      <w:r>
        <w:rPr/>
        <w:t>年</w:t>
      </w:r>
      <w:r>
        <w:rPr>
          <w:spacing w:val="-42"/>
        </w:rPr>
        <w:t> </w:t>
      </w:r>
      <w:r>
        <w:rPr>
          <w:rFonts w:ascii="Arial" w:hAnsi="Arial" w:cs="Arial" w:eastAsia="Arial" w:hint="default"/>
        </w:rPr>
        <w:t>1</w:t>
      </w:r>
      <w:r>
        <w:rPr>
          <w:rFonts w:ascii="Arial" w:hAnsi="Arial" w:cs="Arial" w:eastAsia="Arial" w:hint="default"/>
          <w:spacing w:val="7"/>
        </w:rPr>
        <w:t> </w:t>
      </w:r>
      <w:r>
        <w:rPr/>
        <w:t>月</w:t>
      </w:r>
      <w:r>
        <w:rPr>
          <w:spacing w:val="-42"/>
        </w:rPr>
        <w:t> </w:t>
      </w:r>
      <w:r>
        <w:rPr>
          <w:rFonts w:ascii="Arial" w:hAnsi="Arial" w:cs="Arial" w:eastAsia="Arial" w:hint="default"/>
        </w:rPr>
        <w:t>17</w:t>
      </w:r>
      <w:r>
        <w:rPr>
          <w:rFonts w:ascii="Arial" w:hAnsi="Arial" w:cs="Arial" w:eastAsia="Arial" w:hint="default"/>
          <w:spacing w:val="7"/>
        </w:rPr>
        <w:t> </w:t>
      </w:r>
      <w:r>
        <w:rPr/>
        <w:t>日完成工商登记手续并取得新的营</w:t>
      </w:r>
      <w:r>
        <w:rPr>
          <w:w w:val="100"/>
        </w:rPr>
        <w:t> </w:t>
      </w:r>
      <w:r>
        <w:rPr/>
        <w:t>业执照。</w:t>
      </w:r>
    </w:p>
    <w:p>
      <w:pPr>
        <w:pStyle w:val="BodyText"/>
        <w:spacing w:line="240" w:lineRule="auto" w:before="81"/>
        <w:ind w:left="592" w:right="1133"/>
        <w:jc w:val="left"/>
      </w:pPr>
      <w:r>
        <w:rPr>
          <w:rFonts w:ascii="Arial" w:hAnsi="Arial" w:cs="Arial" w:eastAsia="Arial" w:hint="default"/>
        </w:rPr>
        <w:t>2</w:t>
      </w:r>
      <w:r>
        <w:rPr/>
        <w:t>、深圳一海通全球供应链管理有限公司股权转让事项</w:t>
      </w:r>
    </w:p>
    <w:p>
      <w:pPr>
        <w:pStyle w:val="BodyText"/>
        <w:spacing w:line="321" w:lineRule="auto" w:before="138"/>
        <w:ind w:right="1128" w:firstLine="439"/>
        <w:jc w:val="both"/>
      </w:pPr>
      <w:r>
        <w:rPr>
          <w:rFonts w:ascii="Arial" w:hAnsi="Arial" w:cs="Arial" w:eastAsia="Arial" w:hint="default"/>
        </w:rPr>
        <w:t>2019 </w:t>
      </w:r>
      <w:r>
        <w:rPr>
          <w:spacing w:val="-5"/>
        </w:rPr>
        <w:t>年，本公司与 </w:t>
      </w:r>
      <w:r>
        <w:rPr>
          <w:rFonts w:ascii="Arial" w:hAnsi="Arial" w:cs="Arial" w:eastAsia="Arial" w:hint="default"/>
        </w:rPr>
        <w:t>Gold </w:t>
      </w:r>
      <w:r>
        <w:rPr>
          <w:rFonts w:ascii="Arial" w:hAnsi="Arial" w:cs="Arial" w:eastAsia="Arial" w:hint="default"/>
          <w:spacing w:val="-5"/>
        </w:rPr>
        <w:t>Talent </w:t>
      </w:r>
      <w:r>
        <w:rPr>
          <w:rFonts w:ascii="Arial" w:hAnsi="Arial" w:cs="Arial" w:eastAsia="Arial" w:hint="default"/>
        </w:rPr>
        <w:t>(HK) Limited</w:t>
      </w:r>
      <w:r>
        <w:rPr>
          <w:rFonts w:ascii="Arial" w:hAnsi="Arial" w:cs="Arial" w:eastAsia="Arial" w:hint="default"/>
          <w:spacing w:val="13"/>
        </w:rPr>
        <w:t> </w:t>
      </w:r>
      <w:r>
        <w:rPr>
          <w:spacing w:val="-3"/>
        </w:rPr>
        <w:t>签订股权转让协议，将本公司持有的深圳一海通全</w:t>
      </w:r>
      <w:r>
        <w:rPr>
          <w:w w:val="100"/>
        </w:rPr>
        <w:t> </w:t>
      </w:r>
      <w:r>
        <w:rPr/>
        <w:t>球供应链管理有限公司</w:t>
      </w:r>
      <w:r>
        <w:rPr>
          <w:spacing w:val="-56"/>
        </w:rPr>
        <w:t> </w:t>
      </w:r>
      <w:r>
        <w:rPr>
          <w:rFonts w:ascii="Arial" w:hAnsi="Arial" w:cs="Arial" w:eastAsia="Arial" w:hint="default"/>
        </w:rPr>
        <w:t>25.00%</w:t>
      </w:r>
      <w:r>
        <w:rPr/>
        <w:t>股权转让给</w:t>
      </w:r>
      <w:r>
        <w:rPr>
          <w:spacing w:val="-56"/>
        </w:rPr>
        <w:t> </w:t>
      </w:r>
      <w:r>
        <w:rPr>
          <w:rFonts w:ascii="Arial" w:hAnsi="Arial" w:cs="Arial" w:eastAsia="Arial" w:hint="default"/>
        </w:rPr>
        <w:t>Gold</w:t>
      </w:r>
      <w:r>
        <w:rPr>
          <w:rFonts w:ascii="Arial" w:hAnsi="Arial" w:cs="Arial" w:eastAsia="Arial" w:hint="default"/>
          <w:spacing w:val="4"/>
        </w:rPr>
        <w:t> </w:t>
      </w:r>
      <w:r>
        <w:rPr>
          <w:rFonts w:ascii="Arial" w:hAnsi="Arial" w:cs="Arial" w:eastAsia="Arial" w:hint="default"/>
          <w:spacing w:val="-5"/>
        </w:rPr>
        <w:t>Talent</w:t>
      </w:r>
      <w:r>
        <w:rPr>
          <w:rFonts w:ascii="Arial" w:hAnsi="Arial" w:cs="Arial" w:eastAsia="Arial" w:hint="default"/>
          <w:spacing w:val="10"/>
        </w:rPr>
        <w:t> </w:t>
      </w:r>
      <w:r>
        <w:rPr>
          <w:rFonts w:ascii="Arial" w:hAnsi="Arial" w:cs="Arial" w:eastAsia="Arial" w:hint="default"/>
        </w:rPr>
        <w:t>(HK)</w:t>
      </w:r>
      <w:r>
        <w:rPr>
          <w:rFonts w:ascii="Arial" w:hAnsi="Arial" w:cs="Arial" w:eastAsia="Arial" w:hint="default"/>
          <w:spacing w:val="8"/>
        </w:rPr>
        <w:t> </w:t>
      </w:r>
      <w:r>
        <w:rPr>
          <w:rFonts w:ascii="Arial" w:hAnsi="Arial" w:cs="Arial" w:eastAsia="Arial" w:hint="default"/>
        </w:rPr>
        <w:t>Limited</w:t>
      </w:r>
      <w:r>
        <w:rPr/>
        <w:t>，股权转让款为</w:t>
      </w:r>
      <w:r>
        <w:rPr>
          <w:spacing w:val="-1"/>
        </w:rPr>
        <w:t> </w:t>
      </w:r>
      <w:r>
        <w:rPr>
          <w:rFonts w:ascii="Arial" w:hAnsi="Arial" w:cs="Arial" w:eastAsia="Arial" w:hint="default"/>
        </w:rPr>
        <w:t>13,234,350.00</w:t>
      </w:r>
      <w:r>
        <w:rPr>
          <w:rFonts w:ascii="Arial" w:hAnsi="Arial" w:cs="Arial" w:eastAsia="Arial" w:hint="default"/>
          <w:w w:val="100"/>
        </w:rPr>
        <w:t> </w:t>
      </w:r>
      <w:r>
        <w:rPr>
          <w:spacing w:val="-2"/>
        </w:rPr>
        <w:t>元。根据股权转让协议，本次股权转让之股权交割日系工商变更登记办理完成之日。深圳一海通全球</w:t>
      </w:r>
      <w:r>
        <w:rPr>
          <w:spacing w:val="-70"/>
        </w:rPr>
        <w:t> </w:t>
      </w:r>
      <w:r>
        <w:rPr>
          <w:spacing w:val="-70"/>
        </w:rPr>
      </w:r>
      <w:r>
        <w:rPr/>
        <w:t>供应链管理有限公司于</w:t>
      </w:r>
      <w:r>
        <w:rPr>
          <w:spacing w:val="-56"/>
        </w:rPr>
        <w:t> </w:t>
      </w:r>
      <w:r>
        <w:rPr>
          <w:rFonts w:ascii="Arial" w:hAnsi="Arial" w:cs="Arial" w:eastAsia="Arial" w:hint="default"/>
        </w:rPr>
        <w:t>2020</w:t>
      </w:r>
      <w:r>
        <w:rPr>
          <w:rFonts w:ascii="Arial" w:hAnsi="Arial" w:cs="Arial" w:eastAsia="Arial" w:hint="default"/>
          <w:spacing w:val="-7"/>
        </w:rPr>
        <w:t> </w:t>
      </w:r>
      <w:r>
        <w:rPr/>
        <w:t>年</w:t>
      </w:r>
      <w:r>
        <w:rPr>
          <w:spacing w:val="-56"/>
        </w:rPr>
        <w:t> </w:t>
      </w:r>
      <w:r>
        <w:rPr>
          <w:rFonts w:ascii="Arial" w:hAnsi="Arial" w:cs="Arial" w:eastAsia="Arial" w:hint="default"/>
        </w:rPr>
        <w:t>1</w:t>
      </w:r>
      <w:r>
        <w:rPr>
          <w:rFonts w:ascii="Arial" w:hAnsi="Arial" w:cs="Arial" w:eastAsia="Arial" w:hint="default"/>
          <w:spacing w:val="-8"/>
        </w:rPr>
        <w:t> </w:t>
      </w:r>
      <w:r>
        <w:rPr/>
        <w:t>月</w:t>
      </w:r>
      <w:r>
        <w:rPr>
          <w:spacing w:val="-56"/>
        </w:rPr>
        <w:t> </w:t>
      </w:r>
      <w:r>
        <w:rPr>
          <w:rFonts w:ascii="Arial" w:hAnsi="Arial" w:cs="Arial" w:eastAsia="Arial" w:hint="default"/>
        </w:rPr>
        <w:t>2</w:t>
      </w:r>
      <w:r>
        <w:rPr>
          <w:rFonts w:ascii="Arial" w:hAnsi="Arial" w:cs="Arial" w:eastAsia="Arial" w:hint="default"/>
          <w:spacing w:val="-8"/>
        </w:rPr>
        <w:t> </w:t>
      </w:r>
      <w:r>
        <w:rPr/>
        <w:t>日办理完成股东变更的工商登记手续并取得新的营业执照。</w:t>
      </w:r>
    </w:p>
    <w:p>
      <w:pPr>
        <w:pStyle w:val="BodyText"/>
        <w:spacing w:line="240" w:lineRule="auto" w:before="52"/>
        <w:ind w:left="592" w:right="1133"/>
        <w:jc w:val="left"/>
      </w:pPr>
      <w:r>
        <w:rPr>
          <w:rFonts w:ascii="Arial" w:hAnsi="Arial" w:cs="Arial" w:eastAsia="Arial" w:hint="default"/>
        </w:rPr>
        <w:t>3</w:t>
      </w:r>
      <w:r>
        <w:rPr/>
        <w:t>、限制性股票激励计划事项</w:t>
      </w:r>
    </w:p>
    <w:p>
      <w:pPr>
        <w:pStyle w:val="BodyText"/>
        <w:spacing w:line="240" w:lineRule="auto" w:before="135"/>
        <w:ind w:left="592" w:right="0"/>
        <w:jc w:val="left"/>
      </w:pPr>
      <w:r>
        <w:rPr/>
        <w:t>根据本公司于</w:t>
      </w:r>
      <w:r>
        <w:rPr>
          <w:spacing w:val="-48"/>
        </w:rPr>
        <w:t> </w:t>
      </w:r>
      <w:r>
        <w:rPr>
          <w:rFonts w:ascii="Arial" w:hAnsi="Arial" w:cs="Arial" w:eastAsia="Arial" w:hint="default"/>
        </w:rPr>
        <w:t>2019</w:t>
      </w:r>
      <w:r>
        <w:rPr>
          <w:rFonts w:ascii="Arial" w:hAnsi="Arial" w:cs="Arial" w:eastAsia="Arial" w:hint="default"/>
          <w:spacing w:val="-2"/>
        </w:rPr>
        <w:t> </w:t>
      </w:r>
      <w:r>
        <w:rPr/>
        <w:t>年</w:t>
      </w:r>
      <w:r>
        <w:rPr>
          <w:spacing w:val="-48"/>
        </w:rPr>
        <w:t> </w:t>
      </w:r>
      <w:r>
        <w:rPr>
          <w:rFonts w:ascii="Arial" w:hAnsi="Arial" w:cs="Arial" w:eastAsia="Arial" w:hint="default"/>
        </w:rPr>
        <w:t>12 </w:t>
      </w:r>
      <w:r>
        <w:rPr/>
        <w:t>月</w:t>
      </w:r>
      <w:r>
        <w:rPr>
          <w:spacing w:val="-48"/>
        </w:rPr>
        <w:t> </w:t>
      </w:r>
      <w:r>
        <w:rPr>
          <w:rFonts w:ascii="Arial" w:hAnsi="Arial" w:cs="Arial" w:eastAsia="Arial" w:hint="default"/>
        </w:rPr>
        <w:t>9 </w:t>
      </w:r>
      <w:r>
        <w:rPr>
          <w:spacing w:val="-3"/>
        </w:rPr>
        <w:t>日召开的第六届董事会第十五次会议审议通过的《关于</w:t>
      </w:r>
      <w:r>
        <w:rPr>
          <w:rFonts w:ascii="Arial" w:hAnsi="Arial" w:cs="Arial" w:eastAsia="Arial" w:hint="default"/>
          <w:spacing w:val="-3"/>
        </w:rPr>
        <w:t>&lt;</w:t>
      </w:r>
      <w:r>
        <w:rPr>
          <w:spacing w:val="-3"/>
        </w:rPr>
        <w:t>中远海运</w:t>
      </w:r>
    </w:p>
    <w:p>
      <w:pPr>
        <w:pStyle w:val="BodyText"/>
        <w:spacing w:line="324" w:lineRule="auto" w:before="97"/>
        <w:ind w:right="1128"/>
        <w:jc w:val="both"/>
      </w:pPr>
      <w:r>
        <w:rPr>
          <w:spacing w:val="-1"/>
          <w:w w:val="100"/>
        </w:rPr>
        <w:t>科技股份有限公司</w:t>
      </w:r>
      <w:r>
        <w:rPr>
          <w:spacing w:val="-55"/>
          <w:w w:val="100"/>
        </w:rPr>
        <w:t> </w:t>
      </w:r>
      <w:r>
        <w:rPr>
          <w:rFonts w:ascii="Arial" w:hAnsi="Arial" w:cs="Arial" w:eastAsia="Arial" w:hint="default"/>
          <w:spacing w:val="-1"/>
          <w:w w:val="100"/>
        </w:rPr>
        <w:t>2019</w:t>
      </w:r>
      <w:r>
        <w:rPr>
          <w:rFonts w:ascii="Arial" w:hAnsi="Arial" w:cs="Arial" w:eastAsia="Arial" w:hint="default"/>
          <w:spacing w:val="-9"/>
          <w:w w:val="100"/>
        </w:rPr>
        <w:t> </w:t>
      </w:r>
      <w:r>
        <w:rPr>
          <w:spacing w:val="-6"/>
          <w:w w:val="100"/>
        </w:rPr>
        <w:t>年限制性股票激励计划（草案）</w:t>
      </w:r>
      <w:r>
        <w:rPr>
          <w:rFonts w:ascii="Arial" w:hAnsi="Arial" w:cs="Arial" w:eastAsia="Arial" w:hint="default"/>
          <w:spacing w:val="-6"/>
          <w:w w:val="100"/>
        </w:rPr>
        <w:t>&gt;</w:t>
      </w:r>
      <w:r>
        <w:rPr>
          <w:spacing w:val="-6"/>
          <w:w w:val="100"/>
        </w:rPr>
        <w:t>及其摘要的议案》、</w:t>
      </w:r>
      <w:r>
        <w:rPr>
          <w:rFonts w:ascii="Arial" w:hAnsi="Arial" w:cs="Arial" w:eastAsia="Arial" w:hint="default"/>
          <w:spacing w:val="-6"/>
          <w:w w:val="100"/>
        </w:rPr>
        <w:t>2020 </w:t>
      </w:r>
      <w:r>
        <w:rPr>
          <w:w w:val="100"/>
        </w:rPr>
        <w:t>年</w:t>
      </w:r>
      <w:r>
        <w:rPr>
          <w:spacing w:val="-55"/>
          <w:w w:val="100"/>
        </w:rPr>
        <w:t> </w:t>
      </w:r>
      <w:r>
        <w:rPr>
          <w:rFonts w:ascii="Arial" w:hAnsi="Arial" w:cs="Arial" w:eastAsia="Arial" w:hint="default"/>
          <w:w w:val="100"/>
        </w:rPr>
        <w:t>1</w:t>
      </w:r>
      <w:r>
        <w:rPr>
          <w:rFonts w:ascii="Arial" w:hAnsi="Arial" w:cs="Arial" w:eastAsia="Arial" w:hint="default"/>
          <w:spacing w:val="-9"/>
          <w:w w:val="100"/>
        </w:rPr>
        <w:t> </w:t>
      </w:r>
      <w:r>
        <w:rPr>
          <w:w w:val="100"/>
        </w:rPr>
        <w:t>月</w:t>
      </w:r>
      <w:r>
        <w:rPr>
          <w:spacing w:val="-55"/>
          <w:w w:val="100"/>
        </w:rPr>
        <w:t> </w:t>
      </w:r>
      <w:r>
        <w:rPr>
          <w:rFonts w:ascii="Arial" w:hAnsi="Arial" w:cs="Arial" w:eastAsia="Arial" w:hint="default"/>
          <w:spacing w:val="-1"/>
          <w:w w:val="100"/>
        </w:rPr>
        <w:t>19</w:t>
      </w:r>
      <w:r>
        <w:rPr>
          <w:rFonts w:ascii="Arial" w:hAnsi="Arial" w:cs="Arial" w:eastAsia="Arial" w:hint="default"/>
          <w:spacing w:val="-7"/>
          <w:w w:val="100"/>
        </w:rPr>
        <w:t> </w:t>
      </w:r>
      <w:r>
        <w:rPr>
          <w:spacing w:val="-1"/>
          <w:w w:val="100"/>
        </w:rPr>
        <w:t>日收到</w:t>
      </w:r>
      <w:r>
        <w:rPr>
          <w:w w:val="100"/>
        </w:rPr>
        <w:t> </w:t>
      </w:r>
      <w:r>
        <w:rPr>
          <w:spacing w:val="-2"/>
        </w:rPr>
        <w:t>间接控股股东中远海运集团有限公司转发的国务院国有资产监督管理委员会《关于中远海运科技股份</w:t>
      </w:r>
      <w:r>
        <w:rPr>
          <w:spacing w:val="-71"/>
        </w:rPr>
        <w:t> </w:t>
      </w:r>
      <w:r>
        <w:rPr>
          <w:spacing w:val="-71"/>
        </w:rPr>
      </w:r>
      <w:r>
        <w:rPr>
          <w:spacing w:val="-6"/>
          <w:w w:val="100"/>
        </w:rPr>
        <w:t>有限公司实施限制性股票激励计划的批复》（国资考分﹝</w:t>
      </w:r>
      <w:r>
        <w:rPr>
          <w:w w:val="100"/>
        </w:rPr>
        <w:t> </w:t>
      </w:r>
      <w:r>
        <w:rPr>
          <w:rFonts w:ascii="Arial" w:hAnsi="Arial" w:cs="Arial" w:eastAsia="Arial" w:hint="default"/>
          <w:spacing w:val="-2"/>
          <w:w w:val="100"/>
        </w:rPr>
        <w:t>2020</w:t>
      </w:r>
      <w:r>
        <w:rPr>
          <w:spacing w:val="-2"/>
          <w:w w:val="100"/>
        </w:rPr>
        <w:t>﹞</w:t>
      </w:r>
      <w:r>
        <w:rPr>
          <w:w w:val="100"/>
        </w:rPr>
        <w:t> </w:t>
      </w:r>
      <w:r>
        <w:rPr>
          <w:rFonts w:ascii="Arial" w:hAnsi="Arial" w:cs="Arial" w:eastAsia="Arial" w:hint="default"/>
          <w:spacing w:val="-1"/>
          <w:w w:val="100"/>
        </w:rPr>
        <w:t>24</w:t>
      </w:r>
      <w:r>
        <w:rPr>
          <w:rFonts w:ascii="Arial" w:hAnsi="Arial" w:cs="Arial" w:eastAsia="Arial" w:hint="default"/>
          <w:w w:val="100"/>
        </w:rPr>
        <w:t>  </w:t>
      </w:r>
      <w:r>
        <w:rPr>
          <w:spacing w:val="-17"/>
          <w:w w:val="100"/>
        </w:rPr>
        <w:t>号）、</w:t>
      </w:r>
      <w:r>
        <w:rPr>
          <w:rFonts w:ascii="Arial" w:hAnsi="Arial" w:cs="Arial" w:eastAsia="Arial" w:hint="default"/>
          <w:spacing w:val="-17"/>
          <w:w w:val="100"/>
        </w:rPr>
        <w:t>2020</w:t>
      </w:r>
      <w:r>
        <w:rPr>
          <w:rFonts w:ascii="Arial" w:hAnsi="Arial" w:cs="Arial" w:eastAsia="Arial" w:hint="default"/>
          <w:w w:val="100"/>
        </w:rPr>
        <w:t> </w:t>
      </w:r>
      <w:r>
        <w:rPr>
          <w:w w:val="100"/>
        </w:rPr>
        <w:t>年 </w:t>
      </w:r>
      <w:r>
        <w:rPr>
          <w:rFonts w:ascii="Arial" w:hAnsi="Arial" w:cs="Arial" w:eastAsia="Arial" w:hint="default"/>
          <w:w w:val="100"/>
        </w:rPr>
        <w:t>2 </w:t>
      </w:r>
      <w:r>
        <w:rPr>
          <w:w w:val="100"/>
        </w:rPr>
        <w:t>月 </w:t>
      </w:r>
      <w:r>
        <w:rPr>
          <w:rFonts w:ascii="Arial" w:hAnsi="Arial" w:cs="Arial" w:eastAsia="Arial" w:hint="default"/>
          <w:w w:val="100"/>
        </w:rPr>
        <w:t>5</w:t>
      </w:r>
      <w:r>
        <w:rPr>
          <w:rFonts w:ascii="Arial" w:hAnsi="Arial" w:cs="Arial" w:eastAsia="Arial" w:hint="default"/>
          <w:spacing w:val="-30"/>
          <w:w w:val="100"/>
        </w:rPr>
        <w:t> </w:t>
      </w:r>
      <w:r>
        <w:rPr>
          <w:spacing w:val="-2"/>
          <w:w w:val="100"/>
        </w:rPr>
        <w:t>日召开的</w:t>
      </w:r>
    </w:p>
    <w:p>
      <w:pPr>
        <w:pStyle w:val="BodyText"/>
        <w:spacing w:line="240" w:lineRule="auto" w:before="11"/>
        <w:ind w:right="0"/>
        <w:jc w:val="both"/>
      </w:pPr>
      <w:r>
        <w:rPr>
          <w:rFonts w:ascii="Arial" w:hAnsi="Arial" w:cs="Arial" w:eastAsia="Arial" w:hint="default"/>
        </w:rPr>
        <w:t>2020</w:t>
      </w:r>
      <w:r>
        <w:rPr>
          <w:rFonts w:ascii="Arial" w:hAnsi="Arial" w:cs="Arial" w:eastAsia="Arial" w:hint="default"/>
          <w:spacing w:val="-8"/>
        </w:rPr>
        <w:t> </w:t>
      </w:r>
      <w:r>
        <w:rPr/>
        <w:t>年第一次临时股东大会审议通过的《关于</w:t>
      </w:r>
      <w:r>
        <w:rPr>
          <w:rFonts w:ascii="Arial" w:hAnsi="Arial" w:cs="Arial" w:eastAsia="Arial" w:hint="default"/>
        </w:rPr>
        <w:t>&lt;</w:t>
      </w:r>
      <w:r>
        <w:rPr/>
        <w:t>中远海运科技股份有限公司</w:t>
      </w:r>
      <w:r>
        <w:rPr>
          <w:spacing w:val="-56"/>
        </w:rPr>
        <w:t> </w:t>
      </w:r>
      <w:r>
        <w:rPr>
          <w:rFonts w:ascii="Arial" w:hAnsi="Arial" w:cs="Arial" w:eastAsia="Arial" w:hint="default"/>
        </w:rPr>
        <w:t>2019</w:t>
      </w:r>
      <w:r>
        <w:rPr>
          <w:rFonts w:ascii="Arial" w:hAnsi="Arial" w:cs="Arial" w:eastAsia="Arial" w:hint="default"/>
          <w:spacing w:val="-8"/>
        </w:rPr>
        <w:t> </w:t>
      </w:r>
      <w:r>
        <w:rPr/>
        <w:t>年限制性股票激励</w:t>
      </w:r>
    </w:p>
    <w:p>
      <w:pPr>
        <w:pStyle w:val="BodyText"/>
        <w:spacing w:line="240" w:lineRule="auto" w:before="97"/>
        <w:ind w:right="0"/>
        <w:jc w:val="both"/>
      </w:pPr>
      <w:r>
        <w:rPr>
          <w:w w:val="100"/>
        </w:rPr>
        <w:t>计</w:t>
      </w:r>
      <w:r>
        <w:rPr>
          <w:spacing w:val="-8"/>
          <w:w w:val="100"/>
        </w:rPr>
        <w:t>划</w:t>
      </w:r>
      <w:r>
        <w:rPr>
          <w:spacing w:val="-3"/>
          <w:w w:val="100"/>
        </w:rPr>
        <w:t>（</w:t>
      </w:r>
      <w:r>
        <w:rPr>
          <w:w w:val="100"/>
        </w:rPr>
        <w:t>草</w:t>
      </w:r>
      <w:r>
        <w:rPr>
          <w:spacing w:val="-3"/>
          <w:w w:val="100"/>
        </w:rPr>
        <w:t>案</w:t>
      </w:r>
      <w:r>
        <w:rPr>
          <w:spacing w:val="-7"/>
          <w:w w:val="100"/>
        </w:rPr>
        <w:t>）</w:t>
      </w:r>
      <w:r>
        <w:rPr>
          <w:rFonts w:ascii="Arial" w:hAnsi="Arial" w:cs="Arial" w:eastAsia="Arial" w:hint="default"/>
          <w:spacing w:val="-2"/>
          <w:w w:val="100"/>
        </w:rPr>
        <w:t>&gt;</w:t>
      </w:r>
      <w:r>
        <w:rPr>
          <w:w w:val="100"/>
        </w:rPr>
        <w:t>及其</w:t>
      </w:r>
      <w:r>
        <w:rPr>
          <w:spacing w:val="-3"/>
          <w:w w:val="100"/>
        </w:rPr>
        <w:t>摘要</w:t>
      </w:r>
      <w:r>
        <w:rPr>
          <w:w w:val="100"/>
        </w:rPr>
        <w:t>的议案</w:t>
      </w:r>
      <w:r>
        <w:rPr>
          <w:spacing w:val="-113"/>
          <w:w w:val="100"/>
        </w:rPr>
        <w:t>》</w:t>
      </w:r>
      <w:r>
        <w:rPr>
          <w:spacing w:val="-8"/>
          <w:w w:val="100"/>
        </w:rPr>
        <w:t>，</w:t>
      </w:r>
      <w:r>
        <w:rPr>
          <w:spacing w:val="-3"/>
          <w:w w:val="100"/>
        </w:rPr>
        <w:t>以</w:t>
      </w:r>
      <w:r>
        <w:rPr>
          <w:w w:val="100"/>
        </w:rPr>
        <w:t>及</w:t>
      </w:r>
      <w:r>
        <w:rPr>
          <w:spacing w:val="-54"/>
        </w:rPr>
        <w:t> </w:t>
      </w:r>
      <w:r>
        <w:rPr>
          <w:rFonts w:ascii="Arial" w:hAnsi="Arial" w:cs="Arial" w:eastAsia="Arial" w:hint="default"/>
          <w:spacing w:val="-1"/>
          <w:w w:val="100"/>
        </w:rPr>
        <w:t>202</w:t>
      </w:r>
      <w:r>
        <w:rPr>
          <w:rFonts w:ascii="Arial" w:hAnsi="Arial" w:cs="Arial" w:eastAsia="Arial" w:hint="default"/>
          <w:w w:val="100"/>
        </w:rPr>
        <w:t>0</w:t>
      </w:r>
      <w:r>
        <w:rPr>
          <w:rFonts w:ascii="Arial" w:hAnsi="Arial" w:cs="Arial" w:eastAsia="Arial" w:hint="default"/>
          <w:spacing w:val="-7"/>
        </w:rPr>
        <w:t> </w:t>
      </w:r>
      <w:r>
        <w:rPr>
          <w:w w:val="100"/>
        </w:rPr>
        <w:t>年</w:t>
      </w:r>
      <w:r>
        <w:rPr>
          <w:spacing w:val="-58"/>
        </w:rPr>
        <w:t> </w:t>
      </w:r>
      <w:r>
        <w:rPr>
          <w:rFonts w:ascii="Arial" w:hAnsi="Arial" w:cs="Arial" w:eastAsia="Arial" w:hint="default"/>
          <w:w w:val="100"/>
        </w:rPr>
        <w:t>2</w:t>
      </w:r>
      <w:r>
        <w:rPr>
          <w:rFonts w:ascii="Arial" w:hAnsi="Arial" w:cs="Arial" w:eastAsia="Arial" w:hint="default"/>
          <w:spacing w:val="-7"/>
        </w:rPr>
        <w:t> </w:t>
      </w:r>
      <w:r>
        <w:rPr>
          <w:w w:val="100"/>
        </w:rPr>
        <w:t>月</w:t>
      </w:r>
      <w:r>
        <w:rPr>
          <w:spacing w:val="-55"/>
        </w:rPr>
        <w:t> </w:t>
      </w:r>
      <w:r>
        <w:rPr>
          <w:rFonts w:ascii="Arial" w:hAnsi="Arial" w:cs="Arial" w:eastAsia="Arial" w:hint="default"/>
          <w:w w:val="100"/>
        </w:rPr>
        <w:t>7</w:t>
      </w:r>
      <w:r>
        <w:rPr>
          <w:rFonts w:ascii="Arial" w:hAnsi="Arial" w:cs="Arial" w:eastAsia="Arial" w:hint="default"/>
          <w:spacing w:val="-6"/>
        </w:rPr>
        <w:t> </w:t>
      </w:r>
      <w:r>
        <w:rPr>
          <w:w w:val="100"/>
        </w:rPr>
        <w:t>日</w:t>
      </w:r>
      <w:r>
        <w:rPr>
          <w:spacing w:val="-3"/>
          <w:w w:val="100"/>
        </w:rPr>
        <w:t>召</w:t>
      </w:r>
      <w:r>
        <w:rPr>
          <w:w w:val="100"/>
        </w:rPr>
        <w:t>开的</w:t>
      </w:r>
      <w:r>
        <w:rPr>
          <w:spacing w:val="-3"/>
          <w:w w:val="100"/>
        </w:rPr>
        <w:t>第</w:t>
      </w:r>
      <w:r>
        <w:rPr>
          <w:w w:val="100"/>
        </w:rPr>
        <w:t>六届</w:t>
      </w:r>
      <w:r>
        <w:rPr>
          <w:spacing w:val="-3"/>
          <w:w w:val="100"/>
        </w:rPr>
        <w:t>董</w:t>
      </w:r>
      <w:r>
        <w:rPr>
          <w:w w:val="100"/>
        </w:rPr>
        <w:t>事会第</w:t>
      </w:r>
      <w:r>
        <w:rPr>
          <w:spacing w:val="-3"/>
          <w:w w:val="100"/>
        </w:rPr>
        <w:t>十</w:t>
      </w:r>
      <w:r>
        <w:rPr>
          <w:w w:val="100"/>
        </w:rPr>
        <w:t>八次</w:t>
      </w:r>
      <w:r>
        <w:rPr>
          <w:spacing w:val="-3"/>
          <w:w w:val="100"/>
        </w:rPr>
        <w:t>会</w:t>
      </w:r>
      <w:r>
        <w:rPr>
          <w:w w:val="100"/>
        </w:rPr>
        <w:t>议审</w:t>
      </w:r>
      <w:r>
        <w:rPr>
          <w:spacing w:val="-3"/>
          <w:w w:val="100"/>
        </w:rPr>
        <w:t>议通</w:t>
      </w:r>
      <w:r>
        <w:rPr>
          <w:w w:val="100"/>
        </w:rPr>
        <w:t>过</w:t>
      </w:r>
    </w:p>
    <w:p>
      <w:pPr>
        <w:pStyle w:val="BodyText"/>
        <w:spacing w:line="240" w:lineRule="auto" w:before="95"/>
        <w:ind w:right="0"/>
        <w:jc w:val="both"/>
      </w:pPr>
      <w:r>
        <w:rPr>
          <w:spacing w:val="7"/>
          <w:w w:val="100"/>
        </w:rPr>
        <w:t>的《关于授予限制性股票的议案</w:t>
      </w:r>
      <w:r>
        <w:rPr>
          <w:spacing w:val="-104"/>
          <w:w w:val="100"/>
        </w:rPr>
        <w:t>》</w:t>
      </w:r>
      <w:r>
        <w:rPr>
          <w:spacing w:val="8"/>
          <w:w w:val="100"/>
        </w:rPr>
        <w:t>，</w:t>
      </w:r>
      <w:r>
        <w:rPr>
          <w:spacing w:val="7"/>
          <w:w w:val="100"/>
        </w:rPr>
        <w:t>本公司</w:t>
      </w:r>
      <w:r>
        <w:rPr>
          <w:w w:val="100"/>
        </w:rPr>
        <w:t>以</w:t>
      </w:r>
      <w:r>
        <w:rPr>
          <w:spacing w:val="7"/>
        </w:rPr>
        <w:t> </w:t>
      </w:r>
      <w:r>
        <w:rPr>
          <w:rFonts w:ascii="Arial" w:hAnsi="Arial" w:cs="Arial" w:eastAsia="Arial" w:hint="default"/>
          <w:w w:val="100"/>
        </w:rPr>
        <w:t>5.49</w:t>
      </w:r>
      <w:r>
        <w:rPr>
          <w:rFonts w:ascii="Arial" w:hAnsi="Arial" w:cs="Arial" w:eastAsia="Arial" w:hint="default"/>
        </w:rPr>
        <w:t> </w:t>
      </w:r>
      <w:r>
        <w:rPr>
          <w:rFonts w:ascii="Arial" w:hAnsi="Arial" w:cs="Arial" w:eastAsia="Arial" w:hint="default"/>
          <w:spacing w:val="-5"/>
        </w:rPr>
        <w:t> </w:t>
      </w:r>
      <w:r>
        <w:rPr>
          <w:spacing w:val="7"/>
          <w:w w:val="100"/>
        </w:rPr>
        <w:t>元</w:t>
      </w:r>
      <w:r>
        <w:rPr>
          <w:rFonts w:ascii="Arial" w:hAnsi="Arial" w:cs="Arial" w:eastAsia="Arial" w:hint="default"/>
          <w:spacing w:val="8"/>
          <w:w w:val="100"/>
        </w:rPr>
        <w:t>/</w:t>
      </w:r>
      <w:r>
        <w:rPr>
          <w:spacing w:val="7"/>
          <w:w w:val="100"/>
        </w:rPr>
        <w:t>股的价格</w:t>
      </w:r>
      <w:r>
        <w:rPr>
          <w:w w:val="100"/>
        </w:rPr>
        <w:t>向</w:t>
      </w:r>
      <w:r>
        <w:rPr>
          <w:spacing w:val="7"/>
        </w:rPr>
        <w:t> </w:t>
      </w:r>
      <w:r>
        <w:rPr>
          <w:rFonts w:ascii="Arial" w:hAnsi="Arial" w:cs="Arial" w:eastAsia="Arial" w:hint="default"/>
          <w:spacing w:val="-1"/>
          <w:w w:val="100"/>
        </w:rPr>
        <w:t>10</w:t>
      </w:r>
      <w:r>
        <w:rPr>
          <w:rFonts w:ascii="Arial" w:hAnsi="Arial" w:cs="Arial" w:eastAsia="Arial" w:hint="default"/>
          <w:w w:val="100"/>
        </w:rPr>
        <w:t>0</w:t>
      </w:r>
      <w:r>
        <w:rPr>
          <w:rFonts w:ascii="Arial" w:hAnsi="Arial" w:cs="Arial" w:eastAsia="Arial" w:hint="default"/>
        </w:rPr>
        <w:t> </w:t>
      </w:r>
      <w:r>
        <w:rPr>
          <w:rFonts w:ascii="Arial" w:hAnsi="Arial" w:cs="Arial" w:eastAsia="Arial" w:hint="default"/>
          <w:spacing w:val="-8"/>
        </w:rPr>
        <w:t> </w:t>
      </w:r>
      <w:r>
        <w:rPr>
          <w:spacing w:val="7"/>
          <w:w w:val="100"/>
        </w:rPr>
        <w:t>位股权激励对象首次授予</w:t>
      </w:r>
      <w:r>
        <w:rPr>
          <w:w w:val="100"/>
        </w:rPr>
      </w:r>
    </w:p>
    <w:p>
      <w:pPr>
        <w:pStyle w:val="BodyText"/>
        <w:spacing w:line="240" w:lineRule="auto" w:before="97"/>
        <w:ind w:right="0"/>
        <w:jc w:val="both"/>
      </w:pPr>
      <w:r>
        <w:rPr>
          <w:rFonts w:ascii="Arial" w:hAnsi="Arial" w:cs="Arial" w:eastAsia="Arial" w:hint="default"/>
        </w:rPr>
        <w:t>6,686,500.00 </w:t>
      </w:r>
      <w:r>
        <w:rPr/>
        <w:t>股限制性股票。公司实际增加注册资本为人民币 </w:t>
      </w:r>
      <w:r>
        <w:rPr>
          <w:rFonts w:ascii="Arial" w:hAnsi="Arial" w:cs="Arial" w:eastAsia="Arial" w:hint="default"/>
        </w:rPr>
        <w:t>6,160,100.00</w:t>
      </w:r>
      <w:r>
        <w:rPr>
          <w:rFonts w:ascii="Arial" w:hAnsi="Arial" w:cs="Arial" w:eastAsia="Arial" w:hint="default"/>
          <w:spacing w:val="8"/>
        </w:rPr>
        <w:t> </w:t>
      </w:r>
      <w:r>
        <w:rPr/>
        <w:t>元，变更后的注册资本</w:t>
      </w:r>
    </w:p>
    <w:p>
      <w:pPr>
        <w:spacing w:after="0" w:line="240"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3"/>
        <w:ind w:right="0"/>
        <w:jc w:val="both"/>
      </w:pPr>
      <w:r>
        <w:rPr/>
        <w:t>为人民币</w:t>
      </w:r>
      <w:r>
        <w:rPr>
          <w:spacing w:val="-56"/>
        </w:rPr>
        <w:t> </w:t>
      </w:r>
      <w:r>
        <w:rPr>
          <w:rFonts w:ascii="Arial" w:hAnsi="Arial" w:cs="Arial" w:eastAsia="Arial" w:hint="default"/>
        </w:rPr>
        <w:t>309,400,100.00</w:t>
      </w:r>
      <w:r>
        <w:rPr>
          <w:rFonts w:ascii="Arial" w:hAnsi="Arial" w:cs="Arial" w:eastAsia="Arial" w:hint="default"/>
          <w:spacing w:val="-7"/>
        </w:rPr>
        <w:t> </w:t>
      </w:r>
      <w:r>
        <w:rPr/>
        <w:t>元。</w:t>
      </w:r>
    </w:p>
    <w:p>
      <w:pPr>
        <w:pStyle w:val="BodyText"/>
        <w:spacing w:line="316" w:lineRule="auto" w:before="135"/>
        <w:ind w:right="1103" w:firstLine="439"/>
        <w:jc w:val="both"/>
      </w:pPr>
      <w:r>
        <w:rPr/>
        <w:t>截至</w:t>
      </w:r>
      <w:r>
        <w:rPr>
          <w:spacing w:val="-56"/>
        </w:rPr>
        <w:t> </w:t>
      </w:r>
      <w:r>
        <w:rPr>
          <w:rFonts w:ascii="Arial" w:hAnsi="Arial" w:cs="Arial" w:eastAsia="Arial" w:hint="default"/>
        </w:rPr>
        <w:t>2020</w:t>
      </w:r>
      <w:r>
        <w:rPr>
          <w:rFonts w:ascii="Arial" w:hAnsi="Arial" w:cs="Arial" w:eastAsia="Arial" w:hint="default"/>
          <w:spacing w:val="-8"/>
        </w:rPr>
        <w:t> </w:t>
      </w:r>
      <w:r>
        <w:rPr/>
        <w:t>年</w:t>
      </w:r>
      <w:r>
        <w:rPr>
          <w:spacing w:val="-56"/>
        </w:rPr>
        <w:t> </w:t>
      </w:r>
      <w:r>
        <w:rPr>
          <w:rFonts w:ascii="Arial" w:hAnsi="Arial" w:cs="Arial" w:eastAsia="Arial" w:hint="default"/>
        </w:rPr>
        <w:t>2</w:t>
      </w:r>
      <w:r>
        <w:rPr>
          <w:rFonts w:ascii="Arial" w:hAnsi="Arial" w:cs="Arial" w:eastAsia="Arial" w:hint="default"/>
          <w:spacing w:val="-8"/>
        </w:rPr>
        <w:t> </w:t>
      </w:r>
      <w:r>
        <w:rPr/>
        <w:t>月</w:t>
      </w:r>
      <w:r>
        <w:rPr>
          <w:spacing w:val="-56"/>
        </w:rPr>
        <w:t> </w:t>
      </w:r>
      <w:r>
        <w:rPr>
          <w:rFonts w:ascii="Arial" w:hAnsi="Arial" w:cs="Arial" w:eastAsia="Arial" w:hint="default"/>
        </w:rPr>
        <w:t>9</w:t>
      </w:r>
      <w:r>
        <w:rPr>
          <w:rFonts w:ascii="Arial" w:hAnsi="Arial" w:cs="Arial" w:eastAsia="Arial" w:hint="default"/>
          <w:spacing w:val="-8"/>
        </w:rPr>
        <w:t> </w:t>
      </w:r>
      <w:r>
        <w:rPr/>
        <w:t>日止，本公司收到</w:t>
      </w:r>
      <w:r>
        <w:rPr>
          <w:spacing w:val="-56"/>
        </w:rPr>
        <w:t> </w:t>
      </w:r>
      <w:r>
        <w:rPr>
          <w:rFonts w:ascii="Arial" w:hAnsi="Arial" w:cs="Arial" w:eastAsia="Arial" w:hint="default"/>
        </w:rPr>
        <w:t>96</w:t>
      </w:r>
      <w:r>
        <w:rPr>
          <w:rFonts w:ascii="Arial" w:hAnsi="Arial" w:cs="Arial" w:eastAsia="Arial" w:hint="default"/>
          <w:spacing w:val="-8"/>
        </w:rPr>
        <w:t> </w:t>
      </w:r>
      <w:r>
        <w:rPr/>
        <w:t>位股权激励对象缴纳的</w:t>
      </w:r>
      <w:r>
        <w:rPr>
          <w:spacing w:val="-56"/>
        </w:rPr>
        <w:t> </w:t>
      </w:r>
      <w:r>
        <w:rPr>
          <w:rFonts w:ascii="Arial" w:hAnsi="Arial" w:cs="Arial" w:eastAsia="Arial" w:hint="default"/>
        </w:rPr>
        <w:t>6,160,100.00</w:t>
      </w:r>
      <w:r>
        <w:rPr>
          <w:rFonts w:ascii="Arial" w:hAnsi="Arial" w:cs="Arial" w:eastAsia="Arial" w:hint="default"/>
          <w:spacing w:val="-7"/>
        </w:rPr>
        <w:t> </w:t>
      </w:r>
      <w:r>
        <w:rPr/>
        <w:t>股的行权股款合</w:t>
      </w:r>
      <w:r>
        <w:rPr>
          <w:w w:val="100"/>
        </w:rPr>
        <w:t> </w:t>
      </w:r>
      <w:r>
        <w:rPr>
          <w:spacing w:val="20"/>
        </w:rPr>
        <w:t>计人民币</w:t>
      </w:r>
      <w:r>
        <w:rPr>
          <w:spacing w:val="34"/>
        </w:rPr>
        <w:t> </w:t>
      </w:r>
      <w:r>
        <w:rPr>
          <w:rFonts w:ascii="Arial" w:hAnsi="Arial" w:cs="Arial" w:eastAsia="Arial" w:hint="default"/>
        </w:rPr>
        <w:t>33,818,949.00</w:t>
      </w:r>
      <w:r>
        <w:rPr>
          <w:rFonts w:ascii="Arial" w:hAnsi="Arial" w:cs="Arial" w:eastAsia="Arial" w:hint="default"/>
          <w:spacing w:val="22"/>
        </w:rPr>
        <w:t> </w:t>
      </w:r>
      <w:r>
        <w:rPr/>
        <w:t>元</w:t>
      </w:r>
      <w:r>
        <w:rPr>
          <w:spacing w:val="-81"/>
        </w:rPr>
        <w:t> </w:t>
      </w:r>
      <w:r>
        <w:rPr/>
        <w:t>，</w:t>
      </w:r>
      <w:r>
        <w:rPr>
          <w:spacing w:val="-81"/>
        </w:rPr>
        <w:t> </w:t>
      </w:r>
      <w:r>
        <w:rPr/>
        <w:t>其</w:t>
      </w:r>
      <w:r>
        <w:rPr>
          <w:spacing w:val="-81"/>
        </w:rPr>
        <w:t> </w:t>
      </w:r>
      <w:r>
        <w:rPr/>
        <w:t>中</w:t>
      </w:r>
      <w:r>
        <w:rPr>
          <w:spacing w:val="-81"/>
        </w:rPr>
        <w:t> </w:t>
      </w:r>
      <w:r>
        <w:rPr/>
        <w:t>计</w:t>
      </w:r>
      <w:r>
        <w:rPr>
          <w:spacing w:val="-81"/>
        </w:rPr>
        <w:t> </w:t>
      </w:r>
      <w:r>
        <w:rPr/>
        <w:t>入</w:t>
      </w:r>
      <w:r>
        <w:rPr>
          <w:spacing w:val="-81"/>
        </w:rPr>
        <w:t> </w:t>
      </w:r>
      <w:r>
        <w:rPr>
          <w:spacing w:val="16"/>
        </w:rPr>
        <w:t>股本人</w:t>
      </w:r>
      <w:r>
        <w:rPr>
          <w:spacing w:val="-81"/>
        </w:rPr>
        <w:t> </w:t>
      </w:r>
      <w:r>
        <w:rPr/>
        <w:t>民</w:t>
      </w:r>
      <w:r>
        <w:rPr>
          <w:spacing w:val="-81"/>
        </w:rPr>
        <w:t> </w:t>
      </w:r>
      <w:r>
        <w:rPr/>
        <w:t>币</w:t>
      </w:r>
      <w:r>
        <w:rPr>
          <w:spacing w:val="37"/>
        </w:rPr>
        <w:t> </w:t>
      </w:r>
      <w:r>
        <w:rPr>
          <w:rFonts w:ascii="Arial" w:hAnsi="Arial" w:cs="Arial" w:eastAsia="Arial" w:hint="default"/>
        </w:rPr>
        <w:t>6,160,100.00</w:t>
      </w:r>
      <w:r>
        <w:rPr>
          <w:rFonts w:ascii="Arial" w:hAnsi="Arial" w:cs="Arial" w:eastAsia="Arial" w:hint="default"/>
          <w:spacing w:val="19"/>
        </w:rPr>
        <w:t> </w:t>
      </w:r>
      <w:r>
        <w:rPr>
          <w:spacing w:val="24"/>
        </w:rPr>
        <w:t>元，计入资本公积人民币</w:t>
      </w:r>
      <w:r>
        <w:rPr>
          <w:spacing w:val="-108"/>
        </w:rPr>
        <w:t> </w:t>
      </w:r>
      <w:r>
        <w:rPr>
          <w:rFonts w:ascii="Arial" w:hAnsi="Arial" w:cs="Arial" w:eastAsia="Arial" w:hint="default"/>
        </w:rPr>
        <w:t>27,658,849.00</w:t>
      </w:r>
      <w:r>
        <w:rPr>
          <w:rFonts w:ascii="Arial" w:hAnsi="Arial" w:cs="Arial" w:eastAsia="Arial" w:hint="default"/>
          <w:spacing w:val="-1"/>
        </w:rPr>
        <w:t> </w:t>
      </w:r>
      <w:r>
        <w:rPr/>
        <w:t>元，其余</w:t>
      </w:r>
      <w:r>
        <w:rPr>
          <w:spacing w:val="-52"/>
        </w:rPr>
        <w:t> </w:t>
      </w:r>
      <w:r>
        <w:rPr>
          <w:rFonts w:ascii="Arial" w:hAnsi="Arial" w:cs="Arial" w:eastAsia="Arial" w:hint="default"/>
        </w:rPr>
        <w:t>4</w:t>
      </w:r>
      <w:r>
        <w:rPr>
          <w:rFonts w:ascii="Arial" w:hAnsi="Arial" w:cs="Arial" w:eastAsia="Arial" w:hint="default"/>
          <w:spacing w:val="-1"/>
        </w:rPr>
        <w:t> </w:t>
      </w:r>
      <w:r>
        <w:rPr/>
        <w:t>位股权激励对象未缴纳行权股款。本次注册资本变更已经信永中和会计师</w:t>
      </w:r>
    </w:p>
    <w:p>
      <w:pPr>
        <w:pStyle w:val="BodyText"/>
        <w:spacing w:line="240" w:lineRule="auto" w:before="16"/>
        <w:ind w:right="0"/>
        <w:jc w:val="both"/>
      </w:pPr>
      <w:r>
        <w:rPr/>
        <w:t>事务所（特殊普通合伙）审验，并于</w:t>
      </w:r>
      <w:r>
        <w:rPr>
          <w:spacing w:val="-56"/>
        </w:rPr>
        <w:t> </w:t>
      </w:r>
      <w:r>
        <w:rPr>
          <w:rFonts w:ascii="Arial" w:hAnsi="Arial" w:cs="Arial" w:eastAsia="Arial" w:hint="default"/>
        </w:rPr>
        <w:t>2020</w:t>
      </w:r>
      <w:r>
        <w:rPr>
          <w:rFonts w:ascii="Arial" w:hAnsi="Arial" w:cs="Arial" w:eastAsia="Arial" w:hint="default"/>
          <w:spacing w:val="-8"/>
        </w:rPr>
        <w:t> </w:t>
      </w:r>
      <w:r>
        <w:rPr/>
        <w:t>年</w:t>
      </w:r>
      <w:r>
        <w:rPr>
          <w:spacing w:val="-56"/>
        </w:rPr>
        <w:t> </w:t>
      </w:r>
      <w:r>
        <w:rPr>
          <w:rFonts w:ascii="Arial" w:hAnsi="Arial" w:cs="Arial" w:eastAsia="Arial" w:hint="default"/>
        </w:rPr>
        <w:t>2</w:t>
      </w:r>
      <w:r>
        <w:rPr>
          <w:rFonts w:ascii="Arial" w:hAnsi="Arial" w:cs="Arial" w:eastAsia="Arial" w:hint="default"/>
          <w:spacing w:val="-10"/>
        </w:rPr>
        <w:t> </w:t>
      </w:r>
      <w:r>
        <w:rPr/>
        <w:t>月</w:t>
      </w:r>
      <w:r>
        <w:rPr>
          <w:spacing w:val="-59"/>
        </w:rPr>
        <w:t> </w:t>
      </w:r>
      <w:r>
        <w:rPr>
          <w:rFonts w:ascii="Arial" w:hAnsi="Arial" w:cs="Arial" w:eastAsia="Arial" w:hint="default"/>
        </w:rPr>
        <w:t>10</w:t>
      </w:r>
      <w:r>
        <w:rPr>
          <w:rFonts w:ascii="Arial" w:hAnsi="Arial" w:cs="Arial" w:eastAsia="Arial" w:hint="default"/>
          <w:spacing w:val="-7"/>
        </w:rPr>
        <w:t> </w:t>
      </w:r>
      <w:r>
        <w:rPr/>
        <w:t>日出具了</w:t>
      </w:r>
      <w:r>
        <w:rPr>
          <w:spacing w:val="-59"/>
        </w:rPr>
        <w:t> </w:t>
      </w:r>
      <w:r>
        <w:rPr>
          <w:rFonts w:ascii="Arial" w:hAnsi="Arial" w:cs="Arial" w:eastAsia="Arial" w:hint="default"/>
        </w:rPr>
        <w:t>XYZH/2020BJA130003</w:t>
      </w:r>
      <w:r>
        <w:rPr>
          <w:rFonts w:ascii="Arial" w:hAnsi="Arial" w:cs="Arial" w:eastAsia="Arial" w:hint="default"/>
          <w:spacing w:val="-7"/>
        </w:rPr>
        <w:t> </w:t>
      </w:r>
      <w:r>
        <w:rPr/>
        <w:t>号验资报告。</w:t>
      </w:r>
    </w:p>
    <w:p>
      <w:pPr>
        <w:pStyle w:val="BodyText"/>
        <w:spacing w:line="240" w:lineRule="auto" w:before="138"/>
        <w:ind w:left="592" w:right="1133"/>
        <w:jc w:val="left"/>
      </w:pPr>
      <w:r>
        <w:rPr>
          <w:rFonts w:ascii="Arial" w:hAnsi="Arial" w:cs="Arial" w:eastAsia="Arial" w:hint="default"/>
        </w:rPr>
        <w:t>4</w:t>
      </w:r>
      <w:r>
        <w:rPr/>
        <w:t>、利润分配</w:t>
      </w:r>
    </w:p>
    <w:p>
      <w:pPr>
        <w:pStyle w:val="BodyText"/>
        <w:spacing w:line="324" w:lineRule="auto" w:before="135"/>
        <w:ind w:right="1116" w:firstLine="439"/>
        <w:jc w:val="both"/>
      </w:pPr>
      <w:r>
        <w:rPr>
          <w:rFonts w:ascii="Arial" w:hAnsi="Arial" w:cs="Arial" w:eastAsia="Arial" w:hint="default"/>
        </w:rPr>
        <w:t>2020</w:t>
      </w:r>
      <w:r>
        <w:rPr>
          <w:rFonts w:ascii="Arial" w:hAnsi="Arial" w:cs="Arial" w:eastAsia="Arial" w:hint="default"/>
          <w:spacing w:val="-8"/>
        </w:rPr>
        <w:t> </w:t>
      </w:r>
      <w:r>
        <w:rPr/>
        <w:t>年</w:t>
      </w:r>
      <w:r>
        <w:rPr>
          <w:spacing w:val="-56"/>
        </w:rPr>
        <w:t> </w:t>
      </w:r>
      <w:r>
        <w:rPr>
          <w:rFonts w:ascii="Arial" w:hAnsi="Arial" w:cs="Arial" w:eastAsia="Arial" w:hint="default"/>
        </w:rPr>
        <w:t>3</w:t>
      </w:r>
      <w:r>
        <w:rPr>
          <w:rFonts w:ascii="Arial" w:hAnsi="Arial" w:cs="Arial" w:eastAsia="Arial" w:hint="default"/>
          <w:spacing w:val="-8"/>
        </w:rPr>
        <w:t> </w:t>
      </w:r>
      <w:r>
        <w:rPr/>
        <w:t>月</w:t>
      </w:r>
      <w:r>
        <w:rPr>
          <w:spacing w:val="-56"/>
        </w:rPr>
        <w:t> </w:t>
      </w:r>
      <w:r>
        <w:rPr>
          <w:rFonts w:ascii="Arial" w:hAnsi="Arial" w:cs="Arial" w:eastAsia="Arial" w:hint="default"/>
        </w:rPr>
        <w:t>27</w:t>
      </w:r>
      <w:r>
        <w:rPr>
          <w:rFonts w:ascii="Arial" w:hAnsi="Arial" w:cs="Arial" w:eastAsia="Arial" w:hint="default"/>
          <w:spacing w:val="-8"/>
        </w:rPr>
        <w:t> </w:t>
      </w:r>
      <w:r>
        <w:rPr/>
        <w:t>日，根据公司第六届董事会第二十次会议审议通过的</w:t>
      </w:r>
      <w:r>
        <w:rPr>
          <w:spacing w:val="-56"/>
        </w:rPr>
        <w:t> </w:t>
      </w:r>
      <w:r>
        <w:rPr>
          <w:rFonts w:ascii="Arial" w:hAnsi="Arial" w:cs="Arial" w:eastAsia="Arial" w:hint="default"/>
        </w:rPr>
        <w:t>2019</w:t>
      </w:r>
      <w:r>
        <w:rPr>
          <w:rFonts w:ascii="Arial" w:hAnsi="Arial" w:cs="Arial" w:eastAsia="Arial" w:hint="default"/>
          <w:spacing w:val="-10"/>
        </w:rPr>
        <w:t> </w:t>
      </w:r>
      <w:r>
        <w:rPr/>
        <w:t>年度利润分配预案，</w:t>
      </w:r>
      <w:r>
        <w:rPr>
          <w:w w:val="100"/>
        </w:rPr>
        <w:t> </w:t>
      </w:r>
      <w:r>
        <w:rPr>
          <w:spacing w:val="-2"/>
        </w:rPr>
        <w:t>由于公司总股本在分配方案实施前可能会由于股份回购等原因发生变化，故公司拟以未来实施分配方</w:t>
      </w:r>
      <w:r>
        <w:rPr>
          <w:spacing w:val="-73"/>
        </w:rPr>
        <w:t> </w:t>
      </w:r>
      <w:r>
        <w:rPr>
          <w:spacing w:val="-73"/>
        </w:rPr>
      </w:r>
      <w:r>
        <w:rPr>
          <w:spacing w:val="-1"/>
          <w:w w:val="100"/>
        </w:rPr>
        <w:t>案时股权登记日的总股本为基数，向全体股东每</w:t>
      </w:r>
      <w:r>
        <w:rPr>
          <w:spacing w:val="-40"/>
          <w:w w:val="100"/>
        </w:rPr>
        <w:t> </w:t>
      </w:r>
      <w:r>
        <w:rPr>
          <w:rFonts w:ascii="Arial" w:hAnsi="Arial" w:cs="Arial" w:eastAsia="Arial" w:hint="default"/>
          <w:spacing w:val="-2"/>
          <w:w w:val="100"/>
        </w:rPr>
        <w:t>10</w:t>
      </w:r>
      <w:r>
        <w:rPr>
          <w:rFonts w:ascii="Arial" w:hAnsi="Arial" w:cs="Arial" w:eastAsia="Arial" w:hint="default"/>
          <w:spacing w:val="8"/>
          <w:w w:val="100"/>
        </w:rPr>
        <w:t> </w:t>
      </w:r>
      <w:r>
        <w:rPr>
          <w:spacing w:val="-1"/>
          <w:w w:val="100"/>
        </w:rPr>
        <w:t>股派发现金红利</w:t>
      </w:r>
      <w:r>
        <w:rPr>
          <w:spacing w:val="-40"/>
          <w:w w:val="100"/>
        </w:rPr>
        <w:t> </w:t>
      </w:r>
      <w:r>
        <w:rPr>
          <w:rFonts w:ascii="Arial" w:hAnsi="Arial" w:cs="Arial" w:eastAsia="Arial" w:hint="default"/>
          <w:spacing w:val="-1"/>
          <w:w w:val="100"/>
        </w:rPr>
        <w:t>0.50</w:t>
      </w:r>
      <w:r>
        <w:rPr>
          <w:rFonts w:ascii="Arial" w:hAnsi="Arial" w:cs="Arial" w:eastAsia="Arial" w:hint="default"/>
          <w:spacing w:val="5"/>
          <w:w w:val="100"/>
        </w:rPr>
        <w:t> </w:t>
      </w:r>
      <w:r>
        <w:rPr>
          <w:spacing w:val="-10"/>
          <w:w w:val="100"/>
        </w:rPr>
        <w:t>元（含税），不送红股，不</w:t>
      </w:r>
    </w:p>
    <w:p>
      <w:pPr>
        <w:pStyle w:val="BodyText"/>
        <w:spacing w:line="324" w:lineRule="auto" w:before="11"/>
        <w:ind w:right="1021"/>
        <w:jc w:val="both"/>
      </w:pPr>
      <w:r>
        <w:rPr>
          <w:spacing w:val="-6"/>
          <w:w w:val="100"/>
        </w:rPr>
        <w:t>以公积金转增股本。暂以董事会审议时公司的总股本</w:t>
      </w:r>
      <w:r>
        <w:rPr>
          <w:spacing w:val="-50"/>
          <w:w w:val="100"/>
        </w:rPr>
        <w:t> </w:t>
      </w:r>
      <w:r>
        <w:rPr>
          <w:rFonts w:ascii="Arial" w:hAnsi="Arial" w:cs="Arial" w:eastAsia="Arial" w:hint="default"/>
          <w:spacing w:val="-1"/>
          <w:w w:val="100"/>
        </w:rPr>
        <w:t>309,400,100</w:t>
      </w:r>
      <w:r>
        <w:rPr>
          <w:rFonts w:ascii="Arial" w:hAnsi="Arial" w:cs="Arial" w:eastAsia="Arial" w:hint="default"/>
          <w:spacing w:val="-2"/>
          <w:w w:val="100"/>
        </w:rPr>
        <w:t> </w:t>
      </w:r>
      <w:r>
        <w:rPr>
          <w:spacing w:val="-12"/>
          <w:w w:val="100"/>
        </w:rPr>
        <w:t>股计算，分配总额为</w:t>
      </w:r>
      <w:r>
        <w:rPr>
          <w:spacing w:val="-51"/>
          <w:w w:val="100"/>
        </w:rPr>
        <w:t> </w:t>
      </w:r>
      <w:r>
        <w:rPr>
          <w:rFonts w:ascii="Arial" w:hAnsi="Arial" w:cs="Arial" w:eastAsia="Arial" w:hint="default"/>
          <w:spacing w:val="-1"/>
          <w:w w:val="100"/>
        </w:rPr>
        <w:t>15,470,005.00</w:t>
      </w:r>
      <w:r>
        <w:rPr>
          <w:rFonts w:ascii="Arial" w:hAnsi="Arial" w:cs="Arial" w:eastAsia="Arial" w:hint="default"/>
          <w:spacing w:val="-50"/>
          <w:w w:val="100"/>
        </w:rPr>
        <w:t> </w:t>
      </w:r>
      <w:r>
        <w:rPr>
          <w:rFonts w:ascii="Arial" w:hAnsi="Arial" w:cs="Arial" w:eastAsia="Arial" w:hint="default"/>
          <w:spacing w:val="-50"/>
          <w:w w:val="100"/>
        </w:rPr>
      </w:r>
      <w:r>
        <w:rPr>
          <w:spacing w:val="2"/>
        </w:rPr>
        <w:t>元。董事会审议上述利润分配方案后至权益分派实施公告确定的股权登记日前公司总股本发生变动</w:t>
      </w:r>
      <w:r>
        <w:rPr>
          <w:spacing w:val="-43"/>
        </w:rPr>
        <w:t> </w:t>
      </w:r>
      <w:r>
        <w:rPr>
          <w:spacing w:val="-43"/>
        </w:rPr>
      </w:r>
      <w:r>
        <w:rPr>
          <w:spacing w:val="-5"/>
        </w:rPr>
        <w:t>的，将按照分配总额不变的原则对分配比例进行调整。该议案尚需经公司股东大会审议通过方可生效。</w:t>
      </w:r>
    </w:p>
    <w:p>
      <w:pPr>
        <w:spacing w:line="240" w:lineRule="auto" w:before="0"/>
        <w:rPr>
          <w:rFonts w:ascii="宋体" w:hAnsi="宋体" w:cs="宋体" w:eastAsia="宋体" w:hint="default"/>
          <w:sz w:val="18"/>
          <w:szCs w:val="18"/>
        </w:rPr>
      </w:pPr>
    </w:p>
    <w:p>
      <w:pPr>
        <w:pStyle w:val="Heading3"/>
        <w:spacing w:line="240" w:lineRule="auto"/>
        <w:ind w:right="0"/>
        <w:jc w:val="both"/>
        <w:rPr>
          <w:b w:val="0"/>
          <w:bCs w:val="0"/>
        </w:rPr>
      </w:pPr>
      <w:r>
        <w:rPr/>
        <w:t>十八、其他重要事项</w:t>
      </w:r>
      <w:r>
        <w:rPr>
          <w:b w:val="0"/>
          <w:bCs w:val="0"/>
        </w:rPr>
      </w:r>
    </w:p>
    <w:p>
      <w:pPr>
        <w:spacing w:line="240" w:lineRule="auto" w:before="8"/>
        <w:rPr>
          <w:rFonts w:ascii="宋体" w:hAnsi="宋体" w:cs="宋体" w:eastAsia="宋体" w:hint="default"/>
          <w:b/>
          <w:bCs/>
          <w:sz w:val="30"/>
          <w:szCs w:val="30"/>
        </w:rPr>
      </w:pPr>
    </w:p>
    <w:p>
      <w:pPr>
        <w:spacing w:line="357" w:lineRule="auto" w:before="0"/>
        <w:ind w:left="592" w:right="5930" w:firstLine="55"/>
        <w:jc w:val="left"/>
        <w:rPr>
          <w:rFonts w:ascii="宋体" w:hAnsi="宋体" w:cs="宋体" w:eastAsia="宋体" w:hint="default"/>
          <w:sz w:val="22"/>
          <w:szCs w:val="22"/>
        </w:rPr>
      </w:pPr>
      <w:r>
        <w:rPr>
          <w:rFonts w:ascii="Arial" w:hAnsi="Arial" w:cs="Arial" w:eastAsia="Arial" w:hint="default"/>
          <w:b/>
          <w:bCs/>
          <w:sz w:val="22"/>
          <w:szCs w:val="22"/>
        </w:rPr>
        <w:t>1</w:t>
      </w:r>
      <w:r>
        <w:rPr>
          <w:rFonts w:ascii="宋体" w:hAnsi="宋体" w:cs="宋体" w:eastAsia="宋体" w:hint="default"/>
          <w:b/>
          <w:bCs/>
          <w:sz w:val="22"/>
          <w:szCs w:val="22"/>
        </w:rPr>
        <w:t>、前期差错更正和影响</w:t>
      </w:r>
      <w:r>
        <w:rPr>
          <w:rFonts w:ascii="宋体" w:hAnsi="宋体" w:cs="宋体" w:eastAsia="宋体" w:hint="default"/>
          <w:b/>
          <w:bCs/>
          <w:w w:val="99"/>
          <w:sz w:val="22"/>
          <w:szCs w:val="22"/>
        </w:rPr>
        <w:t> </w:t>
      </w:r>
      <w:r>
        <w:rPr>
          <w:rFonts w:ascii="宋体" w:hAnsi="宋体" w:cs="宋体" w:eastAsia="宋体" w:hint="default"/>
          <w:spacing w:val="-1"/>
          <w:sz w:val="22"/>
          <w:szCs w:val="22"/>
        </w:rPr>
        <w:t>本年本公司无需披露的前期差错更正事项。</w:t>
      </w:r>
      <w:r>
        <w:rPr>
          <w:rFonts w:ascii="宋体" w:hAnsi="宋体" w:cs="宋体" w:eastAsia="宋体" w:hint="default"/>
          <w:spacing w:val="-95"/>
          <w:sz w:val="22"/>
          <w:szCs w:val="22"/>
        </w:rPr>
        <w:t> </w:t>
      </w:r>
      <w:r>
        <w:rPr>
          <w:rFonts w:ascii="宋体" w:hAnsi="宋体" w:cs="宋体" w:eastAsia="宋体" w:hint="default"/>
          <w:spacing w:val="-95"/>
          <w:sz w:val="22"/>
          <w:szCs w:val="22"/>
        </w:rPr>
      </w:r>
      <w:r>
        <w:rPr>
          <w:rFonts w:ascii="Arial" w:hAnsi="Arial" w:cs="Arial" w:eastAsia="Arial" w:hint="default"/>
          <w:b/>
          <w:bCs/>
          <w:sz w:val="22"/>
          <w:szCs w:val="22"/>
        </w:rPr>
        <w:t>2</w:t>
      </w:r>
      <w:r>
        <w:rPr>
          <w:rFonts w:ascii="宋体" w:hAnsi="宋体" w:cs="宋体" w:eastAsia="宋体" w:hint="default"/>
          <w:b/>
          <w:bCs/>
          <w:sz w:val="22"/>
          <w:szCs w:val="22"/>
        </w:rPr>
        <w:t>、债务重组</w:t>
      </w:r>
      <w:r>
        <w:rPr>
          <w:rFonts w:ascii="宋体" w:hAnsi="宋体" w:cs="宋体" w:eastAsia="宋体" w:hint="default"/>
          <w:b/>
          <w:bCs/>
          <w:w w:val="99"/>
          <w:sz w:val="22"/>
          <w:szCs w:val="22"/>
        </w:rPr>
        <w:t> </w:t>
      </w:r>
      <w:r>
        <w:rPr>
          <w:rFonts w:ascii="宋体" w:hAnsi="宋体" w:cs="宋体" w:eastAsia="宋体" w:hint="default"/>
          <w:sz w:val="22"/>
          <w:szCs w:val="22"/>
        </w:rPr>
        <w:t>本年本公司无需披露的债务重组事项。</w:t>
      </w:r>
      <w:r>
        <w:rPr>
          <w:rFonts w:ascii="宋体" w:hAnsi="宋体" w:cs="宋体" w:eastAsia="宋体" w:hint="default"/>
          <w:w w:val="100"/>
          <w:sz w:val="22"/>
          <w:szCs w:val="22"/>
        </w:rPr>
        <w:t> </w:t>
      </w:r>
      <w:r>
        <w:rPr>
          <w:rFonts w:ascii="Arial" w:hAnsi="Arial" w:cs="Arial" w:eastAsia="Arial" w:hint="default"/>
          <w:b/>
          <w:bCs/>
          <w:sz w:val="22"/>
          <w:szCs w:val="22"/>
        </w:rPr>
        <w:t>3</w:t>
      </w:r>
      <w:r>
        <w:rPr>
          <w:rFonts w:ascii="宋体" w:hAnsi="宋体" w:cs="宋体" w:eastAsia="宋体" w:hint="default"/>
          <w:b/>
          <w:bCs/>
          <w:sz w:val="22"/>
          <w:szCs w:val="22"/>
        </w:rPr>
        <w:t>、资产置换</w:t>
      </w:r>
      <w:r>
        <w:rPr>
          <w:rFonts w:ascii="宋体" w:hAnsi="宋体" w:cs="宋体" w:eastAsia="宋体" w:hint="default"/>
          <w:b/>
          <w:bCs/>
          <w:w w:val="99"/>
          <w:sz w:val="22"/>
          <w:szCs w:val="22"/>
        </w:rPr>
        <w:t> </w:t>
      </w:r>
      <w:r>
        <w:rPr>
          <w:rFonts w:ascii="宋体" w:hAnsi="宋体" w:cs="宋体" w:eastAsia="宋体" w:hint="default"/>
          <w:sz w:val="22"/>
          <w:szCs w:val="22"/>
        </w:rPr>
        <w:t>本年本公司无需披露的资产置换事项。</w:t>
      </w:r>
      <w:r>
        <w:rPr>
          <w:rFonts w:ascii="宋体" w:hAnsi="宋体" w:cs="宋体" w:eastAsia="宋体" w:hint="default"/>
          <w:w w:val="100"/>
          <w:sz w:val="22"/>
          <w:szCs w:val="22"/>
        </w:rPr>
        <w:t> </w:t>
      </w:r>
      <w:r>
        <w:rPr>
          <w:rFonts w:ascii="Arial" w:hAnsi="Arial" w:cs="Arial" w:eastAsia="Arial" w:hint="default"/>
          <w:b/>
          <w:bCs/>
          <w:sz w:val="22"/>
          <w:szCs w:val="22"/>
        </w:rPr>
        <w:t>4</w:t>
      </w:r>
      <w:r>
        <w:rPr>
          <w:rFonts w:ascii="宋体" w:hAnsi="宋体" w:cs="宋体" w:eastAsia="宋体" w:hint="default"/>
          <w:b/>
          <w:bCs/>
          <w:sz w:val="22"/>
          <w:szCs w:val="22"/>
        </w:rPr>
        <w:t>、年金计划</w:t>
      </w:r>
      <w:r>
        <w:rPr>
          <w:rFonts w:ascii="宋体" w:hAnsi="宋体" w:cs="宋体" w:eastAsia="宋体" w:hint="default"/>
          <w:b/>
          <w:bCs/>
          <w:w w:val="99"/>
          <w:sz w:val="22"/>
          <w:szCs w:val="22"/>
        </w:rPr>
        <w:t> </w:t>
      </w:r>
      <w:r>
        <w:rPr>
          <w:rFonts w:ascii="宋体" w:hAnsi="宋体" w:cs="宋体" w:eastAsia="宋体" w:hint="default"/>
          <w:sz w:val="22"/>
          <w:szCs w:val="22"/>
        </w:rPr>
        <w:t>本年本公司无需披露的年金计划。</w:t>
      </w:r>
      <w:r>
        <w:rPr>
          <w:rFonts w:ascii="宋体" w:hAnsi="宋体" w:cs="宋体" w:eastAsia="宋体" w:hint="default"/>
          <w:w w:val="100"/>
          <w:sz w:val="22"/>
          <w:szCs w:val="22"/>
        </w:rPr>
        <w:t> </w:t>
      </w:r>
      <w:r>
        <w:rPr>
          <w:rFonts w:ascii="Arial" w:hAnsi="Arial" w:cs="Arial" w:eastAsia="Arial" w:hint="default"/>
          <w:b/>
          <w:bCs/>
          <w:sz w:val="22"/>
          <w:szCs w:val="22"/>
        </w:rPr>
        <w:t>5</w:t>
      </w:r>
      <w:r>
        <w:rPr>
          <w:rFonts w:ascii="宋体" w:hAnsi="宋体" w:cs="宋体" w:eastAsia="宋体" w:hint="default"/>
          <w:b/>
          <w:bCs/>
          <w:sz w:val="22"/>
          <w:szCs w:val="22"/>
        </w:rPr>
        <w:t>、终止经营</w:t>
      </w:r>
      <w:r>
        <w:rPr>
          <w:rFonts w:ascii="宋体" w:hAnsi="宋体" w:cs="宋体" w:eastAsia="宋体" w:hint="default"/>
          <w:b/>
          <w:bCs/>
          <w:w w:val="99"/>
          <w:sz w:val="22"/>
          <w:szCs w:val="22"/>
        </w:rPr>
        <w:t> </w:t>
      </w:r>
      <w:r>
        <w:rPr>
          <w:rFonts w:ascii="宋体" w:hAnsi="宋体" w:cs="宋体" w:eastAsia="宋体" w:hint="default"/>
          <w:sz w:val="22"/>
          <w:szCs w:val="22"/>
        </w:rPr>
        <w:t>本年本公司无需披露的终止经营事项。</w:t>
      </w:r>
      <w:r>
        <w:rPr>
          <w:rFonts w:ascii="宋体" w:hAnsi="宋体" w:cs="宋体" w:eastAsia="宋体" w:hint="default"/>
          <w:w w:val="100"/>
          <w:sz w:val="22"/>
          <w:szCs w:val="22"/>
        </w:rPr>
        <w:t> </w:t>
      </w:r>
      <w:r>
        <w:rPr>
          <w:rFonts w:ascii="Arial" w:hAnsi="Arial" w:cs="Arial" w:eastAsia="Arial" w:hint="default"/>
          <w:b/>
          <w:bCs/>
          <w:sz w:val="22"/>
          <w:szCs w:val="22"/>
        </w:rPr>
        <w:t>6</w:t>
      </w:r>
      <w:r>
        <w:rPr>
          <w:rFonts w:ascii="宋体" w:hAnsi="宋体" w:cs="宋体" w:eastAsia="宋体" w:hint="default"/>
          <w:b/>
          <w:bCs/>
          <w:sz w:val="22"/>
          <w:szCs w:val="22"/>
        </w:rPr>
        <w:t>、分部信息</w:t>
      </w:r>
      <w:r>
        <w:rPr>
          <w:rFonts w:ascii="宋体" w:hAnsi="宋体" w:cs="宋体" w:eastAsia="宋体" w:hint="default"/>
          <w:sz w:val="22"/>
          <w:szCs w:val="22"/>
        </w:rPr>
      </w:r>
    </w:p>
    <w:p>
      <w:pPr>
        <w:pStyle w:val="BodyText"/>
        <w:spacing w:line="333" w:lineRule="auto" w:before="17"/>
        <w:ind w:right="0" w:firstLine="439"/>
        <w:jc w:val="left"/>
      </w:pPr>
      <w:r>
        <w:rPr>
          <w:spacing w:val="-5"/>
          <w:w w:val="100"/>
        </w:rPr>
        <w:t>本公司根据六、（二十九）所载关于划分经营分部的要求进行了评估。根据本公司内部组织结构、</w:t>
      </w:r>
      <w:r>
        <w:rPr>
          <w:w w:val="100"/>
        </w:rPr>
        <w:t> </w:t>
      </w:r>
      <w:r>
        <w:rPr/>
        <w:t>管理要求及内部报告制度为依据，本公司的经营及策略均以一个整体运行，向主要营运决策者提供的</w:t>
      </w:r>
      <w:r>
        <w:rPr>
          <w:w w:val="100"/>
        </w:rPr>
        <w:t> </w:t>
      </w:r>
      <w:r>
        <w:rPr/>
        <w:t>财务资料并无载有各项经营活动的损益资料。因此，管理层认为本公司仅有一个经营分部，本公司无</w:t>
      </w:r>
      <w:r>
        <w:rPr>
          <w:w w:val="100"/>
        </w:rPr>
        <w:t> </w:t>
      </w:r>
      <w:r>
        <w:rPr/>
        <w:t>需编制分部报告。</w:t>
      </w:r>
    </w:p>
    <w:p>
      <w:pPr>
        <w:spacing w:line="240" w:lineRule="auto" w:before="4"/>
        <w:rPr>
          <w:rFonts w:ascii="宋体" w:hAnsi="宋体" w:cs="宋体" w:eastAsia="宋体" w:hint="default"/>
          <w:sz w:val="17"/>
          <w:szCs w:val="17"/>
        </w:rPr>
      </w:pPr>
    </w:p>
    <w:p>
      <w:pPr>
        <w:pStyle w:val="Heading3"/>
        <w:spacing w:line="240" w:lineRule="auto"/>
        <w:ind w:right="0"/>
        <w:jc w:val="both"/>
        <w:rPr>
          <w:b w:val="0"/>
          <w:bCs w:val="0"/>
        </w:rPr>
      </w:pPr>
      <w:r>
        <w:rPr/>
        <w:t>十九、母公司财务报表主要项目注释</w:t>
      </w:r>
      <w:r>
        <w:rPr>
          <w:b w:val="0"/>
          <w:bCs w:val="0"/>
        </w:rPr>
      </w:r>
    </w:p>
    <w:p>
      <w:pPr>
        <w:spacing w:line="240" w:lineRule="auto" w:before="6"/>
        <w:rPr>
          <w:rFonts w:ascii="宋体" w:hAnsi="宋体" w:cs="宋体" w:eastAsia="宋体" w:hint="default"/>
          <w:b/>
          <w:bCs/>
          <w:sz w:val="30"/>
          <w:szCs w:val="30"/>
        </w:rPr>
      </w:pPr>
    </w:p>
    <w:p>
      <w:pPr>
        <w:pStyle w:val="Heading4"/>
        <w:spacing w:line="240" w:lineRule="auto" w:before="0"/>
        <w:ind w:left="647" w:right="1133"/>
        <w:jc w:val="left"/>
        <w:rPr>
          <w:b w:val="0"/>
          <w:bCs w:val="0"/>
        </w:rPr>
      </w:pPr>
      <w:r>
        <w:rPr>
          <w:rFonts w:ascii="Arial" w:hAnsi="Arial" w:cs="Arial" w:eastAsia="Arial" w:hint="default"/>
        </w:rPr>
        <w:t>1</w:t>
      </w:r>
      <w:r>
        <w:rPr/>
        <w:t>、应收账款</w:t>
      </w:r>
      <w:r>
        <w:rPr>
          <w:b w:val="0"/>
          <w:bCs w:val="0"/>
        </w:rPr>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b/>
          <w:bCs/>
          <w:sz w:val="20"/>
          <w:szCs w:val="20"/>
        </w:rPr>
      </w:pPr>
    </w:p>
    <w:p>
      <w:pPr>
        <w:pStyle w:val="BodyText"/>
        <w:spacing w:line="240" w:lineRule="auto" w:before="173"/>
        <w:ind w:left="592" w:right="1133"/>
        <w:jc w:val="left"/>
      </w:pPr>
      <w:r>
        <w:rPr/>
        <w:t>（</w:t>
      </w:r>
      <w:r>
        <w:rPr>
          <w:rFonts w:ascii="Arial" w:hAnsi="Arial" w:cs="Arial" w:eastAsia="Arial" w:hint="default"/>
        </w:rPr>
        <w:t>1</w:t>
      </w:r>
      <w:r>
        <w:rPr/>
        <w:t>）应收账款按坏账计提方法分类列示</w:t>
      </w:r>
    </w:p>
    <w:p>
      <w:pPr>
        <w:spacing w:line="240" w:lineRule="auto" w:before="8"/>
        <w:rPr>
          <w:rFonts w:ascii="宋体" w:hAnsi="宋体" w:cs="宋体" w:eastAsia="宋体" w:hint="default"/>
          <w:sz w:val="5"/>
          <w:szCs w:val="5"/>
        </w:rPr>
      </w:pPr>
    </w:p>
    <w:tbl>
      <w:tblPr>
        <w:tblW w:w="0" w:type="auto"/>
        <w:jc w:val="left"/>
        <w:tblInd w:w="494" w:type="dxa"/>
        <w:tblLayout w:type="fixed"/>
        <w:tblCellMar>
          <w:top w:w="0" w:type="dxa"/>
          <w:left w:w="0" w:type="dxa"/>
          <w:bottom w:w="0" w:type="dxa"/>
          <w:right w:w="0" w:type="dxa"/>
        </w:tblCellMar>
        <w:tblLook w:val="01E0"/>
      </w:tblPr>
      <w:tblGrid>
        <w:gridCol w:w="2107"/>
        <w:gridCol w:w="1702"/>
        <w:gridCol w:w="941"/>
        <w:gridCol w:w="1496"/>
        <w:gridCol w:w="996"/>
        <w:gridCol w:w="1671"/>
      </w:tblGrid>
      <w:tr>
        <w:trPr>
          <w:trHeight w:val="499" w:hRule="exact"/>
        </w:trPr>
        <w:tc>
          <w:tcPr>
            <w:tcW w:w="2107"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805" w:type="dxa"/>
            <w:gridSpan w:val="5"/>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485" w:hRule="exact"/>
        </w:trPr>
        <w:tc>
          <w:tcPr>
            <w:tcW w:w="2107" w:type="dxa"/>
            <w:vMerge/>
            <w:tcBorders>
              <w:left w:val="nil" w:sz="6" w:space="0" w:color="auto"/>
              <w:right w:val="single" w:sz="2" w:space="0" w:color="000000"/>
            </w:tcBorders>
          </w:tcPr>
          <w:p>
            <w:pPr/>
          </w:p>
        </w:tc>
        <w:tc>
          <w:tcPr>
            <w:tcW w:w="2643"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9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671" w:type="dxa"/>
            <w:vMerge w:val="restart"/>
            <w:tcBorders>
              <w:top w:val="single" w:sz="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47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886" w:hRule="exact"/>
        </w:trPr>
        <w:tc>
          <w:tcPr>
            <w:tcW w:w="2107" w:type="dxa"/>
            <w:vMerge/>
            <w:tcBorders>
              <w:left w:val="nil" w:sz="6" w:space="0" w:color="auto"/>
              <w:bottom w:val="single" w:sz="2" w:space="0" w:color="000000"/>
              <w:right w:val="single" w:sz="2" w:space="0" w:color="000000"/>
            </w:tcBorders>
          </w:tcPr>
          <w:p>
            <w:pP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44"/>
              <w:jc w:val="right"/>
              <w:rPr>
                <w:rFonts w:ascii="Arial" w:hAnsi="Arial" w:cs="Arial" w:eastAsia="Arial" w:hint="default"/>
                <w:sz w:val="18"/>
                <w:szCs w:val="18"/>
              </w:rPr>
            </w:pPr>
            <w:r>
              <w:rPr>
                <w:rFonts w:ascii="宋体" w:hAnsi="宋体" w:cs="宋体" w:eastAsia="宋体" w:hint="default"/>
                <w:w w:val="95"/>
                <w:sz w:val="18"/>
                <w:szCs w:val="18"/>
              </w:rPr>
              <w:t>比例</w:t>
            </w:r>
            <w:r>
              <w:rPr>
                <w:rFonts w:ascii="Arial" w:hAnsi="Arial" w:cs="Arial" w:eastAsia="Arial" w:hint="default"/>
                <w:w w:val="95"/>
                <w:sz w:val="18"/>
                <w:szCs w:val="18"/>
              </w:rPr>
              <w:t>(%)</w:t>
            </w:r>
            <w:r>
              <w:rPr>
                <w:rFonts w:ascii="Arial" w:hAnsi="Arial" w:cs="Arial" w:eastAsia="Arial" w:hint="default"/>
                <w:sz w:val="18"/>
                <w:szCs w:val="18"/>
              </w:rPr>
            </w:r>
          </w:p>
        </w:tc>
        <w:tc>
          <w:tcPr>
            <w:tcW w:w="14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 w:right="0"/>
              <w:jc w:val="center"/>
              <w:rPr>
                <w:rFonts w:ascii="Arial" w:hAnsi="Arial" w:cs="Arial" w:eastAsia="Arial" w:hint="default"/>
                <w:sz w:val="18"/>
                <w:szCs w:val="18"/>
              </w:rPr>
            </w:pPr>
            <w:r>
              <w:rPr>
                <w:rFonts w:ascii="Arial"/>
                <w:sz w:val="18"/>
              </w:rPr>
              <w:t>(%)</w:t>
            </w:r>
          </w:p>
        </w:tc>
        <w:tc>
          <w:tcPr>
            <w:tcW w:w="1671" w:type="dxa"/>
            <w:vMerge/>
            <w:tcBorders>
              <w:left w:val="single" w:sz="2" w:space="0" w:color="000000"/>
              <w:bottom w:val="single" w:sz="2" w:space="0" w:color="000000"/>
              <w:right w:val="nil" w:sz="6" w:space="0" w:color="auto"/>
            </w:tcBorders>
          </w:tcPr>
          <w:p>
            <w:pPr/>
          </w:p>
        </w:tc>
      </w:tr>
      <w:tr>
        <w:trPr>
          <w:trHeight w:val="485" w:hRule="exact"/>
        </w:trPr>
        <w:tc>
          <w:tcPr>
            <w:tcW w:w="21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133,108,766.43</w:t>
            </w:r>
          </w:p>
        </w:tc>
        <w:tc>
          <w:tcPr>
            <w:tcW w:w="9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100.00</w:t>
            </w:r>
          </w:p>
        </w:tc>
        <w:tc>
          <w:tcPr>
            <w:tcW w:w="14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18,283,505.28</w:t>
            </w:r>
          </w:p>
        </w:tc>
        <w:tc>
          <w:tcPr>
            <w:tcW w:w="9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w w:val="95"/>
                <w:sz w:val="18"/>
              </w:rPr>
              <w:t>13.74</w:t>
            </w:r>
            <w:r>
              <w:rPr>
                <w:rFonts w:ascii="Arial"/>
                <w:sz w:val="18"/>
              </w:rPr>
            </w:r>
          </w:p>
        </w:tc>
        <w:tc>
          <w:tcPr>
            <w:tcW w:w="16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2"/>
                <w:sz w:val="18"/>
              </w:rPr>
              <w:t>114,825,261.15</w:t>
            </w:r>
          </w:p>
        </w:tc>
      </w:tr>
      <w:tr>
        <w:trPr>
          <w:trHeight w:val="485" w:hRule="exact"/>
        </w:trPr>
        <w:tc>
          <w:tcPr>
            <w:tcW w:w="21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Arial" w:hAnsi="Arial" w:cs="Arial" w:eastAsia="Arial" w:hint="default"/>
                <w:sz w:val="18"/>
                <w:szCs w:val="18"/>
              </w:rPr>
              <w:t>1</w:t>
            </w:r>
            <w:r>
              <w:rPr>
                <w:rFonts w:ascii="宋体" w:hAnsi="宋体" w:cs="宋体" w:eastAsia="宋体" w:hint="default"/>
                <w:sz w:val="18"/>
                <w:szCs w:val="18"/>
              </w:rPr>
              <w:t>：账龄组合</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69,706,240.85</w:t>
            </w:r>
          </w:p>
        </w:tc>
        <w:tc>
          <w:tcPr>
            <w:tcW w:w="9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w w:val="95"/>
                <w:sz w:val="18"/>
              </w:rPr>
              <w:t>52.37</w:t>
            </w:r>
            <w:r>
              <w:rPr>
                <w:rFonts w:ascii="Arial"/>
                <w:sz w:val="18"/>
              </w:rPr>
            </w:r>
          </w:p>
        </w:tc>
        <w:tc>
          <w:tcPr>
            <w:tcW w:w="14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18,283,505.28</w:t>
            </w:r>
          </w:p>
        </w:tc>
        <w:tc>
          <w:tcPr>
            <w:tcW w:w="9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w w:val="95"/>
                <w:sz w:val="18"/>
              </w:rPr>
              <w:t>26.23</w:t>
            </w:r>
            <w:r>
              <w:rPr>
                <w:rFonts w:ascii="Arial"/>
                <w:sz w:val="18"/>
              </w:rPr>
            </w:r>
          </w:p>
        </w:tc>
        <w:tc>
          <w:tcPr>
            <w:tcW w:w="16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51,422,735.57</w:t>
            </w:r>
          </w:p>
        </w:tc>
      </w:tr>
      <w:tr>
        <w:trPr>
          <w:trHeight w:val="485" w:hRule="exact"/>
        </w:trPr>
        <w:tc>
          <w:tcPr>
            <w:tcW w:w="21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0"/>
              <w:ind w:left="1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Arial" w:hAnsi="Arial" w:cs="Arial" w:eastAsia="Arial" w:hint="default"/>
                <w:sz w:val="18"/>
                <w:szCs w:val="18"/>
              </w:rPr>
              <w:t>2</w:t>
            </w:r>
            <w:r>
              <w:rPr>
                <w:rFonts w:ascii="宋体" w:hAnsi="宋体" w:cs="宋体" w:eastAsia="宋体" w:hint="default"/>
                <w:sz w:val="18"/>
                <w:szCs w:val="18"/>
              </w:rPr>
              <w:t>：关联方组合</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63,402,525.58</w:t>
            </w:r>
          </w:p>
        </w:tc>
        <w:tc>
          <w:tcPr>
            <w:tcW w:w="9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w w:val="95"/>
                <w:sz w:val="18"/>
              </w:rPr>
              <w:t>47.63</w:t>
            </w:r>
            <w:r>
              <w:rPr>
                <w:rFonts w:ascii="Arial"/>
                <w:sz w:val="18"/>
              </w:rPr>
            </w:r>
          </w:p>
        </w:tc>
        <w:tc>
          <w:tcPr>
            <w:tcW w:w="1496" w:type="dxa"/>
            <w:tcBorders>
              <w:top w:val="single" w:sz="2" w:space="0" w:color="000000"/>
              <w:left w:val="single" w:sz="2" w:space="0" w:color="000000"/>
              <w:bottom w:val="single" w:sz="2" w:space="0" w:color="000000"/>
              <w:right w:val="single" w:sz="2" w:space="0" w:color="000000"/>
            </w:tcBorders>
          </w:tcPr>
          <w:p>
            <w:pPr/>
          </w:p>
        </w:tc>
        <w:tc>
          <w:tcPr>
            <w:tcW w:w="996" w:type="dxa"/>
            <w:tcBorders>
              <w:top w:val="single" w:sz="2" w:space="0" w:color="000000"/>
              <w:left w:val="single" w:sz="2" w:space="0" w:color="000000"/>
              <w:bottom w:val="single" w:sz="2" w:space="0" w:color="000000"/>
              <w:right w:val="single" w:sz="2" w:space="0" w:color="000000"/>
            </w:tcBorders>
          </w:tcPr>
          <w:p>
            <w:pPr/>
          </w:p>
        </w:tc>
        <w:tc>
          <w:tcPr>
            <w:tcW w:w="16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63,402,525.58</w:t>
            </w:r>
          </w:p>
        </w:tc>
      </w:tr>
      <w:tr>
        <w:trPr>
          <w:trHeight w:val="499" w:hRule="exact"/>
        </w:trPr>
        <w:tc>
          <w:tcPr>
            <w:tcW w:w="210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133,108,766.43</w:t>
            </w:r>
          </w:p>
        </w:tc>
        <w:tc>
          <w:tcPr>
            <w:tcW w:w="9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100.00</w:t>
            </w:r>
          </w:p>
        </w:tc>
        <w:tc>
          <w:tcPr>
            <w:tcW w:w="14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18,283,505.28</w:t>
            </w:r>
          </w:p>
        </w:tc>
        <w:tc>
          <w:tcPr>
            <w:tcW w:w="996" w:type="dxa"/>
            <w:tcBorders>
              <w:top w:val="single" w:sz="2" w:space="0" w:color="000000"/>
              <w:left w:val="single" w:sz="2" w:space="0" w:color="000000"/>
              <w:bottom w:val="single" w:sz="12" w:space="0" w:color="000000"/>
              <w:right w:val="single" w:sz="2" w:space="0" w:color="000000"/>
            </w:tcBorders>
          </w:tcPr>
          <w:p>
            <w:pPr/>
          </w:p>
        </w:tc>
        <w:tc>
          <w:tcPr>
            <w:tcW w:w="167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2"/>
                <w:sz w:val="18"/>
              </w:rPr>
              <w:t>114,825,261.15</w:t>
            </w:r>
          </w:p>
        </w:tc>
      </w:tr>
    </w:tbl>
    <w:p>
      <w:pPr>
        <w:spacing w:line="240" w:lineRule="auto" w:before="5"/>
        <w:rPr>
          <w:rFonts w:ascii="宋体" w:hAnsi="宋体" w:cs="宋体" w:eastAsia="宋体" w:hint="default"/>
          <w:sz w:val="5"/>
          <w:szCs w:val="5"/>
        </w:rPr>
      </w:pPr>
    </w:p>
    <w:p>
      <w:pPr>
        <w:pStyle w:val="BodyText"/>
        <w:spacing w:line="240" w:lineRule="auto" w:before="32"/>
        <w:ind w:left="592" w:right="1133"/>
        <w:jc w:val="left"/>
      </w:pPr>
      <w:r>
        <w:rPr/>
        <w:t>（续）</w:t>
      </w:r>
    </w:p>
    <w:p>
      <w:pPr>
        <w:spacing w:line="240" w:lineRule="auto" w:before="11"/>
        <w:rPr>
          <w:rFonts w:ascii="宋体" w:hAnsi="宋体" w:cs="宋体" w:eastAsia="宋体" w:hint="default"/>
          <w:sz w:val="6"/>
          <w:szCs w:val="6"/>
        </w:rPr>
      </w:pPr>
    </w:p>
    <w:tbl>
      <w:tblPr>
        <w:tblW w:w="0" w:type="auto"/>
        <w:jc w:val="left"/>
        <w:tblInd w:w="580" w:type="dxa"/>
        <w:tblLayout w:type="fixed"/>
        <w:tblCellMar>
          <w:top w:w="0" w:type="dxa"/>
          <w:left w:w="0" w:type="dxa"/>
          <w:bottom w:w="0" w:type="dxa"/>
          <w:right w:w="0" w:type="dxa"/>
        </w:tblCellMar>
        <w:tblLook w:val="01E0"/>
      </w:tblPr>
      <w:tblGrid>
        <w:gridCol w:w="2110"/>
        <w:gridCol w:w="1700"/>
        <w:gridCol w:w="992"/>
        <w:gridCol w:w="1558"/>
        <w:gridCol w:w="884"/>
        <w:gridCol w:w="1498"/>
      </w:tblGrid>
      <w:tr>
        <w:trPr>
          <w:trHeight w:val="497" w:hRule="exact"/>
        </w:trPr>
        <w:tc>
          <w:tcPr>
            <w:tcW w:w="2110"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630" w:type="dxa"/>
            <w:gridSpan w:val="5"/>
            <w:tcBorders>
              <w:top w:val="single" w:sz="12" w:space="0" w:color="000000"/>
              <w:left w:val="single" w:sz="2" w:space="0" w:color="000000"/>
              <w:bottom w:val="single" w:sz="2" w:space="0" w:color="000000"/>
              <w:right w:val="nil" w:sz="6" w:space="0" w:color="auto"/>
            </w:tcBorders>
          </w:tcPr>
          <w:p>
            <w:pPr>
              <w:pStyle w:val="TableParagraph"/>
              <w:spacing w:line="240" w:lineRule="auto" w:before="149"/>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85" w:hRule="exact"/>
        </w:trPr>
        <w:tc>
          <w:tcPr>
            <w:tcW w:w="2110" w:type="dxa"/>
            <w:vMerge/>
            <w:tcBorders>
              <w:left w:val="nil" w:sz="6" w:space="0" w:color="auto"/>
              <w:right w:val="single" w:sz="2" w:space="0" w:color="000000"/>
            </w:tcBorders>
          </w:tcPr>
          <w:p>
            <w:pPr/>
          </w:p>
        </w:tc>
        <w:tc>
          <w:tcPr>
            <w:tcW w:w="2691"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41"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1"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98" w:type="dxa"/>
            <w:vMerge w:val="restart"/>
            <w:tcBorders>
              <w:top w:val="single" w:sz="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38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886" w:hRule="exact"/>
        </w:trPr>
        <w:tc>
          <w:tcPr>
            <w:tcW w:w="2110" w:type="dxa"/>
            <w:vMerge/>
            <w:tcBorders>
              <w:left w:val="nil" w:sz="6" w:space="0" w:color="auto"/>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68"/>
              <w:jc w:val="right"/>
              <w:rPr>
                <w:rFonts w:ascii="Arial" w:hAnsi="Arial" w:cs="Arial" w:eastAsia="Arial" w:hint="default"/>
                <w:sz w:val="18"/>
                <w:szCs w:val="18"/>
              </w:rPr>
            </w:pPr>
            <w:r>
              <w:rPr>
                <w:rFonts w:ascii="宋体" w:hAnsi="宋体" w:cs="宋体" w:eastAsia="宋体" w:hint="default"/>
                <w:w w:val="95"/>
                <w:sz w:val="18"/>
                <w:szCs w:val="18"/>
              </w:rPr>
              <w:t>比例</w:t>
            </w:r>
            <w:r>
              <w:rPr>
                <w:rFonts w:ascii="Arial" w:hAnsi="Arial" w:cs="Arial" w:eastAsia="Arial" w:hint="default"/>
                <w:w w:val="95"/>
                <w:sz w:val="18"/>
                <w:szCs w:val="18"/>
              </w:rPr>
              <w:t>(%)</w:t>
            </w:r>
            <w:r>
              <w:rPr>
                <w:rFonts w:ascii="Arial" w:hAnsi="Arial" w:cs="Arial" w:eastAsia="Arial" w:hint="default"/>
                <w:sz w:val="18"/>
                <w:szCs w:val="18"/>
              </w:rPr>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84" w:type="dxa"/>
            <w:tcBorders>
              <w:top w:val="single" w:sz="2" w:space="0" w:color="000000"/>
              <w:left w:val="single" w:sz="2" w:space="0" w:color="000000"/>
              <w:bottom w:val="single" w:sz="2" w:space="0" w:color="000000"/>
              <w:right w:val="single" w:sz="2" w:space="0" w:color="000000"/>
            </w:tcBorders>
          </w:tcPr>
          <w:p>
            <w:pPr>
              <w:pStyle w:val="TableParagraph"/>
              <w:spacing w:line="400" w:lineRule="exact" w:before="40"/>
              <w:ind w:left="211" w:right="166" w:hanging="41"/>
              <w:jc w:val="left"/>
              <w:rPr>
                <w:rFonts w:ascii="Arial" w:hAnsi="Arial" w:cs="Arial" w:eastAsia="Arial" w:hint="default"/>
                <w:sz w:val="18"/>
                <w:szCs w:val="18"/>
              </w:rPr>
            </w:pPr>
            <w:r>
              <w:rPr>
                <w:rFonts w:ascii="宋体" w:hAnsi="宋体" w:cs="宋体" w:eastAsia="宋体" w:hint="default"/>
                <w:sz w:val="18"/>
                <w:szCs w:val="18"/>
              </w:rPr>
              <w:t>计提比 例</w:t>
            </w:r>
            <w:r>
              <w:rPr>
                <w:rFonts w:ascii="Arial" w:hAnsi="Arial" w:cs="Arial" w:eastAsia="Arial" w:hint="default"/>
                <w:sz w:val="18"/>
                <w:szCs w:val="18"/>
              </w:rPr>
              <w:t>(%)</w:t>
            </w:r>
          </w:p>
        </w:tc>
        <w:tc>
          <w:tcPr>
            <w:tcW w:w="1498" w:type="dxa"/>
            <w:vMerge/>
            <w:tcBorders>
              <w:left w:val="single" w:sz="2" w:space="0" w:color="000000"/>
              <w:bottom w:val="single" w:sz="2" w:space="0" w:color="000000"/>
              <w:right w:val="nil" w:sz="6" w:space="0" w:color="auto"/>
            </w:tcBorders>
          </w:tcPr>
          <w:p>
            <w:pPr/>
          </w:p>
        </w:tc>
      </w:tr>
      <w:tr>
        <w:trPr>
          <w:trHeight w:val="485" w:hRule="exact"/>
        </w:trPr>
        <w:tc>
          <w:tcPr>
            <w:tcW w:w="21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101,435,398.31</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14,492,809.98</w:t>
            </w:r>
          </w:p>
        </w:tc>
        <w:tc>
          <w:tcPr>
            <w:tcW w:w="8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w w:val="95"/>
                <w:sz w:val="18"/>
              </w:rPr>
              <w:t>14.29</w:t>
            </w:r>
            <w:r>
              <w:rPr>
                <w:rFonts w:ascii="Arial"/>
                <w:sz w:val="18"/>
              </w:rPr>
            </w:r>
          </w:p>
        </w:tc>
        <w:tc>
          <w:tcPr>
            <w:tcW w:w="1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86,942,588.33</w:t>
            </w:r>
          </w:p>
        </w:tc>
      </w:tr>
      <w:tr>
        <w:trPr>
          <w:trHeight w:val="485" w:hRule="exact"/>
        </w:trPr>
        <w:tc>
          <w:tcPr>
            <w:tcW w:w="21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Arial" w:hAnsi="Arial" w:cs="Arial" w:eastAsia="Arial" w:hint="default"/>
                <w:sz w:val="18"/>
                <w:szCs w:val="18"/>
              </w:rPr>
              <w:t>1</w:t>
            </w:r>
            <w:r>
              <w:rPr>
                <w:rFonts w:ascii="宋体" w:hAnsi="宋体" w:cs="宋体" w:eastAsia="宋体" w:hint="default"/>
                <w:sz w:val="18"/>
                <w:szCs w:val="18"/>
              </w:rPr>
              <w:t>：账龄组合</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62,561,224.84</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w w:val="95"/>
                <w:sz w:val="18"/>
              </w:rPr>
              <w:t>61.68</w:t>
            </w:r>
            <w:r>
              <w:rPr>
                <w:rFonts w:ascii="Arial"/>
                <w:sz w:val="18"/>
              </w:rPr>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14,492,809.98</w:t>
            </w:r>
          </w:p>
        </w:tc>
        <w:tc>
          <w:tcPr>
            <w:tcW w:w="8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w w:val="95"/>
                <w:sz w:val="18"/>
              </w:rPr>
              <w:t>23.17</w:t>
            </w:r>
            <w:r>
              <w:rPr>
                <w:rFonts w:ascii="Arial"/>
                <w:sz w:val="18"/>
              </w:rPr>
            </w:r>
          </w:p>
        </w:tc>
        <w:tc>
          <w:tcPr>
            <w:tcW w:w="1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48,068,414.86</w:t>
            </w:r>
          </w:p>
        </w:tc>
      </w:tr>
      <w:tr>
        <w:trPr>
          <w:trHeight w:val="485" w:hRule="exact"/>
        </w:trPr>
        <w:tc>
          <w:tcPr>
            <w:tcW w:w="21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Arial" w:hAnsi="Arial" w:cs="Arial" w:eastAsia="Arial" w:hint="default"/>
                <w:sz w:val="18"/>
                <w:szCs w:val="18"/>
              </w:rPr>
              <w:t>2</w:t>
            </w:r>
            <w:r>
              <w:rPr>
                <w:rFonts w:ascii="宋体" w:hAnsi="宋体" w:cs="宋体" w:eastAsia="宋体" w:hint="default"/>
                <w:sz w:val="18"/>
                <w:szCs w:val="18"/>
              </w:rPr>
              <w:t>：关联方组合</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38,874,173.47</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w w:val="95"/>
                <w:sz w:val="18"/>
              </w:rPr>
              <w:t>38.32</w:t>
            </w:r>
            <w:r>
              <w:rPr>
                <w:rFonts w:ascii="Arial"/>
                <w:sz w:val="18"/>
              </w:rPr>
            </w:r>
          </w:p>
        </w:tc>
        <w:tc>
          <w:tcPr>
            <w:tcW w:w="1558" w:type="dxa"/>
            <w:tcBorders>
              <w:top w:val="single" w:sz="2" w:space="0" w:color="000000"/>
              <w:left w:val="single" w:sz="2" w:space="0" w:color="000000"/>
              <w:bottom w:val="single" w:sz="2" w:space="0" w:color="000000"/>
              <w:right w:val="single" w:sz="2" w:space="0" w:color="000000"/>
            </w:tcBorders>
          </w:tcPr>
          <w:p>
            <w:pPr/>
          </w:p>
        </w:tc>
        <w:tc>
          <w:tcPr>
            <w:tcW w:w="884" w:type="dxa"/>
            <w:tcBorders>
              <w:top w:val="single" w:sz="2" w:space="0" w:color="000000"/>
              <w:left w:val="single" w:sz="2" w:space="0" w:color="000000"/>
              <w:bottom w:val="single" w:sz="2" w:space="0" w:color="000000"/>
              <w:right w:val="single" w:sz="2" w:space="0" w:color="000000"/>
            </w:tcBorders>
          </w:tcPr>
          <w:p>
            <w:pPr/>
          </w:p>
        </w:tc>
        <w:tc>
          <w:tcPr>
            <w:tcW w:w="1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38,874,173.47</w:t>
            </w:r>
          </w:p>
        </w:tc>
      </w:tr>
      <w:tr>
        <w:trPr>
          <w:trHeight w:val="499" w:hRule="exact"/>
        </w:trPr>
        <w:tc>
          <w:tcPr>
            <w:tcW w:w="211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101,435,398.31</w:t>
            </w:r>
          </w:p>
        </w:tc>
        <w:tc>
          <w:tcPr>
            <w:tcW w:w="9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15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14,492,809.98</w:t>
            </w:r>
          </w:p>
        </w:tc>
        <w:tc>
          <w:tcPr>
            <w:tcW w:w="884" w:type="dxa"/>
            <w:tcBorders>
              <w:top w:val="single" w:sz="2" w:space="0" w:color="000000"/>
              <w:left w:val="single" w:sz="2" w:space="0" w:color="000000"/>
              <w:bottom w:val="single" w:sz="12" w:space="0" w:color="000000"/>
              <w:right w:val="single" w:sz="2" w:space="0" w:color="000000"/>
            </w:tcBorders>
          </w:tcPr>
          <w:p>
            <w:pPr/>
          </w:p>
        </w:tc>
        <w:tc>
          <w:tcPr>
            <w:tcW w:w="149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86,942,588.33</w:t>
            </w:r>
          </w:p>
        </w:tc>
      </w:tr>
    </w:tbl>
    <w:p>
      <w:pPr>
        <w:spacing w:line="240" w:lineRule="auto" w:before="5"/>
        <w:rPr>
          <w:rFonts w:ascii="宋体" w:hAnsi="宋体" w:cs="宋体" w:eastAsia="宋体" w:hint="default"/>
          <w:sz w:val="5"/>
          <w:szCs w:val="5"/>
        </w:rPr>
      </w:pPr>
    </w:p>
    <w:p>
      <w:pPr>
        <w:pStyle w:val="BodyText"/>
        <w:spacing w:line="240" w:lineRule="auto" w:before="32"/>
        <w:ind w:left="592" w:right="1133"/>
        <w:jc w:val="left"/>
      </w:pPr>
      <w:r>
        <w:rPr/>
        <w:t>按账龄组合计提应收账款坏账准备</w:t>
      </w:r>
    </w:p>
    <w:p>
      <w:pPr>
        <w:spacing w:line="240" w:lineRule="auto" w:before="11"/>
        <w:rPr>
          <w:rFonts w:ascii="宋体" w:hAnsi="宋体" w:cs="宋体" w:eastAsia="宋体" w:hint="default"/>
          <w:sz w:val="6"/>
          <w:szCs w:val="6"/>
        </w:rPr>
      </w:pPr>
    </w:p>
    <w:tbl>
      <w:tblPr>
        <w:tblW w:w="0" w:type="auto"/>
        <w:jc w:val="left"/>
        <w:tblInd w:w="580" w:type="dxa"/>
        <w:tblLayout w:type="fixed"/>
        <w:tblCellMar>
          <w:top w:w="0" w:type="dxa"/>
          <w:left w:w="0" w:type="dxa"/>
          <w:bottom w:w="0" w:type="dxa"/>
          <w:right w:w="0" w:type="dxa"/>
        </w:tblCellMar>
        <w:tblLook w:val="01E0"/>
      </w:tblPr>
      <w:tblGrid>
        <w:gridCol w:w="2974"/>
        <w:gridCol w:w="1983"/>
        <w:gridCol w:w="1884"/>
        <w:gridCol w:w="1899"/>
      </w:tblGrid>
      <w:tr>
        <w:trPr>
          <w:trHeight w:val="499" w:hRule="exact"/>
        </w:trPr>
        <w:tc>
          <w:tcPr>
            <w:tcW w:w="2974"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20"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5766"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490" w:hRule="exact"/>
        </w:trPr>
        <w:tc>
          <w:tcPr>
            <w:tcW w:w="2974" w:type="dxa"/>
            <w:vMerge/>
            <w:tcBorders>
              <w:left w:val="nil" w:sz="6" w:space="0" w:color="auto"/>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6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57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0"/>
              <w:ind w:left="446" w:right="0"/>
              <w:jc w:val="left"/>
              <w:rPr>
                <w:rFonts w:ascii="Arial" w:hAnsi="Arial" w:cs="Arial" w:eastAsia="Arial" w:hint="default"/>
                <w:sz w:val="18"/>
                <w:szCs w:val="18"/>
              </w:rPr>
            </w:pPr>
            <w:r>
              <w:rPr>
                <w:rFonts w:ascii="宋体" w:hAnsi="宋体" w:cs="宋体" w:eastAsia="宋体" w:hint="default"/>
                <w:sz w:val="18"/>
                <w:szCs w:val="18"/>
              </w:rPr>
              <w:t>计提比例</w:t>
            </w:r>
            <w:r>
              <w:rPr>
                <w:rFonts w:ascii="Arial" w:hAnsi="Arial" w:cs="Arial" w:eastAsia="Arial" w:hint="default"/>
                <w:sz w:val="18"/>
                <w:szCs w:val="18"/>
              </w:rPr>
              <w:t>(%)</w:t>
            </w:r>
          </w:p>
        </w:tc>
      </w:tr>
      <w:tr>
        <w:trPr>
          <w:trHeight w:val="492" w:hRule="exact"/>
        </w:trPr>
        <w:tc>
          <w:tcPr>
            <w:tcW w:w="2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2"/>
              <w:ind w:left="124"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18"/>
                <w:szCs w:val="18"/>
              </w:rPr>
            </w:pPr>
            <w:r>
              <w:rPr>
                <w:rFonts w:ascii="Arial"/>
                <w:spacing w:val="-1"/>
                <w:sz w:val="18"/>
              </w:rPr>
              <w:t>26,305,421.83</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7"/>
              <w:jc w:val="right"/>
              <w:rPr>
                <w:rFonts w:ascii="Arial" w:hAnsi="Arial" w:cs="Arial" w:eastAsia="Arial" w:hint="default"/>
                <w:sz w:val="18"/>
                <w:szCs w:val="18"/>
              </w:rPr>
            </w:pPr>
            <w:r>
              <w:rPr>
                <w:rFonts w:ascii="Arial"/>
                <w:spacing w:val="-1"/>
                <w:sz w:val="18"/>
              </w:rPr>
              <w:t>1,314,109.01</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4"/>
              <w:jc w:val="right"/>
              <w:rPr>
                <w:rFonts w:ascii="Arial" w:hAnsi="Arial" w:cs="Arial" w:eastAsia="Arial" w:hint="default"/>
                <w:sz w:val="18"/>
                <w:szCs w:val="18"/>
              </w:rPr>
            </w:pPr>
            <w:r>
              <w:rPr>
                <w:rFonts w:ascii="Arial"/>
                <w:w w:val="99"/>
                <w:sz w:val="18"/>
              </w:rPr>
              <w:t>5</w:t>
            </w:r>
            <w:r>
              <w:rPr>
                <w:rFonts w:ascii="Arial"/>
                <w:sz w:val="18"/>
              </w:rPr>
            </w:r>
          </w:p>
        </w:tc>
      </w:tr>
      <w:tr>
        <w:trPr>
          <w:trHeight w:val="490" w:hRule="exact"/>
        </w:trPr>
        <w:tc>
          <w:tcPr>
            <w:tcW w:w="2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18"/>
                <w:szCs w:val="18"/>
              </w:rPr>
            </w:pPr>
            <w:r>
              <w:rPr>
                <w:rFonts w:ascii="Arial"/>
                <w:spacing w:val="-1"/>
                <w:sz w:val="18"/>
              </w:rPr>
              <w:t>4,404,027.73</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7"/>
              <w:jc w:val="right"/>
              <w:rPr>
                <w:rFonts w:ascii="Arial" w:hAnsi="Arial" w:cs="Arial" w:eastAsia="Arial" w:hint="default"/>
                <w:sz w:val="18"/>
                <w:szCs w:val="18"/>
              </w:rPr>
            </w:pPr>
            <w:r>
              <w:rPr>
                <w:rFonts w:ascii="Arial"/>
                <w:spacing w:val="-1"/>
                <w:sz w:val="18"/>
              </w:rPr>
              <w:t>440,402.77</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w w:val="95"/>
                <w:sz w:val="18"/>
              </w:rPr>
              <w:t>10</w:t>
            </w:r>
            <w:r>
              <w:rPr>
                <w:rFonts w:ascii="Arial"/>
                <w:sz w:val="18"/>
              </w:rPr>
            </w:r>
          </w:p>
        </w:tc>
      </w:tr>
      <w:tr>
        <w:trPr>
          <w:trHeight w:val="490" w:hRule="exact"/>
        </w:trPr>
        <w:tc>
          <w:tcPr>
            <w:tcW w:w="2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2-3</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18"/>
                <w:szCs w:val="18"/>
              </w:rPr>
            </w:pPr>
            <w:r>
              <w:rPr>
                <w:rFonts w:ascii="Arial"/>
                <w:spacing w:val="-1"/>
                <w:sz w:val="18"/>
              </w:rPr>
              <w:t>26,853,453.51</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7"/>
              <w:jc w:val="right"/>
              <w:rPr>
                <w:rFonts w:ascii="Arial" w:hAnsi="Arial" w:cs="Arial" w:eastAsia="Arial" w:hint="default"/>
                <w:sz w:val="18"/>
                <w:szCs w:val="18"/>
              </w:rPr>
            </w:pPr>
            <w:r>
              <w:rPr>
                <w:rFonts w:ascii="Arial"/>
                <w:spacing w:val="-1"/>
                <w:sz w:val="18"/>
              </w:rPr>
              <w:t>8,056,036.06</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w w:val="95"/>
                <w:sz w:val="18"/>
              </w:rPr>
              <w:t>30</w:t>
            </w:r>
            <w:r>
              <w:rPr>
                <w:rFonts w:ascii="Arial"/>
                <w:sz w:val="18"/>
              </w:rPr>
            </w:r>
          </w:p>
        </w:tc>
      </w:tr>
      <w:tr>
        <w:trPr>
          <w:trHeight w:val="490" w:hRule="exact"/>
        </w:trPr>
        <w:tc>
          <w:tcPr>
            <w:tcW w:w="2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3-4</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18"/>
                <w:szCs w:val="18"/>
              </w:rPr>
            </w:pPr>
            <w:r>
              <w:rPr>
                <w:rFonts w:ascii="Arial"/>
                <w:spacing w:val="-1"/>
                <w:sz w:val="18"/>
              </w:rPr>
              <w:t>6,225,181.61</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7"/>
              <w:jc w:val="right"/>
              <w:rPr>
                <w:rFonts w:ascii="Arial" w:hAnsi="Arial" w:cs="Arial" w:eastAsia="Arial" w:hint="default"/>
                <w:sz w:val="18"/>
                <w:szCs w:val="18"/>
              </w:rPr>
            </w:pPr>
            <w:r>
              <w:rPr>
                <w:rFonts w:ascii="Arial"/>
                <w:spacing w:val="-2"/>
                <w:sz w:val="18"/>
              </w:rPr>
              <w:t>3,112,590.82</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w w:val="95"/>
                <w:sz w:val="18"/>
              </w:rPr>
              <w:t>50</w:t>
            </w:r>
            <w:r>
              <w:rPr>
                <w:rFonts w:ascii="Arial"/>
                <w:sz w:val="18"/>
              </w:rPr>
            </w:r>
          </w:p>
        </w:tc>
      </w:tr>
      <w:tr>
        <w:trPr>
          <w:trHeight w:val="490" w:hRule="exact"/>
        </w:trPr>
        <w:tc>
          <w:tcPr>
            <w:tcW w:w="2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4-5</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18"/>
                <w:szCs w:val="18"/>
              </w:rPr>
            </w:pPr>
            <w:r>
              <w:rPr>
                <w:rFonts w:ascii="Arial"/>
                <w:spacing w:val="-1"/>
                <w:sz w:val="18"/>
              </w:rPr>
              <w:t>2,788,947.73</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18"/>
                <w:szCs w:val="18"/>
              </w:rPr>
            </w:pPr>
            <w:r>
              <w:rPr>
                <w:rFonts w:ascii="Arial"/>
                <w:spacing w:val="-1"/>
                <w:sz w:val="18"/>
              </w:rPr>
              <w:t>2,231,158.18</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w w:val="95"/>
                <w:sz w:val="18"/>
              </w:rPr>
              <w:t>80</w:t>
            </w:r>
            <w:r>
              <w:rPr>
                <w:rFonts w:ascii="Arial"/>
                <w:sz w:val="18"/>
              </w:rPr>
            </w:r>
          </w:p>
        </w:tc>
      </w:tr>
      <w:tr>
        <w:trPr>
          <w:trHeight w:val="490" w:hRule="exact"/>
        </w:trPr>
        <w:tc>
          <w:tcPr>
            <w:tcW w:w="2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18"/>
                <w:szCs w:val="18"/>
              </w:rPr>
            </w:pPr>
            <w:r>
              <w:rPr>
                <w:rFonts w:ascii="Arial"/>
                <w:spacing w:val="-1"/>
                <w:sz w:val="18"/>
              </w:rPr>
              <w:t>3,129,208.44</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18"/>
                <w:szCs w:val="18"/>
              </w:rPr>
            </w:pPr>
            <w:r>
              <w:rPr>
                <w:rFonts w:ascii="Arial"/>
                <w:spacing w:val="-1"/>
                <w:sz w:val="18"/>
              </w:rPr>
              <w:t>3,129,208.44</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w w:val="95"/>
                <w:sz w:val="18"/>
              </w:rPr>
              <w:t>100</w:t>
            </w:r>
            <w:r>
              <w:rPr>
                <w:rFonts w:ascii="Arial"/>
                <w:sz w:val="18"/>
              </w:rPr>
            </w:r>
          </w:p>
        </w:tc>
      </w:tr>
      <w:tr>
        <w:trPr>
          <w:trHeight w:val="502" w:hRule="exact"/>
        </w:trPr>
        <w:tc>
          <w:tcPr>
            <w:tcW w:w="297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52"/>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18"/>
                <w:szCs w:val="18"/>
              </w:rPr>
            </w:pPr>
            <w:r>
              <w:rPr>
                <w:rFonts w:ascii="Arial"/>
                <w:spacing w:val="-1"/>
                <w:sz w:val="18"/>
              </w:rPr>
              <w:t>69,706,240.85</w:t>
            </w:r>
          </w:p>
        </w:tc>
        <w:tc>
          <w:tcPr>
            <w:tcW w:w="18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18"/>
                <w:szCs w:val="18"/>
              </w:rPr>
            </w:pPr>
            <w:r>
              <w:rPr>
                <w:rFonts w:ascii="Arial"/>
                <w:spacing w:val="-1"/>
                <w:sz w:val="18"/>
              </w:rPr>
              <w:t>18,283,505.28</w:t>
            </w:r>
          </w:p>
        </w:tc>
        <w:tc>
          <w:tcPr>
            <w:tcW w:w="189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52"/>
              <w:ind w:left="88" w:right="0"/>
              <w:jc w:val="center"/>
              <w:rPr>
                <w:rFonts w:ascii="宋体" w:hAnsi="宋体" w:cs="宋体" w:eastAsia="宋体" w:hint="default"/>
                <w:sz w:val="18"/>
                <w:szCs w:val="18"/>
              </w:rPr>
            </w:pPr>
            <w:r>
              <w:rPr>
                <w:rFonts w:ascii="宋体"/>
                <w:sz w:val="18"/>
              </w:rPr>
              <w:t> </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3"/>
        <w:ind w:left="592" w:right="1133"/>
        <w:jc w:val="left"/>
      </w:pPr>
      <w:r>
        <w:rPr/>
        <w:t>（</w:t>
      </w:r>
      <w:r>
        <w:rPr>
          <w:rFonts w:ascii="Arial" w:hAnsi="Arial" w:cs="Arial" w:eastAsia="Arial" w:hint="default"/>
        </w:rPr>
        <w:t>2</w:t>
      </w:r>
      <w:r>
        <w:rPr/>
        <w:t>）应收账款按账龄列示</w:t>
      </w:r>
    </w:p>
    <w:p>
      <w:pPr>
        <w:spacing w:line="240" w:lineRule="auto" w:before="8"/>
        <w:rPr>
          <w:rFonts w:ascii="宋体" w:hAnsi="宋体" w:cs="宋体" w:eastAsia="宋体" w:hint="default"/>
          <w:sz w:val="5"/>
          <w:szCs w:val="5"/>
        </w:rPr>
      </w:pPr>
    </w:p>
    <w:tbl>
      <w:tblPr>
        <w:tblW w:w="0" w:type="auto"/>
        <w:jc w:val="left"/>
        <w:tblInd w:w="580" w:type="dxa"/>
        <w:tblLayout w:type="fixed"/>
        <w:tblCellMar>
          <w:top w:w="0" w:type="dxa"/>
          <w:left w:w="0" w:type="dxa"/>
          <w:bottom w:w="0" w:type="dxa"/>
          <w:right w:w="0" w:type="dxa"/>
        </w:tblCellMar>
        <w:tblLook w:val="01E0"/>
      </w:tblPr>
      <w:tblGrid>
        <w:gridCol w:w="3927"/>
        <w:gridCol w:w="4813"/>
      </w:tblGrid>
      <w:tr>
        <w:trPr>
          <w:trHeight w:val="502" w:hRule="exact"/>
        </w:trPr>
        <w:tc>
          <w:tcPr>
            <w:tcW w:w="392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2"/>
              <w:ind w:right="1767"/>
              <w:jc w:val="right"/>
              <w:rPr>
                <w:rFonts w:ascii="宋体" w:hAnsi="宋体" w:cs="宋体" w:eastAsia="宋体" w:hint="default"/>
                <w:sz w:val="18"/>
                <w:szCs w:val="18"/>
              </w:rPr>
            </w:pPr>
            <w:r>
              <w:rPr>
                <w:rFonts w:ascii="宋体" w:hAnsi="宋体" w:cs="宋体" w:eastAsia="宋体" w:hint="default"/>
                <w:sz w:val="18"/>
                <w:szCs w:val="18"/>
              </w:rPr>
              <w:t>账龄</w:t>
            </w:r>
          </w:p>
        </w:tc>
        <w:tc>
          <w:tcPr>
            <w:tcW w:w="481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2"/>
              <w:ind w:right="5"/>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490" w:hRule="exact"/>
        </w:trPr>
        <w:tc>
          <w:tcPr>
            <w:tcW w:w="3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48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89,498,239.87</w:t>
            </w:r>
          </w:p>
        </w:tc>
      </w:tr>
      <w:tr>
        <w:trPr>
          <w:trHeight w:val="490" w:hRule="exact"/>
        </w:trPr>
        <w:tc>
          <w:tcPr>
            <w:tcW w:w="3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48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4,571,855.27</w:t>
            </w:r>
          </w:p>
        </w:tc>
      </w:tr>
      <w:tr>
        <w:trPr>
          <w:trHeight w:val="490" w:hRule="exact"/>
        </w:trPr>
        <w:tc>
          <w:tcPr>
            <w:tcW w:w="3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2-3</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48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26,895,333.51</w:t>
            </w:r>
          </w:p>
        </w:tc>
      </w:tr>
      <w:tr>
        <w:trPr>
          <w:trHeight w:val="492" w:hRule="exact"/>
        </w:trPr>
        <w:tc>
          <w:tcPr>
            <w:tcW w:w="3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2"/>
              <w:ind w:left="124" w:right="0"/>
              <w:jc w:val="left"/>
              <w:rPr>
                <w:rFonts w:ascii="宋体" w:hAnsi="宋体" w:cs="宋体" w:eastAsia="宋体" w:hint="default"/>
                <w:sz w:val="18"/>
                <w:szCs w:val="18"/>
              </w:rPr>
            </w:pPr>
            <w:r>
              <w:rPr>
                <w:rFonts w:ascii="Arial" w:hAnsi="Arial" w:cs="Arial" w:eastAsia="Arial" w:hint="default"/>
                <w:sz w:val="18"/>
                <w:szCs w:val="18"/>
              </w:rPr>
              <w:t>3-4</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48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6,225,181.61</w:t>
            </w:r>
          </w:p>
        </w:tc>
      </w:tr>
      <w:tr>
        <w:trPr>
          <w:trHeight w:val="490" w:hRule="exact"/>
        </w:trPr>
        <w:tc>
          <w:tcPr>
            <w:tcW w:w="3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4-5</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48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2,788,947.73</w:t>
            </w:r>
          </w:p>
        </w:tc>
      </w:tr>
      <w:tr>
        <w:trPr>
          <w:trHeight w:val="490" w:hRule="exact"/>
        </w:trPr>
        <w:tc>
          <w:tcPr>
            <w:tcW w:w="3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48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3,129,208.44</w:t>
            </w:r>
          </w:p>
        </w:tc>
      </w:tr>
      <w:tr>
        <w:trPr>
          <w:trHeight w:val="502" w:hRule="exact"/>
        </w:trPr>
        <w:tc>
          <w:tcPr>
            <w:tcW w:w="3927" w:type="dxa"/>
            <w:tcBorders>
              <w:top w:val="single" w:sz="4" w:space="0" w:color="000000"/>
              <w:left w:val="nil" w:sz="6" w:space="0" w:color="auto"/>
              <w:bottom w:val="single" w:sz="6" w:space="0" w:color="000000"/>
              <w:right w:val="single" w:sz="4" w:space="0" w:color="000000"/>
            </w:tcBorders>
          </w:tcPr>
          <w:p>
            <w:pPr>
              <w:pStyle w:val="TableParagraph"/>
              <w:spacing w:line="240" w:lineRule="auto" w:before="133"/>
              <w:ind w:right="1767"/>
              <w:jc w:val="right"/>
              <w:rPr>
                <w:rFonts w:ascii="宋体" w:hAnsi="宋体" w:cs="宋体" w:eastAsia="宋体" w:hint="default"/>
                <w:sz w:val="18"/>
                <w:szCs w:val="18"/>
              </w:rPr>
            </w:pPr>
            <w:r>
              <w:rPr>
                <w:rFonts w:ascii="宋体" w:hAnsi="宋体" w:cs="宋体" w:eastAsia="宋体" w:hint="default"/>
                <w:sz w:val="18"/>
                <w:szCs w:val="18"/>
              </w:rPr>
              <w:t>合计</w:t>
            </w:r>
          </w:p>
        </w:tc>
        <w:tc>
          <w:tcPr>
            <w:tcW w:w="481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133,108,766.43</w:t>
            </w:r>
          </w:p>
        </w:tc>
      </w:tr>
    </w:tbl>
    <w:p>
      <w:pPr>
        <w:spacing w:line="240" w:lineRule="auto" w:before="5"/>
        <w:rPr>
          <w:rFonts w:ascii="宋体" w:hAnsi="宋体" w:cs="宋体" w:eastAsia="宋体" w:hint="default"/>
          <w:sz w:val="5"/>
          <w:szCs w:val="5"/>
        </w:rPr>
      </w:pPr>
    </w:p>
    <w:p>
      <w:pPr>
        <w:pStyle w:val="BodyText"/>
        <w:spacing w:line="240" w:lineRule="auto" w:before="32"/>
        <w:ind w:left="592" w:right="1133"/>
        <w:jc w:val="left"/>
        <w:rPr>
          <w:rFonts w:ascii="宋体" w:hAnsi="宋体" w:cs="宋体" w:eastAsia="宋体" w:hint="default"/>
        </w:rPr>
      </w:pPr>
      <w:r>
        <w:rPr/>
        <w:t>（</w:t>
      </w:r>
      <w:r>
        <w:rPr>
          <w:rFonts w:ascii="Arial" w:hAnsi="Arial" w:cs="Arial" w:eastAsia="Arial" w:hint="default"/>
        </w:rPr>
        <w:t>3</w:t>
      </w:r>
      <w:r>
        <w:rPr/>
        <w:t>）本年应账款坏账准备情况</w:t>
      </w:r>
      <w:r>
        <w:rPr>
          <w:rFonts w:ascii="宋体" w:hAnsi="宋体" w:cs="宋体" w:eastAsia="宋体" w:hint="default"/>
        </w:rPr>
        <w:t> </w:t>
      </w:r>
    </w:p>
    <w:p>
      <w:pPr>
        <w:spacing w:line="240" w:lineRule="auto" w:before="8"/>
        <w:rPr>
          <w:rFonts w:ascii="宋体" w:hAnsi="宋体" w:cs="宋体" w:eastAsia="宋体" w:hint="default"/>
          <w:sz w:val="5"/>
          <w:szCs w:val="5"/>
        </w:rPr>
      </w:pPr>
    </w:p>
    <w:tbl>
      <w:tblPr>
        <w:tblW w:w="0" w:type="auto"/>
        <w:jc w:val="left"/>
        <w:tblInd w:w="580" w:type="dxa"/>
        <w:tblLayout w:type="fixed"/>
        <w:tblCellMar>
          <w:top w:w="0" w:type="dxa"/>
          <w:left w:w="0" w:type="dxa"/>
          <w:bottom w:w="0" w:type="dxa"/>
          <w:right w:w="0" w:type="dxa"/>
        </w:tblCellMar>
        <w:tblLook w:val="01E0"/>
      </w:tblPr>
      <w:tblGrid>
        <w:gridCol w:w="1404"/>
        <w:gridCol w:w="1498"/>
        <w:gridCol w:w="1423"/>
        <w:gridCol w:w="1426"/>
        <w:gridCol w:w="1423"/>
        <w:gridCol w:w="1565"/>
      </w:tblGrid>
      <w:tr>
        <w:trPr>
          <w:trHeight w:val="497" w:hRule="exact"/>
        </w:trPr>
        <w:tc>
          <w:tcPr>
            <w:tcW w:w="1404"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1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498"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388"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4272"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本年变动金额</w:t>
            </w:r>
          </w:p>
        </w:tc>
        <w:tc>
          <w:tcPr>
            <w:tcW w:w="1565" w:type="dxa"/>
            <w:vMerge w:val="restart"/>
            <w:tcBorders>
              <w:top w:val="single" w:sz="1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420"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485" w:hRule="exact"/>
        </w:trPr>
        <w:tc>
          <w:tcPr>
            <w:tcW w:w="1404" w:type="dxa"/>
            <w:vMerge/>
            <w:tcBorders>
              <w:left w:val="nil" w:sz="6" w:space="0" w:color="auto"/>
              <w:bottom w:val="single" w:sz="2" w:space="0" w:color="000000"/>
              <w:right w:val="single" w:sz="2" w:space="0" w:color="000000"/>
            </w:tcBorders>
          </w:tcPr>
          <w:p>
            <w:pPr/>
          </w:p>
        </w:tc>
        <w:tc>
          <w:tcPr>
            <w:tcW w:w="1498" w:type="dxa"/>
            <w:vMerge/>
            <w:tcBorders>
              <w:left w:val="single" w:sz="2" w:space="0" w:color="000000"/>
              <w:bottom w:val="single" w:sz="2" w:space="0" w:color="000000"/>
              <w:right w:val="single" w:sz="2" w:space="0" w:color="000000"/>
            </w:tcBorders>
          </w:tcPr>
          <w:p>
            <w:pPr/>
          </w:p>
        </w:tc>
        <w:tc>
          <w:tcPr>
            <w:tcW w:w="14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4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26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4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259" w:right="0"/>
              <w:jc w:val="left"/>
              <w:rPr>
                <w:rFonts w:ascii="宋体" w:hAnsi="宋体" w:cs="宋体" w:eastAsia="宋体" w:hint="default"/>
                <w:sz w:val="18"/>
                <w:szCs w:val="18"/>
              </w:rPr>
            </w:pPr>
            <w:r>
              <w:rPr>
                <w:rFonts w:ascii="宋体" w:hAnsi="宋体" w:cs="宋体" w:eastAsia="宋体" w:hint="default"/>
                <w:sz w:val="18"/>
                <w:szCs w:val="18"/>
              </w:rPr>
              <w:t>转销或核销</w:t>
            </w:r>
          </w:p>
        </w:tc>
        <w:tc>
          <w:tcPr>
            <w:tcW w:w="1565" w:type="dxa"/>
            <w:vMerge/>
            <w:tcBorders>
              <w:left w:val="single" w:sz="2" w:space="0" w:color="000000"/>
              <w:bottom w:val="single" w:sz="2" w:space="0" w:color="000000"/>
              <w:right w:val="nil" w:sz="6" w:space="0" w:color="auto"/>
            </w:tcBorders>
          </w:tcPr>
          <w:p>
            <w:pPr/>
          </w:p>
        </w:tc>
      </w:tr>
      <w:tr>
        <w:trPr>
          <w:trHeight w:val="485" w:hRule="exact"/>
        </w:trPr>
        <w:tc>
          <w:tcPr>
            <w:tcW w:w="14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right="554"/>
              <w:jc w:val="right"/>
              <w:rPr>
                <w:rFonts w:ascii="宋体" w:hAnsi="宋体" w:cs="宋体" w:eastAsia="宋体" w:hint="default"/>
                <w:sz w:val="18"/>
                <w:szCs w:val="18"/>
              </w:rPr>
            </w:pPr>
            <w:r>
              <w:rPr>
                <w:rFonts w:ascii="宋体" w:hAnsi="宋体" w:cs="宋体" w:eastAsia="宋体" w:hint="default"/>
                <w:sz w:val="18"/>
                <w:szCs w:val="18"/>
              </w:rPr>
              <w:t>坏账准备</w:t>
            </w:r>
          </w:p>
        </w:tc>
        <w:tc>
          <w:tcPr>
            <w:tcW w:w="14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14,492,809.98</w:t>
            </w:r>
          </w:p>
        </w:tc>
        <w:tc>
          <w:tcPr>
            <w:tcW w:w="14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3,790,695.30</w:t>
            </w:r>
          </w:p>
        </w:tc>
        <w:tc>
          <w:tcPr>
            <w:tcW w:w="1426" w:type="dxa"/>
            <w:tcBorders>
              <w:top w:val="single" w:sz="2" w:space="0" w:color="000000"/>
              <w:left w:val="single" w:sz="2" w:space="0" w:color="000000"/>
              <w:bottom w:val="single" w:sz="2" w:space="0" w:color="000000"/>
              <w:right w:val="single" w:sz="2" w:space="0" w:color="000000"/>
            </w:tcBorders>
          </w:tcPr>
          <w:p>
            <w:pPr/>
          </w:p>
        </w:tc>
        <w:tc>
          <w:tcPr>
            <w:tcW w:w="1423" w:type="dxa"/>
            <w:tcBorders>
              <w:top w:val="single" w:sz="2" w:space="0" w:color="000000"/>
              <w:left w:val="single" w:sz="2" w:space="0" w:color="000000"/>
              <w:bottom w:val="single" w:sz="2" w:space="0" w:color="000000"/>
              <w:right w:val="single" w:sz="2" w:space="0" w:color="000000"/>
            </w:tcBorders>
          </w:tcPr>
          <w:p>
            <w:pPr/>
          </w:p>
        </w:tc>
        <w:tc>
          <w:tcPr>
            <w:tcW w:w="15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18,283,505.28</w:t>
            </w:r>
          </w:p>
        </w:tc>
      </w:tr>
      <w:tr>
        <w:trPr>
          <w:trHeight w:val="500" w:hRule="exact"/>
        </w:trPr>
        <w:tc>
          <w:tcPr>
            <w:tcW w:w="140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50"/>
              <w:ind w:right="509"/>
              <w:jc w:val="right"/>
              <w:rPr>
                <w:rFonts w:ascii="宋体" w:hAnsi="宋体" w:cs="宋体" w:eastAsia="宋体" w:hint="default"/>
                <w:sz w:val="18"/>
                <w:szCs w:val="18"/>
              </w:rPr>
            </w:pPr>
            <w:r>
              <w:rPr>
                <w:rFonts w:ascii="宋体" w:hAnsi="宋体" w:cs="宋体" w:eastAsia="宋体" w:hint="default"/>
                <w:sz w:val="18"/>
                <w:szCs w:val="18"/>
              </w:rPr>
              <w:t>合计</w:t>
            </w:r>
          </w:p>
        </w:tc>
        <w:tc>
          <w:tcPr>
            <w:tcW w:w="14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14,492,809.98</w:t>
            </w:r>
          </w:p>
        </w:tc>
        <w:tc>
          <w:tcPr>
            <w:tcW w:w="142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3,790,695.30</w:t>
            </w:r>
          </w:p>
        </w:tc>
        <w:tc>
          <w:tcPr>
            <w:tcW w:w="1426" w:type="dxa"/>
            <w:tcBorders>
              <w:top w:val="single" w:sz="2" w:space="0" w:color="000000"/>
              <w:left w:val="single" w:sz="2" w:space="0" w:color="000000"/>
              <w:bottom w:val="single" w:sz="12" w:space="0" w:color="000000"/>
              <w:right w:val="single" w:sz="2" w:space="0" w:color="000000"/>
            </w:tcBorders>
          </w:tcPr>
          <w:p>
            <w:pPr/>
          </w:p>
        </w:tc>
        <w:tc>
          <w:tcPr>
            <w:tcW w:w="1423" w:type="dxa"/>
            <w:tcBorders>
              <w:top w:val="single" w:sz="2" w:space="0" w:color="000000"/>
              <w:left w:val="single" w:sz="2" w:space="0" w:color="000000"/>
              <w:bottom w:val="single" w:sz="12" w:space="0" w:color="000000"/>
              <w:right w:val="single" w:sz="2" w:space="0" w:color="000000"/>
            </w:tcBorders>
          </w:tcPr>
          <w:p>
            <w:pPr/>
          </w:p>
        </w:tc>
        <w:tc>
          <w:tcPr>
            <w:tcW w:w="156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18,283,505.28</w:t>
            </w:r>
          </w:p>
        </w:tc>
      </w:tr>
    </w:tbl>
    <w:p>
      <w:pPr>
        <w:spacing w:line="240" w:lineRule="auto" w:before="5"/>
        <w:rPr>
          <w:rFonts w:ascii="宋体" w:hAnsi="宋体" w:cs="宋体" w:eastAsia="宋体" w:hint="default"/>
          <w:sz w:val="5"/>
          <w:szCs w:val="5"/>
        </w:rPr>
      </w:pPr>
    </w:p>
    <w:p>
      <w:pPr>
        <w:pStyle w:val="BodyText"/>
        <w:spacing w:line="240" w:lineRule="auto" w:before="32"/>
        <w:ind w:left="592" w:right="1133"/>
        <w:jc w:val="left"/>
        <w:rPr>
          <w:rFonts w:ascii="宋体" w:hAnsi="宋体" w:cs="宋体" w:eastAsia="宋体" w:hint="default"/>
        </w:rPr>
      </w:pPr>
      <w:r>
        <w:rPr/>
        <w:t>（</w:t>
      </w:r>
      <w:r>
        <w:rPr>
          <w:rFonts w:ascii="Arial" w:hAnsi="Arial" w:cs="Arial" w:eastAsia="Arial" w:hint="default"/>
        </w:rPr>
        <w:t>4</w:t>
      </w:r>
      <w:r>
        <w:rPr/>
        <w:t>）按欠款方归集的年末余额前五名的应收账款情况</w:t>
      </w:r>
      <w:r>
        <w:rPr>
          <w:rFonts w:ascii="宋体" w:hAnsi="宋体" w:cs="宋体" w:eastAsia="宋体" w:hint="default"/>
        </w:rPr>
        <w:t> </w:t>
      </w:r>
    </w:p>
    <w:p>
      <w:pPr>
        <w:spacing w:line="240" w:lineRule="auto" w:before="8"/>
        <w:rPr>
          <w:rFonts w:ascii="宋体" w:hAnsi="宋体" w:cs="宋体" w:eastAsia="宋体" w:hint="default"/>
          <w:sz w:val="5"/>
          <w:szCs w:val="5"/>
        </w:rPr>
      </w:pPr>
    </w:p>
    <w:tbl>
      <w:tblPr>
        <w:tblW w:w="0" w:type="auto"/>
        <w:jc w:val="left"/>
        <w:tblInd w:w="580" w:type="dxa"/>
        <w:tblLayout w:type="fixed"/>
        <w:tblCellMar>
          <w:top w:w="0" w:type="dxa"/>
          <w:left w:w="0" w:type="dxa"/>
          <w:bottom w:w="0" w:type="dxa"/>
          <w:right w:w="0" w:type="dxa"/>
        </w:tblCellMar>
        <w:tblLook w:val="01E0"/>
      </w:tblPr>
      <w:tblGrid>
        <w:gridCol w:w="2677"/>
        <w:gridCol w:w="1606"/>
        <w:gridCol w:w="1385"/>
        <w:gridCol w:w="1779"/>
        <w:gridCol w:w="1294"/>
      </w:tblGrid>
      <w:tr>
        <w:trPr>
          <w:trHeight w:val="898" w:hRule="exact"/>
        </w:trPr>
        <w:tc>
          <w:tcPr>
            <w:tcW w:w="267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0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38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779" w:type="dxa"/>
            <w:tcBorders>
              <w:top w:val="single" w:sz="12" w:space="0" w:color="000000"/>
              <w:left w:val="single" w:sz="2" w:space="0" w:color="000000"/>
              <w:bottom w:val="single" w:sz="2" w:space="0" w:color="000000"/>
              <w:right w:val="single" w:sz="2" w:space="0" w:color="000000"/>
            </w:tcBorders>
          </w:tcPr>
          <w:p>
            <w:pPr>
              <w:pStyle w:val="TableParagraph"/>
              <w:spacing w:line="400" w:lineRule="exact" w:before="40"/>
              <w:ind w:left="117" w:right="113" w:firstLine="50"/>
              <w:jc w:val="left"/>
              <w:rPr>
                <w:rFonts w:ascii="Arial" w:hAnsi="Arial" w:cs="Arial" w:eastAsia="Arial" w:hint="default"/>
                <w:sz w:val="18"/>
                <w:szCs w:val="18"/>
              </w:rPr>
            </w:pPr>
            <w:r>
              <w:rPr>
                <w:rFonts w:ascii="宋体" w:hAnsi="宋体" w:cs="宋体" w:eastAsia="宋体" w:hint="default"/>
                <w:sz w:val="18"/>
                <w:szCs w:val="18"/>
              </w:rPr>
              <w:t>占应收账款年末余 额合计数的比例</w:t>
            </w:r>
            <w:r>
              <w:rPr>
                <w:rFonts w:ascii="Arial" w:hAnsi="Arial" w:cs="Arial" w:eastAsia="Arial" w:hint="default"/>
                <w:sz w:val="18"/>
                <w:szCs w:val="18"/>
              </w:rPr>
              <w:t>(%)</w:t>
            </w:r>
          </w:p>
        </w:tc>
        <w:tc>
          <w:tcPr>
            <w:tcW w:w="1294" w:type="dxa"/>
            <w:tcBorders>
              <w:top w:val="single" w:sz="12" w:space="0" w:color="000000"/>
              <w:left w:val="single" w:sz="2" w:space="0" w:color="000000"/>
              <w:bottom w:val="single" w:sz="2" w:space="0" w:color="000000"/>
              <w:right w:val="nil" w:sz="6" w:space="0" w:color="auto"/>
            </w:tcBorders>
          </w:tcPr>
          <w:p>
            <w:pPr>
              <w:pStyle w:val="TableParagraph"/>
              <w:spacing w:line="400" w:lineRule="exact" w:before="40"/>
              <w:ind w:left="374" w:right="194" w:hanging="180"/>
              <w:jc w:val="left"/>
              <w:rPr>
                <w:rFonts w:ascii="宋体" w:hAnsi="宋体" w:cs="宋体" w:eastAsia="宋体" w:hint="default"/>
                <w:sz w:val="18"/>
                <w:szCs w:val="18"/>
              </w:rPr>
            </w:pPr>
            <w:r>
              <w:rPr>
                <w:rFonts w:ascii="宋体" w:hAnsi="宋体" w:cs="宋体" w:eastAsia="宋体" w:hint="default"/>
                <w:sz w:val="18"/>
                <w:szCs w:val="18"/>
              </w:rPr>
              <w:t>坏账准备年 末余额</w:t>
            </w:r>
          </w:p>
        </w:tc>
      </w:tr>
      <w:tr>
        <w:trPr>
          <w:trHeight w:val="485"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2"/>
                <w:sz w:val="18"/>
              </w:rPr>
              <w:t>60,311,970.06</w:t>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2"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7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w w:val="95"/>
                <w:sz w:val="18"/>
              </w:rPr>
              <w:t>45.31</w:t>
            </w:r>
            <w:r>
              <w:rPr>
                <w:rFonts w:ascii="Arial"/>
                <w:sz w:val="18"/>
              </w:rPr>
            </w:r>
          </w:p>
        </w:tc>
        <w:tc>
          <w:tcPr>
            <w:tcW w:w="1294"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2"/>
                <w:sz w:val="18"/>
              </w:rPr>
              <w:t>19,378,114.74</w:t>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2"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7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w w:val="95"/>
                <w:sz w:val="18"/>
              </w:rPr>
              <w:t>14.56</w:t>
            </w:r>
            <w:r>
              <w:rPr>
                <w:rFonts w:ascii="Arial"/>
                <w:sz w:val="18"/>
              </w:rPr>
            </w:r>
          </w:p>
        </w:tc>
        <w:tc>
          <w:tcPr>
            <w:tcW w:w="12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6" w:right="0"/>
              <w:jc w:val="center"/>
              <w:rPr>
                <w:rFonts w:ascii="Arial" w:hAnsi="Arial" w:cs="Arial" w:eastAsia="Arial" w:hint="default"/>
                <w:sz w:val="18"/>
                <w:szCs w:val="18"/>
              </w:rPr>
            </w:pPr>
            <w:r>
              <w:rPr>
                <w:rFonts w:ascii="Arial"/>
                <w:sz w:val="18"/>
              </w:rPr>
              <w:t>1,372,406.50</w:t>
            </w:r>
          </w:p>
        </w:tc>
      </w:tr>
      <w:tr>
        <w:trPr>
          <w:trHeight w:val="485"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14,251,596.56</w:t>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5" w:right="0"/>
              <w:jc w:val="center"/>
              <w:rPr>
                <w:rFonts w:ascii="宋体" w:hAnsi="宋体" w:cs="宋体" w:eastAsia="宋体" w:hint="default"/>
                <w:sz w:val="18"/>
                <w:szCs w:val="18"/>
              </w:rPr>
            </w:pPr>
            <w:r>
              <w:rPr>
                <w:rFonts w:ascii="Arial" w:hAnsi="Arial" w:cs="Arial" w:eastAsia="Arial" w:hint="default"/>
                <w:sz w:val="18"/>
                <w:szCs w:val="18"/>
              </w:rPr>
              <w:t>2-3</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7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w w:val="95"/>
                <w:sz w:val="18"/>
              </w:rPr>
              <w:t>10.71</w:t>
            </w:r>
            <w:r>
              <w:rPr>
                <w:rFonts w:ascii="Arial"/>
                <w:sz w:val="18"/>
              </w:rPr>
            </w:r>
          </w:p>
        </w:tc>
        <w:tc>
          <w:tcPr>
            <w:tcW w:w="12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5" w:right="0"/>
              <w:jc w:val="center"/>
              <w:rPr>
                <w:rFonts w:ascii="Arial" w:hAnsi="Arial" w:cs="Arial" w:eastAsia="Arial" w:hint="default"/>
                <w:sz w:val="18"/>
                <w:szCs w:val="18"/>
              </w:rPr>
            </w:pPr>
            <w:r>
              <w:rPr>
                <w:rFonts w:ascii="Arial"/>
                <w:sz w:val="18"/>
              </w:rPr>
              <w:t>5,336,673.22</w:t>
            </w:r>
          </w:p>
        </w:tc>
      </w:tr>
      <w:tr>
        <w:trPr>
          <w:trHeight w:val="485"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0"/>
              <w:ind w:left="1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6,652,685.67</w:t>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left="5" w:right="0"/>
              <w:jc w:val="center"/>
              <w:rPr>
                <w:rFonts w:ascii="宋体" w:hAnsi="宋体" w:cs="宋体" w:eastAsia="宋体" w:hint="default"/>
                <w:sz w:val="18"/>
                <w:szCs w:val="18"/>
              </w:rPr>
            </w:pPr>
            <w:r>
              <w:rPr>
                <w:rFonts w:ascii="Arial" w:hAnsi="Arial" w:cs="Arial" w:eastAsia="Arial" w:hint="default"/>
                <w:sz w:val="18"/>
                <w:szCs w:val="18"/>
              </w:rPr>
              <w:t>2-3</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7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w w:val="95"/>
                <w:sz w:val="18"/>
              </w:rPr>
              <w:t>5.00</w:t>
            </w:r>
            <w:r>
              <w:rPr>
                <w:rFonts w:ascii="Arial"/>
                <w:sz w:val="18"/>
              </w:rPr>
            </w:r>
          </w:p>
        </w:tc>
        <w:tc>
          <w:tcPr>
            <w:tcW w:w="12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0" w:right="0"/>
              <w:jc w:val="center"/>
              <w:rPr>
                <w:rFonts w:ascii="Arial" w:hAnsi="Arial" w:cs="Arial" w:eastAsia="Arial" w:hint="default"/>
                <w:sz w:val="18"/>
                <w:szCs w:val="18"/>
              </w:rPr>
            </w:pPr>
            <w:r>
              <w:rPr>
                <w:rFonts w:ascii="Arial"/>
                <w:sz w:val="18"/>
              </w:rPr>
              <w:t>2,117,621.63</w:t>
            </w:r>
          </w:p>
        </w:tc>
      </w:tr>
      <w:tr>
        <w:trPr>
          <w:trHeight w:val="485"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5,035,601.91</w:t>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2"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7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w w:val="95"/>
                <w:sz w:val="18"/>
              </w:rPr>
              <w:t>3.78</w:t>
            </w:r>
            <w:r>
              <w:rPr>
                <w:rFonts w:ascii="Arial"/>
                <w:sz w:val="18"/>
              </w:rPr>
            </w:r>
          </w:p>
        </w:tc>
        <w:tc>
          <w:tcPr>
            <w:tcW w:w="12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76" w:right="0"/>
              <w:jc w:val="center"/>
              <w:rPr>
                <w:rFonts w:ascii="Arial" w:hAnsi="Arial" w:cs="Arial" w:eastAsia="Arial" w:hint="default"/>
                <w:sz w:val="18"/>
                <w:szCs w:val="18"/>
              </w:rPr>
            </w:pPr>
            <w:r>
              <w:rPr>
                <w:rFonts w:ascii="Arial"/>
                <w:sz w:val="18"/>
              </w:rPr>
              <w:t>251,780.10</w:t>
            </w:r>
          </w:p>
        </w:tc>
      </w:tr>
      <w:tr>
        <w:trPr>
          <w:trHeight w:val="499" w:hRule="exact"/>
        </w:trPr>
        <w:tc>
          <w:tcPr>
            <w:tcW w:w="267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4"/>
              <w:jc w:val="right"/>
              <w:rPr>
                <w:rFonts w:ascii="Arial" w:hAnsi="Arial" w:cs="Arial" w:eastAsia="Arial" w:hint="default"/>
                <w:sz w:val="18"/>
                <w:szCs w:val="18"/>
              </w:rPr>
            </w:pPr>
            <w:r>
              <w:rPr>
                <w:rFonts w:ascii="Arial"/>
                <w:spacing w:val="-1"/>
                <w:sz w:val="18"/>
              </w:rPr>
              <w:t>105,629,968.94</w:t>
            </w:r>
          </w:p>
        </w:tc>
        <w:tc>
          <w:tcPr>
            <w:tcW w:w="1385" w:type="dxa"/>
            <w:tcBorders>
              <w:top w:val="single" w:sz="2" w:space="0" w:color="000000"/>
              <w:left w:val="single" w:sz="2" w:space="0" w:color="000000"/>
              <w:bottom w:val="single" w:sz="12" w:space="0" w:color="000000"/>
              <w:right w:val="single" w:sz="2" w:space="0" w:color="000000"/>
            </w:tcBorders>
          </w:tcPr>
          <w:p>
            <w:pPr/>
          </w:p>
        </w:tc>
        <w:tc>
          <w:tcPr>
            <w:tcW w:w="177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w w:val="95"/>
                <w:sz w:val="18"/>
              </w:rPr>
              <w:t>79.36</w:t>
            </w:r>
            <w:r>
              <w:rPr>
                <w:rFonts w:ascii="Arial"/>
                <w:sz w:val="18"/>
              </w:rPr>
            </w:r>
          </w:p>
        </w:tc>
        <w:tc>
          <w:tcPr>
            <w:tcW w:w="129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5" w:right="0"/>
              <w:jc w:val="center"/>
              <w:rPr>
                <w:rFonts w:ascii="Arial" w:hAnsi="Arial" w:cs="Arial" w:eastAsia="Arial" w:hint="default"/>
                <w:sz w:val="18"/>
                <w:szCs w:val="18"/>
              </w:rPr>
            </w:pPr>
            <w:r>
              <w:rPr>
                <w:rFonts w:ascii="Arial"/>
                <w:sz w:val="18"/>
              </w:rPr>
              <w:t>9,078,481.45</w:t>
            </w:r>
          </w:p>
        </w:tc>
      </w:tr>
    </w:tbl>
    <w:p>
      <w:pPr>
        <w:pStyle w:val="Heading4"/>
        <w:spacing w:line="240" w:lineRule="auto"/>
        <w:ind w:left="647" w:right="1133"/>
        <w:jc w:val="left"/>
        <w:rPr>
          <w:b w:val="0"/>
          <w:bCs w:val="0"/>
        </w:rPr>
      </w:pPr>
      <w:r>
        <w:rPr>
          <w:rFonts w:ascii="Arial" w:hAnsi="Arial" w:cs="Arial" w:eastAsia="Arial" w:hint="default"/>
        </w:rPr>
        <w:t>2</w:t>
      </w:r>
      <w:r>
        <w:rPr/>
        <w:t>、其他应收款</w:t>
      </w:r>
      <w:r>
        <w:rPr>
          <w:b w:val="0"/>
          <w:bCs w:val="0"/>
        </w:rPr>
      </w:r>
    </w:p>
    <w:p>
      <w:pPr>
        <w:spacing w:line="240" w:lineRule="auto" w:before="9"/>
        <w:rPr>
          <w:rFonts w:ascii="宋体" w:hAnsi="宋体" w:cs="宋体" w:eastAsia="宋体" w:hint="default"/>
          <w:b/>
          <w:bCs/>
          <w:sz w:val="2"/>
          <w:szCs w:val="2"/>
        </w:rPr>
      </w:pPr>
    </w:p>
    <w:tbl>
      <w:tblPr>
        <w:tblW w:w="0" w:type="auto"/>
        <w:jc w:val="left"/>
        <w:tblInd w:w="580" w:type="dxa"/>
        <w:tblLayout w:type="fixed"/>
        <w:tblCellMar>
          <w:top w:w="0" w:type="dxa"/>
          <w:left w:w="0" w:type="dxa"/>
          <w:bottom w:w="0" w:type="dxa"/>
          <w:right w:w="0" w:type="dxa"/>
        </w:tblCellMar>
        <w:tblLook w:val="01E0"/>
      </w:tblPr>
      <w:tblGrid>
        <w:gridCol w:w="3243"/>
        <w:gridCol w:w="2715"/>
        <w:gridCol w:w="2782"/>
      </w:tblGrid>
      <w:tr>
        <w:trPr>
          <w:trHeight w:val="497" w:hRule="exact"/>
        </w:trPr>
        <w:tc>
          <w:tcPr>
            <w:tcW w:w="324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49"/>
              <w:ind w:right="1430"/>
              <w:jc w:val="right"/>
              <w:rPr>
                <w:rFonts w:ascii="宋体" w:hAnsi="宋体" w:cs="宋体" w:eastAsia="宋体" w:hint="default"/>
                <w:sz w:val="18"/>
                <w:szCs w:val="18"/>
              </w:rPr>
            </w:pPr>
            <w:r>
              <w:rPr>
                <w:rFonts w:ascii="宋体" w:hAnsi="宋体" w:cs="宋体" w:eastAsia="宋体" w:hint="default"/>
                <w:sz w:val="18"/>
                <w:szCs w:val="18"/>
              </w:rPr>
              <w:t>项目</w:t>
            </w:r>
          </w:p>
        </w:tc>
        <w:tc>
          <w:tcPr>
            <w:tcW w:w="27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9"/>
              <w:ind w:left="2"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78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85" w:hRule="exact"/>
        </w:trPr>
        <w:tc>
          <w:tcPr>
            <w:tcW w:w="32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4,668,922.20</w:t>
            </w:r>
          </w:p>
        </w:tc>
        <w:tc>
          <w:tcPr>
            <w:tcW w:w="27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3,517,263.58</w:t>
            </w:r>
          </w:p>
        </w:tc>
      </w:tr>
      <w:tr>
        <w:trPr>
          <w:trHeight w:val="485" w:hRule="exact"/>
        </w:trPr>
        <w:tc>
          <w:tcPr>
            <w:tcW w:w="32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44,367,355.66</w:t>
            </w:r>
          </w:p>
        </w:tc>
        <w:tc>
          <w:tcPr>
            <w:tcW w:w="27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26,931,405.37</w:t>
            </w:r>
          </w:p>
        </w:tc>
      </w:tr>
      <w:tr>
        <w:trPr>
          <w:trHeight w:val="500" w:hRule="exact"/>
        </w:trPr>
        <w:tc>
          <w:tcPr>
            <w:tcW w:w="324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50"/>
              <w:ind w:right="1430"/>
              <w:jc w:val="right"/>
              <w:rPr>
                <w:rFonts w:ascii="宋体" w:hAnsi="宋体" w:cs="宋体" w:eastAsia="宋体" w:hint="default"/>
                <w:sz w:val="18"/>
                <w:szCs w:val="18"/>
              </w:rPr>
            </w:pPr>
            <w:r>
              <w:rPr>
                <w:rFonts w:ascii="宋体" w:hAnsi="宋体" w:cs="宋体" w:eastAsia="宋体" w:hint="default"/>
                <w:sz w:val="18"/>
                <w:szCs w:val="18"/>
              </w:rPr>
              <w:t>合计</w:t>
            </w:r>
          </w:p>
        </w:tc>
        <w:tc>
          <w:tcPr>
            <w:tcW w:w="27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49,036,277.86</w:t>
            </w:r>
          </w:p>
        </w:tc>
        <w:tc>
          <w:tcPr>
            <w:tcW w:w="278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30,448,668.95</w:t>
            </w:r>
          </w:p>
        </w:tc>
      </w:tr>
    </w:tbl>
    <w:p>
      <w:pPr>
        <w:spacing w:after="0" w:line="240" w:lineRule="auto"/>
        <w:jc w:val="right"/>
        <w:rPr>
          <w:rFonts w:ascii="Arial" w:hAnsi="Arial" w:cs="Arial" w:eastAsia="Arial"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b/>
          <w:bCs/>
          <w:sz w:val="20"/>
          <w:szCs w:val="20"/>
        </w:rPr>
      </w:pPr>
    </w:p>
    <w:p>
      <w:pPr>
        <w:pStyle w:val="BodyText"/>
        <w:spacing w:line="240" w:lineRule="auto" w:before="173"/>
        <w:ind w:left="592" w:right="1133"/>
        <w:jc w:val="left"/>
      </w:pPr>
      <w:r>
        <w:rPr/>
        <w:t>（</w:t>
      </w:r>
      <w:r>
        <w:rPr>
          <w:rFonts w:ascii="Arial" w:hAnsi="Arial" w:cs="Arial" w:eastAsia="Arial" w:hint="default"/>
        </w:rPr>
        <w:t>1</w:t>
      </w:r>
      <w:r>
        <w:rPr/>
        <w:t>）应收利息</w:t>
      </w:r>
    </w:p>
    <w:p>
      <w:pPr>
        <w:spacing w:line="240" w:lineRule="auto" w:before="8"/>
        <w:rPr>
          <w:rFonts w:ascii="宋体" w:hAnsi="宋体" w:cs="宋体" w:eastAsia="宋体" w:hint="default"/>
          <w:sz w:val="5"/>
          <w:szCs w:val="5"/>
        </w:rPr>
      </w:pPr>
    </w:p>
    <w:tbl>
      <w:tblPr>
        <w:tblW w:w="0" w:type="auto"/>
        <w:jc w:val="left"/>
        <w:tblInd w:w="580" w:type="dxa"/>
        <w:tblLayout w:type="fixed"/>
        <w:tblCellMar>
          <w:top w:w="0" w:type="dxa"/>
          <w:left w:w="0" w:type="dxa"/>
          <w:bottom w:w="0" w:type="dxa"/>
          <w:right w:w="0" w:type="dxa"/>
        </w:tblCellMar>
        <w:tblLook w:val="01E0"/>
      </w:tblPr>
      <w:tblGrid>
        <w:gridCol w:w="3243"/>
        <w:gridCol w:w="2715"/>
        <w:gridCol w:w="2782"/>
      </w:tblGrid>
      <w:tr>
        <w:trPr>
          <w:trHeight w:val="499" w:hRule="exact"/>
        </w:trPr>
        <w:tc>
          <w:tcPr>
            <w:tcW w:w="324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2"/>
              <w:ind w:right="1430"/>
              <w:jc w:val="right"/>
              <w:rPr>
                <w:rFonts w:ascii="宋体" w:hAnsi="宋体" w:cs="宋体" w:eastAsia="宋体" w:hint="default"/>
                <w:sz w:val="18"/>
                <w:szCs w:val="18"/>
              </w:rPr>
            </w:pPr>
            <w:r>
              <w:rPr>
                <w:rFonts w:ascii="宋体" w:hAnsi="宋体" w:cs="宋体" w:eastAsia="宋体" w:hint="default"/>
                <w:sz w:val="18"/>
                <w:szCs w:val="18"/>
              </w:rPr>
              <w:t>项目</w:t>
            </w:r>
          </w:p>
        </w:tc>
        <w:tc>
          <w:tcPr>
            <w:tcW w:w="27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left="2"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78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85" w:hRule="exact"/>
        </w:trPr>
        <w:tc>
          <w:tcPr>
            <w:tcW w:w="32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2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4,668,922.20</w:t>
            </w:r>
          </w:p>
        </w:tc>
        <w:tc>
          <w:tcPr>
            <w:tcW w:w="27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3,517,263.58</w:t>
            </w:r>
          </w:p>
        </w:tc>
      </w:tr>
      <w:tr>
        <w:trPr>
          <w:trHeight w:val="499" w:hRule="exact"/>
        </w:trPr>
        <w:tc>
          <w:tcPr>
            <w:tcW w:w="324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right="1430"/>
              <w:jc w:val="right"/>
              <w:rPr>
                <w:rFonts w:ascii="宋体" w:hAnsi="宋体" w:cs="宋体" w:eastAsia="宋体" w:hint="default"/>
                <w:sz w:val="18"/>
                <w:szCs w:val="18"/>
              </w:rPr>
            </w:pPr>
            <w:r>
              <w:rPr>
                <w:rFonts w:ascii="宋体" w:hAnsi="宋体" w:cs="宋体" w:eastAsia="宋体" w:hint="default"/>
                <w:sz w:val="18"/>
                <w:szCs w:val="18"/>
              </w:rPr>
              <w:t>合计</w:t>
            </w:r>
          </w:p>
        </w:tc>
        <w:tc>
          <w:tcPr>
            <w:tcW w:w="27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4,668,922.20</w:t>
            </w:r>
          </w:p>
        </w:tc>
        <w:tc>
          <w:tcPr>
            <w:tcW w:w="278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3,517,263.58</w:t>
            </w:r>
          </w:p>
        </w:tc>
      </w:tr>
    </w:tbl>
    <w:p>
      <w:pPr>
        <w:spacing w:line="240" w:lineRule="auto" w:before="5"/>
        <w:rPr>
          <w:rFonts w:ascii="宋体" w:hAnsi="宋体" w:cs="宋体" w:eastAsia="宋体" w:hint="default"/>
          <w:sz w:val="5"/>
          <w:szCs w:val="5"/>
        </w:rPr>
      </w:pPr>
    </w:p>
    <w:p>
      <w:pPr>
        <w:pStyle w:val="BodyText"/>
        <w:spacing w:line="240" w:lineRule="auto" w:before="32"/>
        <w:ind w:left="592" w:right="1133"/>
        <w:jc w:val="left"/>
      </w:pPr>
      <w:r>
        <w:rPr/>
        <w:t>（</w:t>
      </w:r>
      <w:r>
        <w:rPr>
          <w:rFonts w:ascii="Arial" w:hAnsi="Arial" w:cs="Arial" w:eastAsia="Arial" w:hint="default"/>
        </w:rPr>
        <w:t>2</w:t>
      </w:r>
      <w:r>
        <w:rPr/>
        <w:t>）其他应收款</w:t>
      </w:r>
    </w:p>
    <w:p>
      <w:pPr>
        <w:pStyle w:val="BodyText"/>
        <w:spacing w:line="240" w:lineRule="auto" w:before="135"/>
        <w:ind w:left="592" w:right="1133"/>
        <w:jc w:val="left"/>
      </w:pPr>
      <w:r>
        <w:rPr/>
        <w:t>①其他应收款按款项性质分类</w:t>
      </w:r>
    </w:p>
    <w:p>
      <w:pPr>
        <w:spacing w:line="240" w:lineRule="auto" w:before="11"/>
        <w:rPr>
          <w:rFonts w:ascii="宋体" w:hAnsi="宋体" w:cs="宋体" w:eastAsia="宋体" w:hint="default"/>
          <w:sz w:val="6"/>
          <w:szCs w:val="6"/>
        </w:rPr>
      </w:pPr>
    </w:p>
    <w:tbl>
      <w:tblPr>
        <w:tblW w:w="0" w:type="auto"/>
        <w:jc w:val="left"/>
        <w:tblInd w:w="580" w:type="dxa"/>
        <w:tblLayout w:type="fixed"/>
        <w:tblCellMar>
          <w:top w:w="0" w:type="dxa"/>
          <w:left w:w="0" w:type="dxa"/>
          <w:bottom w:w="0" w:type="dxa"/>
          <w:right w:w="0" w:type="dxa"/>
        </w:tblCellMar>
        <w:tblLook w:val="01E0"/>
      </w:tblPr>
      <w:tblGrid>
        <w:gridCol w:w="3437"/>
        <w:gridCol w:w="2602"/>
        <w:gridCol w:w="2700"/>
      </w:tblGrid>
      <w:tr>
        <w:trPr>
          <w:trHeight w:val="497" w:hRule="exact"/>
        </w:trPr>
        <w:tc>
          <w:tcPr>
            <w:tcW w:w="343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49"/>
              <w:ind w:left="16"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26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9"/>
              <w:ind w:left="758"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270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49"/>
              <w:ind w:left="806" w:right="0"/>
              <w:jc w:val="left"/>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485" w:hRule="exact"/>
        </w:trPr>
        <w:tc>
          <w:tcPr>
            <w:tcW w:w="34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2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45,041,278.28</w:t>
            </w:r>
          </w:p>
        </w:tc>
        <w:tc>
          <w:tcPr>
            <w:tcW w:w="27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26,078,101.80</w:t>
            </w:r>
          </w:p>
        </w:tc>
      </w:tr>
      <w:tr>
        <w:trPr>
          <w:trHeight w:val="487" w:hRule="exact"/>
        </w:trPr>
        <w:tc>
          <w:tcPr>
            <w:tcW w:w="34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2"/>
              <w:ind w:left="124" w:right="0"/>
              <w:jc w:val="left"/>
              <w:rPr>
                <w:rFonts w:ascii="宋体" w:hAnsi="宋体" w:cs="宋体" w:eastAsia="宋体" w:hint="default"/>
                <w:sz w:val="18"/>
                <w:szCs w:val="18"/>
              </w:rPr>
            </w:pPr>
            <w:r>
              <w:rPr>
                <w:rFonts w:ascii="宋体" w:hAnsi="宋体" w:cs="宋体" w:eastAsia="宋体" w:hint="default"/>
                <w:sz w:val="18"/>
                <w:szCs w:val="18"/>
              </w:rPr>
              <w:t>员工借支</w:t>
            </w:r>
          </w:p>
        </w:tc>
        <w:tc>
          <w:tcPr>
            <w:tcW w:w="2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1,236,682.08</w:t>
            </w:r>
          </w:p>
        </w:tc>
        <w:tc>
          <w:tcPr>
            <w:tcW w:w="27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7"/>
              <w:jc w:val="right"/>
              <w:rPr>
                <w:rFonts w:ascii="Arial" w:hAnsi="Arial" w:cs="Arial" w:eastAsia="Arial" w:hint="default"/>
                <w:sz w:val="18"/>
                <w:szCs w:val="18"/>
              </w:rPr>
            </w:pPr>
            <w:r>
              <w:rPr>
                <w:rFonts w:ascii="Arial"/>
                <w:spacing w:val="-1"/>
                <w:sz w:val="18"/>
              </w:rPr>
              <w:t>2,497,028.45</w:t>
            </w:r>
          </w:p>
        </w:tc>
      </w:tr>
      <w:tr>
        <w:trPr>
          <w:trHeight w:val="485" w:hRule="exact"/>
        </w:trPr>
        <w:tc>
          <w:tcPr>
            <w:tcW w:w="34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388,825.56</w:t>
            </w:r>
          </w:p>
        </w:tc>
        <w:tc>
          <w:tcPr>
            <w:tcW w:w="27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7"/>
              <w:jc w:val="right"/>
              <w:rPr>
                <w:rFonts w:ascii="Arial" w:hAnsi="Arial" w:cs="Arial" w:eastAsia="Arial" w:hint="default"/>
                <w:sz w:val="18"/>
                <w:szCs w:val="18"/>
              </w:rPr>
            </w:pPr>
            <w:r>
              <w:rPr>
                <w:rFonts w:ascii="Arial"/>
                <w:spacing w:val="-1"/>
                <w:sz w:val="18"/>
              </w:rPr>
              <w:t>388,825.56</w:t>
            </w:r>
          </w:p>
        </w:tc>
      </w:tr>
      <w:tr>
        <w:trPr>
          <w:trHeight w:val="497" w:hRule="exact"/>
        </w:trPr>
        <w:tc>
          <w:tcPr>
            <w:tcW w:w="343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46,666,785.92</w:t>
            </w:r>
          </w:p>
        </w:tc>
        <w:tc>
          <w:tcPr>
            <w:tcW w:w="270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28,963,955.81</w:t>
            </w:r>
          </w:p>
        </w:tc>
      </w:tr>
    </w:tbl>
    <w:p>
      <w:pPr>
        <w:spacing w:line="240" w:lineRule="auto" w:before="5"/>
        <w:rPr>
          <w:rFonts w:ascii="宋体" w:hAnsi="宋体" w:cs="宋体" w:eastAsia="宋体" w:hint="default"/>
          <w:sz w:val="5"/>
          <w:szCs w:val="5"/>
        </w:rPr>
      </w:pPr>
    </w:p>
    <w:p>
      <w:pPr>
        <w:pStyle w:val="BodyText"/>
        <w:spacing w:line="240" w:lineRule="auto" w:before="32"/>
        <w:ind w:left="592" w:right="1133"/>
        <w:jc w:val="left"/>
      </w:pPr>
      <w:r>
        <w:rPr/>
        <w:t>②其他应收款按坏账计提方法分类</w:t>
      </w:r>
    </w:p>
    <w:p>
      <w:pPr>
        <w:spacing w:line="240" w:lineRule="auto" w:before="11"/>
        <w:rPr>
          <w:rFonts w:ascii="宋体" w:hAnsi="宋体" w:cs="宋体" w:eastAsia="宋体" w:hint="default"/>
          <w:sz w:val="6"/>
          <w:szCs w:val="6"/>
        </w:rPr>
      </w:pPr>
    </w:p>
    <w:tbl>
      <w:tblPr>
        <w:tblW w:w="0" w:type="auto"/>
        <w:jc w:val="left"/>
        <w:tblInd w:w="566" w:type="dxa"/>
        <w:tblLayout w:type="fixed"/>
        <w:tblCellMar>
          <w:top w:w="0" w:type="dxa"/>
          <w:left w:w="0" w:type="dxa"/>
          <w:bottom w:w="0" w:type="dxa"/>
          <w:right w:w="0" w:type="dxa"/>
        </w:tblCellMar>
        <w:tblLook w:val="01E0"/>
      </w:tblPr>
      <w:tblGrid>
        <w:gridCol w:w="2153"/>
        <w:gridCol w:w="1681"/>
        <w:gridCol w:w="951"/>
        <w:gridCol w:w="1385"/>
        <w:gridCol w:w="1090"/>
        <w:gridCol w:w="1512"/>
      </w:tblGrid>
      <w:tr>
        <w:trPr>
          <w:trHeight w:val="499" w:hRule="exact"/>
        </w:trPr>
        <w:tc>
          <w:tcPr>
            <w:tcW w:w="2153"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618" w:type="dxa"/>
            <w:gridSpan w:val="5"/>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right="2"/>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485" w:hRule="exact"/>
        </w:trPr>
        <w:tc>
          <w:tcPr>
            <w:tcW w:w="2153" w:type="dxa"/>
            <w:vMerge/>
            <w:tcBorders>
              <w:left w:val="nil" w:sz="6" w:space="0" w:color="auto"/>
              <w:right w:val="single" w:sz="2" w:space="0" w:color="000000"/>
            </w:tcBorders>
          </w:tcPr>
          <w:p>
            <w:pPr/>
          </w:p>
        </w:tc>
        <w:tc>
          <w:tcPr>
            <w:tcW w:w="2631"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75"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left="1"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512" w:type="dxa"/>
            <w:vMerge w:val="restart"/>
            <w:tcBorders>
              <w:top w:val="single" w:sz="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39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85" w:hRule="exact"/>
        </w:trPr>
        <w:tc>
          <w:tcPr>
            <w:tcW w:w="2153" w:type="dxa"/>
            <w:vMerge/>
            <w:tcBorders>
              <w:left w:val="nil" w:sz="6" w:space="0" w:color="auto"/>
              <w:bottom w:val="single" w:sz="2" w:space="0" w:color="000000"/>
              <w:right w:val="single" w:sz="2" w:space="0" w:color="000000"/>
            </w:tcBorders>
          </w:tcPr>
          <w:p>
            <w:pP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153" w:right="0"/>
              <w:jc w:val="left"/>
              <w:rPr>
                <w:rFonts w:ascii="Arial" w:hAnsi="Arial" w:cs="Arial" w:eastAsia="Arial"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51"/>
              <w:jc w:val="right"/>
              <w:rPr>
                <w:rFonts w:ascii="Arial" w:hAnsi="Arial" w:cs="Arial" w:eastAsia="Arial" w:hint="default"/>
                <w:sz w:val="18"/>
                <w:szCs w:val="18"/>
              </w:rPr>
            </w:pPr>
            <w:r>
              <w:rPr>
                <w:rFonts w:ascii="宋体" w:hAnsi="宋体" w:cs="宋体" w:eastAsia="宋体" w:hint="default"/>
                <w:w w:val="95"/>
                <w:sz w:val="18"/>
                <w:szCs w:val="18"/>
              </w:rPr>
              <w:t>计提比例</w:t>
            </w:r>
            <w:r>
              <w:rPr>
                <w:rFonts w:ascii="Arial" w:hAnsi="Arial" w:cs="Arial" w:eastAsia="Arial" w:hint="default"/>
                <w:w w:val="95"/>
                <w:sz w:val="18"/>
                <w:szCs w:val="18"/>
              </w:rPr>
              <w:t>(%)</w:t>
            </w:r>
            <w:r>
              <w:rPr>
                <w:rFonts w:ascii="Arial" w:hAnsi="Arial" w:cs="Arial" w:eastAsia="Arial" w:hint="default"/>
                <w:sz w:val="18"/>
                <w:szCs w:val="18"/>
              </w:rPr>
            </w:r>
          </w:p>
        </w:tc>
        <w:tc>
          <w:tcPr>
            <w:tcW w:w="1512" w:type="dxa"/>
            <w:vMerge/>
            <w:tcBorders>
              <w:left w:val="single" w:sz="2" w:space="0" w:color="000000"/>
              <w:bottom w:val="single" w:sz="2" w:space="0" w:color="000000"/>
              <w:right w:val="nil" w:sz="6" w:space="0" w:color="auto"/>
            </w:tcBorders>
          </w:tcPr>
          <w:p>
            <w:pPr/>
          </w:p>
        </w:tc>
      </w:tr>
      <w:tr>
        <w:trPr>
          <w:trHeight w:val="485" w:hRule="exact"/>
        </w:trPr>
        <w:tc>
          <w:tcPr>
            <w:tcW w:w="21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按单项计提坏账准备</w:t>
            </w: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26,217,553.27</w:t>
            </w:r>
          </w:p>
        </w:tc>
        <w:tc>
          <w:tcPr>
            <w:tcW w:w="9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w w:val="95"/>
                <w:sz w:val="18"/>
              </w:rPr>
              <w:t>56.18</w:t>
            </w:r>
            <w:r>
              <w:rPr>
                <w:rFonts w:ascii="Arial"/>
                <w:sz w:val="18"/>
              </w:rPr>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76" w:right="0"/>
              <w:jc w:val="left"/>
              <w:rPr>
                <w:rFonts w:ascii="Arial" w:hAnsi="Arial" w:cs="Arial" w:eastAsia="Arial" w:hint="default"/>
                <w:sz w:val="18"/>
                <w:szCs w:val="18"/>
              </w:rPr>
            </w:pPr>
            <w:r>
              <w:rPr>
                <w:rFonts w:ascii="Arial"/>
                <w:sz w:val="18"/>
              </w:rPr>
              <w:t>754,978.65</w:t>
            </w:r>
          </w:p>
        </w:tc>
        <w:tc>
          <w:tcPr>
            <w:tcW w:w="10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w w:val="95"/>
                <w:sz w:val="18"/>
              </w:rPr>
              <w:t>2.88</w:t>
            </w:r>
            <w:r>
              <w:rPr>
                <w:rFonts w:ascii="Arial"/>
                <w:sz w:val="18"/>
              </w:rPr>
            </w:r>
          </w:p>
        </w:tc>
        <w:tc>
          <w:tcPr>
            <w:tcW w:w="15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25,462,574.62</w:t>
            </w:r>
          </w:p>
        </w:tc>
      </w:tr>
      <w:tr>
        <w:trPr>
          <w:trHeight w:val="485" w:hRule="exact"/>
        </w:trPr>
        <w:tc>
          <w:tcPr>
            <w:tcW w:w="21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20,449,232.65</w:t>
            </w:r>
          </w:p>
        </w:tc>
        <w:tc>
          <w:tcPr>
            <w:tcW w:w="9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w w:val="95"/>
                <w:sz w:val="18"/>
              </w:rPr>
              <w:t>43.82</w:t>
            </w:r>
            <w:r>
              <w:rPr>
                <w:rFonts w:ascii="Arial"/>
                <w:sz w:val="18"/>
              </w:rPr>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5" w:right="0"/>
              <w:jc w:val="left"/>
              <w:rPr>
                <w:rFonts w:ascii="Arial" w:hAnsi="Arial" w:cs="Arial" w:eastAsia="Arial" w:hint="default"/>
                <w:sz w:val="18"/>
                <w:szCs w:val="18"/>
              </w:rPr>
            </w:pPr>
            <w:r>
              <w:rPr>
                <w:rFonts w:ascii="Arial"/>
                <w:sz w:val="18"/>
              </w:rPr>
              <w:t>1,544,451.61</w:t>
            </w:r>
          </w:p>
        </w:tc>
        <w:tc>
          <w:tcPr>
            <w:tcW w:w="10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w w:val="95"/>
                <w:sz w:val="18"/>
              </w:rPr>
              <w:t>7.55</w:t>
            </w:r>
            <w:r>
              <w:rPr>
                <w:rFonts w:ascii="Arial"/>
                <w:sz w:val="18"/>
              </w:rPr>
            </w:r>
          </w:p>
        </w:tc>
        <w:tc>
          <w:tcPr>
            <w:tcW w:w="15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18,904,781.04</w:t>
            </w:r>
          </w:p>
        </w:tc>
      </w:tr>
      <w:tr>
        <w:trPr>
          <w:trHeight w:val="485" w:hRule="exact"/>
        </w:trPr>
        <w:tc>
          <w:tcPr>
            <w:tcW w:w="21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Arial" w:hAnsi="Arial" w:cs="Arial" w:eastAsia="Arial" w:hint="default"/>
                <w:sz w:val="18"/>
                <w:szCs w:val="18"/>
              </w:rPr>
              <w:t>1</w:t>
            </w:r>
            <w:r>
              <w:rPr>
                <w:rFonts w:ascii="宋体" w:hAnsi="宋体" w:cs="宋体" w:eastAsia="宋体" w:hint="default"/>
                <w:sz w:val="18"/>
                <w:szCs w:val="18"/>
              </w:rPr>
              <w:t>：账龄组合</w:t>
            </w: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20,449,232.65</w:t>
            </w:r>
          </w:p>
        </w:tc>
        <w:tc>
          <w:tcPr>
            <w:tcW w:w="9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w w:val="95"/>
                <w:sz w:val="18"/>
              </w:rPr>
              <w:t>43.82</w:t>
            </w:r>
            <w:r>
              <w:rPr>
                <w:rFonts w:ascii="Arial"/>
                <w:sz w:val="18"/>
              </w:rPr>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5" w:right="0"/>
              <w:jc w:val="left"/>
              <w:rPr>
                <w:rFonts w:ascii="Arial" w:hAnsi="Arial" w:cs="Arial" w:eastAsia="Arial" w:hint="default"/>
                <w:sz w:val="18"/>
                <w:szCs w:val="18"/>
              </w:rPr>
            </w:pPr>
            <w:r>
              <w:rPr>
                <w:rFonts w:ascii="Arial"/>
                <w:sz w:val="18"/>
              </w:rPr>
              <w:t>1,544,451.61</w:t>
            </w:r>
          </w:p>
        </w:tc>
        <w:tc>
          <w:tcPr>
            <w:tcW w:w="10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w w:val="95"/>
                <w:sz w:val="18"/>
              </w:rPr>
              <w:t>7.55</w:t>
            </w:r>
            <w:r>
              <w:rPr>
                <w:rFonts w:ascii="Arial"/>
                <w:sz w:val="18"/>
              </w:rPr>
            </w:r>
          </w:p>
        </w:tc>
        <w:tc>
          <w:tcPr>
            <w:tcW w:w="15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18,904,781.04</w:t>
            </w:r>
          </w:p>
        </w:tc>
      </w:tr>
      <w:tr>
        <w:trPr>
          <w:trHeight w:val="485" w:hRule="exact"/>
        </w:trPr>
        <w:tc>
          <w:tcPr>
            <w:tcW w:w="21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Arial" w:hAnsi="Arial" w:cs="Arial" w:eastAsia="Arial" w:hint="default"/>
                <w:sz w:val="18"/>
                <w:szCs w:val="18"/>
              </w:rPr>
              <w:t>2</w:t>
            </w:r>
            <w:r>
              <w:rPr>
                <w:rFonts w:ascii="宋体" w:hAnsi="宋体" w:cs="宋体" w:eastAsia="宋体" w:hint="default"/>
                <w:sz w:val="18"/>
                <w:szCs w:val="18"/>
              </w:rPr>
              <w:t>：关联方组合</w:t>
            </w:r>
          </w:p>
        </w:tc>
        <w:tc>
          <w:tcPr>
            <w:tcW w:w="1681" w:type="dxa"/>
            <w:tcBorders>
              <w:top w:val="single" w:sz="2" w:space="0" w:color="000000"/>
              <w:left w:val="single" w:sz="2" w:space="0" w:color="000000"/>
              <w:bottom w:val="single" w:sz="2" w:space="0" w:color="000000"/>
              <w:right w:val="single" w:sz="2" w:space="0" w:color="000000"/>
            </w:tcBorders>
          </w:tcPr>
          <w:p>
            <w:pPr/>
          </w:p>
        </w:tc>
        <w:tc>
          <w:tcPr>
            <w:tcW w:w="951" w:type="dxa"/>
            <w:tcBorders>
              <w:top w:val="single" w:sz="2" w:space="0" w:color="000000"/>
              <w:left w:val="single" w:sz="2" w:space="0" w:color="000000"/>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1"/>
              <w:jc w:val="right"/>
              <w:rPr>
                <w:rFonts w:ascii="宋体" w:hAnsi="宋体" w:cs="宋体" w:eastAsia="宋体" w:hint="default"/>
                <w:sz w:val="18"/>
                <w:szCs w:val="18"/>
              </w:rPr>
            </w:pPr>
            <w:r>
              <w:rPr>
                <w:rFonts w:ascii="宋体"/>
                <w:sz w:val="18"/>
              </w:rPr>
              <w:t> </w:t>
            </w:r>
          </w:p>
        </w:tc>
        <w:tc>
          <w:tcPr>
            <w:tcW w:w="10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4"/>
              <w:jc w:val="right"/>
              <w:rPr>
                <w:rFonts w:ascii="宋体" w:hAnsi="宋体" w:cs="宋体" w:eastAsia="宋体" w:hint="default"/>
                <w:sz w:val="18"/>
                <w:szCs w:val="18"/>
              </w:rPr>
            </w:pPr>
            <w:r>
              <w:rPr>
                <w:rFonts w:ascii="宋体"/>
                <w:sz w:val="18"/>
              </w:rPr>
              <w:t> </w:t>
            </w:r>
          </w:p>
        </w:tc>
        <w:tc>
          <w:tcPr>
            <w:tcW w:w="1512" w:type="dxa"/>
            <w:tcBorders>
              <w:top w:val="single" w:sz="2" w:space="0" w:color="000000"/>
              <w:left w:val="single" w:sz="2" w:space="0" w:color="000000"/>
              <w:bottom w:val="single" w:sz="2" w:space="0" w:color="000000"/>
              <w:right w:val="nil" w:sz="6" w:space="0" w:color="auto"/>
            </w:tcBorders>
          </w:tcPr>
          <w:p>
            <w:pPr/>
          </w:p>
        </w:tc>
      </w:tr>
      <w:tr>
        <w:trPr>
          <w:trHeight w:val="499" w:hRule="exact"/>
        </w:trPr>
        <w:tc>
          <w:tcPr>
            <w:tcW w:w="215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8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46,666,785.92</w:t>
            </w:r>
          </w:p>
        </w:tc>
        <w:tc>
          <w:tcPr>
            <w:tcW w:w="9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Arial" w:hAnsi="Arial" w:cs="Arial" w:eastAsia="Arial" w:hint="default"/>
                <w:sz w:val="18"/>
                <w:szCs w:val="18"/>
              </w:rPr>
            </w:pPr>
            <w:r>
              <w:rPr>
                <w:rFonts w:ascii="Arial"/>
                <w:w w:val="95"/>
                <w:sz w:val="18"/>
              </w:rPr>
              <w:t>100</w:t>
            </w:r>
            <w:r>
              <w:rPr>
                <w:rFonts w:ascii="Arial"/>
                <w:sz w:val="18"/>
              </w:rPr>
            </w:r>
          </w:p>
        </w:tc>
        <w:tc>
          <w:tcPr>
            <w:tcW w:w="13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5" w:right="0"/>
              <w:jc w:val="left"/>
              <w:rPr>
                <w:rFonts w:ascii="Arial" w:hAnsi="Arial" w:cs="Arial" w:eastAsia="Arial" w:hint="default"/>
                <w:sz w:val="18"/>
                <w:szCs w:val="18"/>
              </w:rPr>
            </w:pPr>
            <w:r>
              <w:rPr>
                <w:rFonts w:ascii="Arial"/>
                <w:sz w:val="18"/>
              </w:rPr>
              <w:t>2,299,430.26</w:t>
            </w:r>
          </w:p>
        </w:tc>
        <w:tc>
          <w:tcPr>
            <w:tcW w:w="10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9"/>
              <w:ind w:right="14"/>
              <w:jc w:val="right"/>
              <w:rPr>
                <w:rFonts w:ascii="宋体" w:hAnsi="宋体" w:cs="宋体" w:eastAsia="宋体" w:hint="default"/>
                <w:sz w:val="18"/>
                <w:szCs w:val="18"/>
              </w:rPr>
            </w:pPr>
            <w:r>
              <w:rPr>
                <w:rFonts w:ascii="宋体"/>
                <w:sz w:val="18"/>
              </w:rPr>
              <w:t> </w:t>
            </w:r>
          </w:p>
        </w:tc>
        <w:tc>
          <w:tcPr>
            <w:tcW w:w="151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44,367,355.66</w:t>
            </w:r>
          </w:p>
        </w:tc>
      </w:tr>
    </w:tbl>
    <w:p>
      <w:pPr>
        <w:pStyle w:val="BodyText"/>
        <w:spacing w:line="240" w:lineRule="auto" w:before="63"/>
        <w:ind w:left="592" w:right="1133"/>
        <w:jc w:val="left"/>
      </w:pPr>
      <w:r>
        <w:rPr/>
        <w:t>（续）</w:t>
      </w:r>
    </w:p>
    <w:p>
      <w:pPr>
        <w:spacing w:line="240" w:lineRule="auto" w:before="9"/>
        <w:rPr>
          <w:rFonts w:ascii="宋体" w:hAnsi="宋体" w:cs="宋体" w:eastAsia="宋体" w:hint="default"/>
          <w:sz w:val="3"/>
          <w:szCs w:val="3"/>
        </w:rPr>
      </w:pPr>
    </w:p>
    <w:tbl>
      <w:tblPr>
        <w:tblW w:w="0" w:type="auto"/>
        <w:jc w:val="left"/>
        <w:tblInd w:w="580" w:type="dxa"/>
        <w:tblLayout w:type="fixed"/>
        <w:tblCellMar>
          <w:top w:w="0" w:type="dxa"/>
          <w:left w:w="0" w:type="dxa"/>
          <w:bottom w:w="0" w:type="dxa"/>
          <w:right w:w="0" w:type="dxa"/>
        </w:tblCellMar>
        <w:tblLook w:val="01E0"/>
      </w:tblPr>
      <w:tblGrid>
        <w:gridCol w:w="2102"/>
        <w:gridCol w:w="1697"/>
        <w:gridCol w:w="920"/>
        <w:gridCol w:w="1385"/>
        <w:gridCol w:w="1116"/>
        <w:gridCol w:w="1520"/>
      </w:tblGrid>
      <w:tr>
        <w:trPr>
          <w:trHeight w:val="499" w:hRule="exact"/>
        </w:trPr>
        <w:tc>
          <w:tcPr>
            <w:tcW w:w="2102"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638" w:type="dxa"/>
            <w:gridSpan w:val="5"/>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85" w:hRule="exact"/>
        </w:trPr>
        <w:tc>
          <w:tcPr>
            <w:tcW w:w="2102" w:type="dxa"/>
            <w:vMerge/>
            <w:tcBorders>
              <w:left w:val="nil" w:sz="6" w:space="0" w:color="auto"/>
              <w:right w:val="single" w:sz="2" w:space="0" w:color="000000"/>
            </w:tcBorders>
          </w:tcPr>
          <w:p>
            <w:pPr/>
          </w:p>
        </w:tc>
        <w:tc>
          <w:tcPr>
            <w:tcW w:w="2617"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01"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4"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520" w:type="dxa"/>
            <w:vMerge w:val="restart"/>
            <w:tcBorders>
              <w:top w:val="single" w:sz="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3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85" w:hRule="exact"/>
        </w:trPr>
        <w:tc>
          <w:tcPr>
            <w:tcW w:w="2102" w:type="dxa"/>
            <w:vMerge/>
            <w:tcBorders>
              <w:left w:val="nil" w:sz="6" w:space="0" w:color="auto"/>
              <w:bottom w:val="single" w:sz="2" w:space="0" w:color="000000"/>
              <w:right w:val="single" w:sz="2" w:space="0" w:color="000000"/>
            </w:tcBorders>
          </w:tcPr>
          <w:p>
            <w:pP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35"/>
              <w:jc w:val="right"/>
              <w:rPr>
                <w:rFonts w:ascii="Arial" w:hAnsi="Arial" w:cs="Arial" w:eastAsia="Arial" w:hint="default"/>
                <w:sz w:val="18"/>
                <w:szCs w:val="18"/>
              </w:rPr>
            </w:pPr>
            <w:r>
              <w:rPr>
                <w:rFonts w:ascii="宋体" w:hAnsi="宋体" w:cs="宋体" w:eastAsia="宋体" w:hint="default"/>
                <w:w w:val="95"/>
                <w:sz w:val="18"/>
                <w:szCs w:val="18"/>
              </w:rPr>
              <w:t>比例</w:t>
            </w:r>
            <w:r>
              <w:rPr>
                <w:rFonts w:ascii="Arial" w:hAnsi="Arial" w:cs="Arial" w:eastAsia="Arial" w:hint="default"/>
                <w:w w:val="95"/>
                <w:sz w:val="18"/>
                <w:szCs w:val="18"/>
              </w:rPr>
              <w:t>(%)</w:t>
            </w:r>
            <w:r>
              <w:rPr>
                <w:rFonts w:ascii="Arial" w:hAnsi="Arial" w:cs="Arial" w:eastAsia="Arial" w:hint="default"/>
                <w:sz w:val="18"/>
                <w:szCs w:val="18"/>
              </w:rPr>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24"/>
              <w:jc w:val="right"/>
              <w:rPr>
                <w:rFonts w:ascii="Arial" w:hAnsi="Arial" w:cs="Arial" w:eastAsia="Arial" w:hint="default"/>
                <w:sz w:val="18"/>
                <w:szCs w:val="18"/>
              </w:rPr>
            </w:pPr>
            <w:r>
              <w:rPr>
                <w:rFonts w:ascii="宋体" w:hAnsi="宋体" w:cs="宋体" w:eastAsia="宋体" w:hint="default"/>
                <w:w w:val="95"/>
                <w:sz w:val="18"/>
                <w:szCs w:val="18"/>
              </w:rPr>
              <w:t>计提比例</w:t>
            </w:r>
            <w:r>
              <w:rPr>
                <w:rFonts w:ascii="Arial" w:hAnsi="Arial" w:cs="Arial" w:eastAsia="Arial" w:hint="default"/>
                <w:w w:val="95"/>
                <w:sz w:val="18"/>
                <w:szCs w:val="18"/>
              </w:rPr>
              <w:t>(%)</w:t>
            </w:r>
            <w:r>
              <w:rPr>
                <w:rFonts w:ascii="Arial" w:hAnsi="Arial" w:cs="Arial" w:eastAsia="Arial" w:hint="default"/>
                <w:sz w:val="18"/>
                <w:szCs w:val="18"/>
              </w:rPr>
            </w:r>
          </w:p>
        </w:tc>
        <w:tc>
          <w:tcPr>
            <w:tcW w:w="1520" w:type="dxa"/>
            <w:vMerge/>
            <w:tcBorders>
              <w:left w:val="single" w:sz="2" w:space="0" w:color="000000"/>
              <w:bottom w:val="single" w:sz="2" w:space="0" w:color="000000"/>
              <w:right w:val="nil" w:sz="6" w:space="0" w:color="auto"/>
            </w:tcBorders>
          </w:tcPr>
          <w:p>
            <w:pPr/>
          </w:p>
        </w:tc>
      </w:tr>
      <w:tr>
        <w:trPr>
          <w:trHeight w:val="485" w:hRule="exact"/>
        </w:trPr>
        <w:tc>
          <w:tcPr>
            <w:tcW w:w="21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按单项计提坏账准备</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18,204,022.24</w:t>
            </w:r>
          </w:p>
        </w:tc>
        <w:tc>
          <w:tcPr>
            <w:tcW w:w="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w w:val="95"/>
                <w:sz w:val="18"/>
              </w:rPr>
              <w:t>62.85</w:t>
            </w:r>
            <w:r>
              <w:rPr>
                <w:rFonts w:ascii="Arial"/>
                <w:sz w:val="18"/>
              </w:rPr>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489,222.73</w:t>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w w:val="95"/>
                <w:sz w:val="18"/>
              </w:rPr>
              <w:t>2.69</w:t>
            </w:r>
            <w:r>
              <w:rPr>
                <w:rFonts w:ascii="Arial"/>
                <w:sz w:val="18"/>
              </w:rPr>
            </w:r>
          </w:p>
        </w:tc>
        <w:tc>
          <w:tcPr>
            <w:tcW w:w="15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17,714,799.51</w:t>
            </w:r>
          </w:p>
        </w:tc>
      </w:tr>
      <w:tr>
        <w:trPr>
          <w:trHeight w:val="485" w:hRule="exact"/>
        </w:trPr>
        <w:tc>
          <w:tcPr>
            <w:tcW w:w="21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10,759,933.57</w:t>
            </w:r>
          </w:p>
        </w:tc>
        <w:tc>
          <w:tcPr>
            <w:tcW w:w="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w w:val="95"/>
                <w:sz w:val="18"/>
              </w:rPr>
              <w:t>37.15</w:t>
            </w:r>
            <w:r>
              <w:rPr>
                <w:rFonts w:ascii="Arial"/>
                <w:sz w:val="18"/>
              </w:rPr>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1,543,327.71</w:t>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w w:val="95"/>
                <w:sz w:val="18"/>
              </w:rPr>
              <w:t>14.34</w:t>
            </w:r>
            <w:r>
              <w:rPr>
                <w:rFonts w:ascii="Arial"/>
                <w:sz w:val="18"/>
              </w:rPr>
            </w:r>
          </w:p>
        </w:tc>
        <w:tc>
          <w:tcPr>
            <w:tcW w:w="15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9,216,605.86</w:t>
            </w:r>
          </w:p>
        </w:tc>
      </w:tr>
      <w:tr>
        <w:trPr>
          <w:trHeight w:val="485" w:hRule="exact"/>
        </w:trPr>
        <w:tc>
          <w:tcPr>
            <w:tcW w:w="21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Arial" w:hAnsi="Arial" w:cs="Arial" w:eastAsia="Arial" w:hint="default"/>
                <w:sz w:val="18"/>
                <w:szCs w:val="18"/>
              </w:rPr>
              <w:t>1</w:t>
            </w:r>
            <w:r>
              <w:rPr>
                <w:rFonts w:ascii="宋体" w:hAnsi="宋体" w:cs="宋体" w:eastAsia="宋体" w:hint="default"/>
                <w:sz w:val="18"/>
                <w:szCs w:val="18"/>
              </w:rPr>
              <w:t>：账龄组合</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10,759,933.57</w:t>
            </w:r>
          </w:p>
        </w:tc>
        <w:tc>
          <w:tcPr>
            <w:tcW w:w="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w w:val="95"/>
                <w:sz w:val="18"/>
              </w:rPr>
              <w:t>37.15</w:t>
            </w:r>
            <w:r>
              <w:rPr>
                <w:rFonts w:ascii="Arial"/>
                <w:sz w:val="18"/>
              </w:rPr>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1,543,327.71</w:t>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w w:val="95"/>
                <w:sz w:val="18"/>
              </w:rPr>
              <w:t>14.34</w:t>
            </w:r>
            <w:r>
              <w:rPr>
                <w:rFonts w:ascii="Arial"/>
                <w:sz w:val="18"/>
              </w:rPr>
            </w:r>
          </w:p>
        </w:tc>
        <w:tc>
          <w:tcPr>
            <w:tcW w:w="15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9,216,605.86</w:t>
            </w:r>
          </w:p>
        </w:tc>
      </w:tr>
      <w:tr>
        <w:trPr>
          <w:trHeight w:val="500" w:hRule="exact"/>
        </w:trPr>
        <w:tc>
          <w:tcPr>
            <w:tcW w:w="210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50"/>
              <w:ind w:left="1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Arial" w:hAnsi="Arial" w:cs="Arial" w:eastAsia="Arial" w:hint="default"/>
                <w:sz w:val="18"/>
                <w:szCs w:val="18"/>
              </w:rPr>
              <w:t>2</w:t>
            </w:r>
            <w:r>
              <w:rPr>
                <w:rFonts w:ascii="宋体" w:hAnsi="宋体" w:cs="宋体" w:eastAsia="宋体" w:hint="default"/>
                <w:sz w:val="18"/>
                <w:szCs w:val="18"/>
              </w:rPr>
              <w:t>：关联方组合</w:t>
            </w:r>
          </w:p>
        </w:tc>
        <w:tc>
          <w:tcPr>
            <w:tcW w:w="1697" w:type="dxa"/>
            <w:tcBorders>
              <w:top w:val="single" w:sz="2" w:space="0" w:color="000000"/>
              <w:left w:val="single" w:sz="2" w:space="0" w:color="000000"/>
              <w:bottom w:val="single" w:sz="12" w:space="0" w:color="000000"/>
              <w:right w:val="single" w:sz="2" w:space="0" w:color="000000"/>
            </w:tcBorders>
          </w:tcPr>
          <w:p>
            <w:pPr/>
          </w:p>
        </w:tc>
        <w:tc>
          <w:tcPr>
            <w:tcW w:w="920" w:type="dxa"/>
            <w:tcBorders>
              <w:top w:val="single" w:sz="2" w:space="0" w:color="000000"/>
              <w:left w:val="single" w:sz="2" w:space="0" w:color="000000"/>
              <w:bottom w:val="single" w:sz="12" w:space="0" w:color="000000"/>
              <w:right w:val="single" w:sz="2" w:space="0" w:color="000000"/>
            </w:tcBorders>
          </w:tcPr>
          <w:p>
            <w:pPr/>
          </w:p>
        </w:tc>
        <w:tc>
          <w:tcPr>
            <w:tcW w:w="1385" w:type="dxa"/>
            <w:tcBorders>
              <w:top w:val="single" w:sz="2" w:space="0" w:color="000000"/>
              <w:left w:val="single" w:sz="2" w:space="0" w:color="000000"/>
              <w:bottom w:val="single" w:sz="12" w:space="0" w:color="000000"/>
              <w:right w:val="single" w:sz="2" w:space="0" w:color="000000"/>
            </w:tcBorders>
          </w:tcPr>
          <w:p>
            <w:pPr/>
          </w:p>
        </w:tc>
        <w:tc>
          <w:tcPr>
            <w:tcW w:w="1116" w:type="dxa"/>
            <w:tcBorders>
              <w:top w:val="single" w:sz="2" w:space="0" w:color="000000"/>
              <w:left w:val="single" w:sz="2" w:space="0" w:color="000000"/>
              <w:bottom w:val="single" w:sz="12" w:space="0" w:color="000000"/>
              <w:right w:val="single" w:sz="2" w:space="0" w:color="000000"/>
            </w:tcBorders>
          </w:tcPr>
          <w:p>
            <w:pPr/>
          </w:p>
        </w:tc>
        <w:tc>
          <w:tcPr>
            <w:tcW w:w="1520"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580" w:type="dxa"/>
        <w:tblLayout w:type="fixed"/>
        <w:tblCellMar>
          <w:top w:w="0" w:type="dxa"/>
          <w:left w:w="0" w:type="dxa"/>
          <w:bottom w:w="0" w:type="dxa"/>
          <w:right w:w="0" w:type="dxa"/>
        </w:tblCellMar>
        <w:tblLook w:val="01E0"/>
      </w:tblPr>
      <w:tblGrid>
        <w:gridCol w:w="2102"/>
        <w:gridCol w:w="1697"/>
        <w:gridCol w:w="920"/>
        <w:gridCol w:w="1385"/>
        <w:gridCol w:w="1116"/>
        <w:gridCol w:w="1520"/>
      </w:tblGrid>
      <w:tr>
        <w:trPr>
          <w:trHeight w:val="500" w:hRule="exact"/>
        </w:trPr>
        <w:tc>
          <w:tcPr>
            <w:tcW w:w="2102"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638" w:type="dxa"/>
            <w:gridSpan w:val="5"/>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85" w:hRule="exact"/>
        </w:trPr>
        <w:tc>
          <w:tcPr>
            <w:tcW w:w="2102" w:type="dxa"/>
            <w:vMerge/>
            <w:tcBorders>
              <w:left w:val="nil" w:sz="6" w:space="0" w:color="auto"/>
              <w:right w:val="single" w:sz="2" w:space="0" w:color="000000"/>
            </w:tcBorders>
          </w:tcPr>
          <w:p>
            <w:pPr/>
          </w:p>
        </w:tc>
        <w:tc>
          <w:tcPr>
            <w:tcW w:w="2617"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01"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4"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520" w:type="dxa"/>
            <w:vMerge w:val="restart"/>
            <w:tcBorders>
              <w:top w:val="single" w:sz="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3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85" w:hRule="exact"/>
        </w:trPr>
        <w:tc>
          <w:tcPr>
            <w:tcW w:w="2102" w:type="dxa"/>
            <w:vMerge/>
            <w:tcBorders>
              <w:left w:val="nil" w:sz="6" w:space="0" w:color="auto"/>
              <w:bottom w:val="single" w:sz="2" w:space="0" w:color="000000"/>
              <w:right w:val="single" w:sz="2" w:space="0" w:color="000000"/>
            </w:tcBorders>
          </w:tcPr>
          <w:p>
            <w:pP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35"/>
              <w:jc w:val="right"/>
              <w:rPr>
                <w:rFonts w:ascii="Arial" w:hAnsi="Arial" w:cs="Arial" w:eastAsia="Arial" w:hint="default"/>
                <w:sz w:val="18"/>
                <w:szCs w:val="18"/>
              </w:rPr>
            </w:pPr>
            <w:r>
              <w:rPr>
                <w:rFonts w:ascii="宋体" w:hAnsi="宋体" w:cs="宋体" w:eastAsia="宋体" w:hint="default"/>
                <w:w w:val="95"/>
                <w:sz w:val="18"/>
                <w:szCs w:val="18"/>
              </w:rPr>
              <w:t>比例</w:t>
            </w:r>
            <w:r>
              <w:rPr>
                <w:rFonts w:ascii="Arial" w:hAnsi="Arial" w:cs="Arial" w:eastAsia="Arial" w:hint="default"/>
                <w:w w:val="95"/>
                <w:sz w:val="18"/>
                <w:szCs w:val="18"/>
              </w:rPr>
              <w:t>(%)</w:t>
            </w:r>
            <w:r>
              <w:rPr>
                <w:rFonts w:ascii="Arial" w:hAnsi="Arial" w:cs="Arial" w:eastAsia="Arial" w:hint="default"/>
                <w:sz w:val="18"/>
                <w:szCs w:val="18"/>
              </w:rPr>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84" w:right="0"/>
              <w:jc w:val="left"/>
              <w:rPr>
                <w:rFonts w:ascii="Arial" w:hAnsi="Arial" w:cs="Arial" w:eastAsia="Arial" w:hint="default"/>
                <w:sz w:val="18"/>
                <w:szCs w:val="18"/>
              </w:rPr>
            </w:pPr>
            <w:r>
              <w:rPr>
                <w:rFonts w:ascii="宋体" w:hAnsi="宋体" w:cs="宋体" w:eastAsia="宋体" w:hint="default"/>
                <w:sz w:val="18"/>
                <w:szCs w:val="18"/>
              </w:rPr>
              <w:t>计提比例</w:t>
            </w:r>
            <w:r>
              <w:rPr>
                <w:rFonts w:ascii="Arial" w:hAnsi="Arial" w:cs="Arial" w:eastAsia="Arial" w:hint="default"/>
                <w:sz w:val="18"/>
                <w:szCs w:val="18"/>
              </w:rPr>
              <w:t>(%)</w:t>
            </w:r>
          </w:p>
        </w:tc>
        <w:tc>
          <w:tcPr>
            <w:tcW w:w="1520" w:type="dxa"/>
            <w:vMerge/>
            <w:tcBorders>
              <w:left w:val="single" w:sz="2" w:space="0" w:color="000000"/>
              <w:bottom w:val="single" w:sz="2" w:space="0" w:color="000000"/>
              <w:right w:val="nil" w:sz="6" w:space="0" w:color="auto"/>
            </w:tcBorders>
          </w:tcPr>
          <w:p>
            <w:pPr/>
          </w:p>
        </w:tc>
      </w:tr>
      <w:tr>
        <w:trPr>
          <w:trHeight w:val="497" w:hRule="exact"/>
        </w:trPr>
        <w:tc>
          <w:tcPr>
            <w:tcW w:w="210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9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37" w:right="0"/>
              <w:jc w:val="left"/>
              <w:rPr>
                <w:rFonts w:ascii="Arial" w:hAnsi="Arial" w:cs="Arial" w:eastAsia="Arial" w:hint="default"/>
                <w:sz w:val="18"/>
                <w:szCs w:val="18"/>
              </w:rPr>
            </w:pPr>
            <w:r>
              <w:rPr>
                <w:rFonts w:ascii="Arial"/>
                <w:sz w:val="18"/>
              </w:rPr>
              <w:t>28,963,955.81</w:t>
            </w:r>
          </w:p>
        </w:tc>
        <w:tc>
          <w:tcPr>
            <w:tcW w:w="9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100.00</w:t>
            </w:r>
          </w:p>
        </w:tc>
        <w:tc>
          <w:tcPr>
            <w:tcW w:w="13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5" w:right="0"/>
              <w:jc w:val="left"/>
              <w:rPr>
                <w:rFonts w:ascii="Arial" w:hAnsi="Arial" w:cs="Arial" w:eastAsia="Arial" w:hint="default"/>
                <w:sz w:val="18"/>
                <w:szCs w:val="18"/>
              </w:rPr>
            </w:pPr>
            <w:r>
              <w:rPr>
                <w:rFonts w:ascii="Arial"/>
                <w:sz w:val="18"/>
              </w:rPr>
              <w:t>2,032,550.44</w:t>
            </w:r>
          </w:p>
        </w:tc>
        <w:tc>
          <w:tcPr>
            <w:tcW w:w="1116" w:type="dxa"/>
            <w:tcBorders>
              <w:top w:val="single" w:sz="2" w:space="0" w:color="000000"/>
              <w:left w:val="single" w:sz="2" w:space="0" w:color="000000"/>
              <w:bottom w:val="single" w:sz="12" w:space="0" w:color="000000"/>
              <w:right w:val="single" w:sz="2" w:space="0" w:color="000000"/>
            </w:tcBorders>
          </w:tcPr>
          <w:p>
            <w:pPr/>
          </w:p>
        </w:tc>
        <w:tc>
          <w:tcPr>
            <w:tcW w:w="15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59" w:right="0"/>
              <w:jc w:val="left"/>
              <w:rPr>
                <w:rFonts w:ascii="Arial" w:hAnsi="Arial" w:cs="Arial" w:eastAsia="Arial" w:hint="default"/>
                <w:sz w:val="18"/>
                <w:szCs w:val="18"/>
              </w:rPr>
            </w:pPr>
            <w:r>
              <w:rPr>
                <w:rFonts w:ascii="Arial"/>
                <w:sz w:val="18"/>
              </w:rPr>
              <w:t>26,931,405.37</w:t>
            </w:r>
          </w:p>
        </w:tc>
      </w:tr>
    </w:tbl>
    <w:p>
      <w:pPr>
        <w:pStyle w:val="BodyText"/>
        <w:spacing w:line="240" w:lineRule="auto" w:before="62"/>
        <w:ind w:left="592" w:right="1133"/>
        <w:jc w:val="left"/>
      </w:pPr>
      <w:r>
        <w:rPr>
          <w:rFonts w:ascii="Arial" w:hAnsi="Arial" w:cs="Arial" w:eastAsia="Arial" w:hint="default"/>
        </w:rPr>
        <w:t>A. </w:t>
      </w:r>
      <w:r>
        <w:rPr>
          <w:rFonts w:ascii="Arial" w:hAnsi="Arial" w:cs="Arial" w:eastAsia="Arial" w:hint="default"/>
          <w:spacing w:val="27"/>
        </w:rPr>
        <w:t> </w:t>
      </w:r>
      <w:r>
        <w:rPr/>
        <w:t>按单项计提应收账款坏账准备</w:t>
      </w:r>
    </w:p>
    <w:p>
      <w:pPr>
        <w:spacing w:line="240" w:lineRule="auto" w:before="9"/>
        <w:rPr>
          <w:rFonts w:ascii="宋体" w:hAnsi="宋体" w:cs="宋体" w:eastAsia="宋体" w:hint="default"/>
          <w:sz w:val="2"/>
          <w:szCs w:val="2"/>
        </w:rPr>
      </w:pPr>
    </w:p>
    <w:tbl>
      <w:tblPr>
        <w:tblW w:w="0" w:type="auto"/>
        <w:jc w:val="left"/>
        <w:tblInd w:w="580" w:type="dxa"/>
        <w:tblLayout w:type="fixed"/>
        <w:tblCellMar>
          <w:top w:w="0" w:type="dxa"/>
          <w:left w:w="0" w:type="dxa"/>
          <w:bottom w:w="0" w:type="dxa"/>
          <w:right w:w="0" w:type="dxa"/>
        </w:tblCellMar>
        <w:tblLook w:val="01E0"/>
      </w:tblPr>
      <w:tblGrid>
        <w:gridCol w:w="3101"/>
        <w:gridCol w:w="1558"/>
        <w:gridCol w:w="1277"/>
        <w:gridCol w:w="1702"/>
        <w:gridCol w:w="1102"/>
      </w:tblGrid>
      <w:tr>
        <w:trPr>
          <w:trHeight w:val="497" w:hRule="exact"/>
        </w:trPr>
        <w:tc>
          <w:tcPr>
            <w:tcW w:w="3101"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16"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5639"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149"/>
              <w:ind w:right="3"/>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488" w:hRule="exact"/>
        </w:trPr>
        <w:tc>
          <w:tcPr>
            <w:tcW w:w="3101" w:type="dxa"/>
            <w:vMerge/>
            <w:tcBorders>
              <w:left w:val="nil" w:sz="6" w:space="0" w:color="auto"/>
              <w:bottom w:val="single" w:sz="2" w:space="0" w:color="000000"/>
              <w:right w:val="single" w:sz="2" w:space="0" w:color="000000"/>
            </w:tcBorders>
          </w:tcPr>
          <w:p>
            <w:pP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2"/>
              <w:ind w:left="4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2"/>
              <w:ind w:left="27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2"/>
              <w:ind w:left="230"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Arial" w:hAnsi="Arial" w:cs="Arial" w:eastAsia="Arial" w:hint="default"/>
                <w:sz w:val="18"/>
                <w:szCs w:val="18"/>
              </w:rPr>
              <w:t>%</w:t>
            </w:r>
            <w:r>
              <w:rPr>
                <w:rFonts w:ascii="宋体" w:hAnsi="宋体" w:cs="宋体" w:eastAsia="宋体" w:hint="default"/>
                <w:sz w:val="18"/>
                <w:szCs w:val="18"/>
              </w:rPr>
              <w:t>）</w:t>
            </w:r>
          </w:p>
        </w:tc>
        <w:tc>
          <w:tcPr>
            <w:tcW w:w="11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2"/>
              <w:ind w:left="187"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85" w:hRule="exact"/>
        </w:trPr>
        <w:tc>
          <w:tcPr>
            <w:tcW w:w="31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前五名单位：</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18"/>
                <w:szCs w:val="18"/>
              </w:rPr>
            </w:pPr>
            <w:r>
              <w:rPr>
                <w:rFonts w:ascii="Arial"/>
                <w:spacing w:val="-1"/>
                <w:sz w:val="18"/>
              </w:rPr>
              <w:t>23,005,055.85</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690,151.68</w:t>
            </w:r>
            <w:r>
              <w:rPr>
                <w:rFonts w:ascii="Arial"/>
                <w:sz w:val="18"/>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w w:val="95"/>
                <w:sz w:val="18"/>
              </w:rPr>
              <w:t>3.00</w:t>
            </w:r>
            <w:r>
              <w:rPr>
                <w:rFonts w:ascii="Arial"/>
                <w:sz w:val="18"/>
              </w:rPr>
            </w:r>
          </w:p>
        </w:tc>
        <w:tc>
          <w:tcPr>
            <w:tcW w:w="1102"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31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其中：第一名</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18"/>
                <w:szCs w:val="18"/>
              </w:rPr>
            </w:pPr>
            <w:r>
              <w:rPr>
                <w:rFonts w:ascii="Arial"/>
                <w:spacing w:val="-1"/>
                <w:sz w:val="18"/>
              </w:rPr>
              <w:t>14,350,601.45</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430,518.05</w:t>
            </w:r>
            <w:r>
              <w:rPr>
                <w:rFonts w:ascii="Arial"/>
                <w:sz w:val="18"/>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w w:val="95"/>
                <w:sz w:val="18"/>
              </w:rPr>
              <w:t>3.00</w:t>
            </w:r>
            <w:r>
              <w:rPr>
                <w:rFonts w:ascii="Arial"/>
                <w:sz w:val="18"/>
              </w:rPr>
            </w:r>
          </w:p>
        </w:tc>
        <w:tc>
          <w:tcPr>
            <w:tcW w:w="11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left="278" w:right="0"/>
              <w:jc w:val="left"/>
              <w:rPr>
                <w:rFonts w:ascii="宋体" w:hAnsi="宋体" w:cs="宋体" w:eastAsia="宋体" w:hint="default"/>
                <w:sz w:val="18"/>
                <w:szCs w:val="18"/>
              </w:rPr>
            </w:pPr>
            <w:r>
              <w:rPr>
                <w:rFonts w:ascii="宋体" w:hAnsi="宋体" w:cs="宋体" w:eastAsia="宋体" w:hint="default"/>
                <w:sz w:val="18"/>
                <w:szCs w:val="18"/>
              </w:rPr>
              <w:t>低风险</w:t>
            </w:r>
          </w:p>
        </w:tc>
      </w:tr>
      <w:tr>
        <w:trPr>
          <w:trHeight w:val="485" w:hRule="exact"/>
        </w:trPr>
        <w:tc>
          <w:tcPr>
            <w:tcW w:w="31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3,198,162.45</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95,944.87</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w w:val="95"/>
                <w:sz w:val="18"/>
              </w:rPr>
              <w:t>3.00</w:t>
            </w:r>
            <w:r>
              <w:rPr>
                <w:rFonts w:ascii="Arial"/>
                <w:sz w:val="18"/>
              </w:rPr>
            </w:r>
          </w:p>
        </w:tc>
        <w:tc>
          <w:tcPr>
            <w:tcW w:w="11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left="278" w:right="0"/>
              <w:jc w:val="left"/>
              <w:rPr>
                <w:rFonts w:ascii="宋体" w:hAnsi="宋体" w:cs="宋体" w:eastAsia="宋体" w:hint="default"/>
                <w:sz w:val="18"/>
                <w:szCs w:val="18"/>
              </w:rPr>
            </w:pPr>
            <w:r>
              <w:rPr>
                <w:rFonts w:ascii="宋体" w:hAnsi="宋体" w:cs="宋体" w:eastAsia="宋体" w:hint="default"/>
                <w:sz w:val="18"/>
                <w:szCs w:val="18"/>
              </w:rPr>
              <w:t>低风险</w:t>
            </w:r>
          </w:p>
        </w:tc>
      </w:tr>
      <w:tr>
        <w:trPr>
          <w:trHeight w:val="485" w:hRule="exact"/>
        </w:trPr>
        <w:tc>
          <w:tcPr>
            <w:tcW w:w="31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2,898,721.20</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86,961.64</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w w:val="95"/>
                <w:sz w:val="18"/>
              </w:rPr>
              <w:t>3.00</w:t>
            </w:r>
            <w:r>
              <w:rPr>
                <w:rFonts w:ascii="Arial"/>
                <w:sz w:val="18"/>
              </w:rPr>
            </w:r>
          </w:p>
        </w:tc>
        <w:tc>
          <w:tcPr>
            <w:tcW w:w="11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left="278" w:right="0"/>
              <w:jc w:val="left"/>
              <w:rPr>
                <w:rFonts w:ascii="宋体" w:hAnsi="宋体" w:cs="宋体" w:eastAsia="宋体" w:hint="default"/>
                <w:sz w:val="18"/>
                <w:szCs w:val="18"/>
              </w:rPr>
            </w:pPr>
            <w:r>
              <w:rPr>
                <w:rFonts w:ascii="宋体" w:hAnsi="宋体" w:cs="宋体" w:eastAsia="宋体" w:hint="default"/>
                <w:sz w:val="18"/>
                <w:szCs w:val="18"/>
              </w:rPr>
              <w:t>低风险</w:t>
            </w:r>
          </w:p>
        </w:tc>
      </w:tr>
      <w:tr>
        <w:trPr>
          <w:trHeight w:val="485" w:hRule="exact"/>
        </w:trPr>
        <w:tc>
          <w:tcPr>
            <w:tcW w:w="31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1,644,738.00</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49,342.14</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w w:val="95"/>
                <w:sz w:val="18"/>
              </w:rPr>
              <w:t>3.00</w:t>
            </w:r>
            <w:r>
              <w:rPr>
                <w:rFonts w:ascii="Arial"/>
                <w:sz w:val="18"/>
              </w:rPr>
            </w:r>
          </w:p>
        </w:tc>
        <w:tc>
          <w:tcPr>
            <w:tcW w:w="11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left="278" w:right="0"/>
              <w:jc w:val="left"/>
              <w:rPr>
                <w:rFonts w:ascii="宋体" w:hAnsi="宋体" w:cs="宋体" w:eastAsia="宋体" w:hint="default"/>
                <w:sz w:val="18"/>
                <w:szCs w:val="18"/>
              </w:rPr>
            </w:pPr>
            <w:r>
              <w:rPr>
                <w:rFonts w:ascii="宋体" w:hAnsi="宋体" w:cs="宋体" w:eastAsia="宋体" w:hint="default"/>
                <w:sz w:val="18"/>
                <w:szCs w:val="18"/>
              </w:rPr>
              <w:t>低风险</w:t>
            </w:r>
          </w:p>
        </w:tc>
      </w:tr>
      <w:tr>
        <w:trPr>
          <w:trHeight w:val="485" w:hRule="exact"/>
        </w:trPr>
        <w:tc>
          <w:tcPr>
            <w:tcW w:w="31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912,832.75</w:t>
            </w:r>
            <w:r>
              <w:rPr>
                <w:rFonts w:ascii="Arial"/>
                <w:sz w:val="18"/>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18"/>
                <w:szCs w:val="18"/>
              </w:rPr>
            </w:pPr>
            <w:r>
              <w:rPr>
                <w:rFonts w:ascii="Arial"/>
                <w:spacing w:val="-1"/>
                <w:sz w:val="18"/>
              </w:rPr>
              <w:t>27,384.98</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w w:val="95"/>
                <w:sz w:val="18"/>
              </w:rPr>
              <w:t>3.00</w:t>
            </w:r>
            <w:r>
              <w:rPr>
                <w:rFonts w:ascii="Arial"/>
                <w:sz w:val="18"/>
              </w:rPr>
            </w:r>
          </w:p>
        </w:tc>
        <w:tc>
          <w:tcPr>
            <w:tcW w:w="11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left="278" w:right="0"/>
              <w:jc w:val="left"/>
              <w:rPr>
                <w:rFonts w:ascii="宋体" w:hAnsi="宋体" w:cs="宋体" w:eastAsia="宋体" w:hint="default"/>
                <w:sz w:val="18"/>
                <w:szCs w:val="18"/>
              </w:rPr>
            </w:pPr>
            <w:r>
              <w:rPr>
                <w:rFonts w:ascii="宋体" w:hAnsi="宋体" w:cs="宋体" w:eastAsia="宋体" w:hint="default"/>
                <w:sz w:val="18"/>
                <w:szCs w:val="18"/>
              </w:rPr>
              <w:t>低风险</w:t>
            </w:r>
          </w:p>
        </w:tc>
      </w:tr>
      <w:tr>
        <w:trPr>
          <w:trHeight w:val="485" w:hRule="exact"/>
        </w:trPr>
        <w:tc>
          <w:tcPr>
            <w:tcW w:w="31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0"/>
              <w:ind w:left="124" w:right="0"/>
              <w:jc w:val="left"/>
              <w:rPr>
                <w:rFonts w:ascii="宋体" w:hAnsi="宋体" w:cs="宋体" w:eastAsia="宋体" w:hint="default"/>
                <w:sz w:val="18"/>
                <w:szCs w:val="18"/>
              </w:rPr>
            </w:pPr>
            <w:r>
              <w:rPr>
                <w:rFonts w:ascii="宋体" w:hAnsi="宋体" w:cs="宋体" w:eastAsia="宋体" w:hint="default"/>
                <w:sz w:val="18"/>
                <w:szCs w:val="18"/>
              </w:rPr>
              <w:t>其他单位</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3,212,497.42</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64,826.97</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w w:val="95"/>
                <w:sz w:val="18"/>
              </w:rPr>
              <w:t>2.02</w:t>
            </w:r>
            <w:r>
              <w:rPr>
                <w:rFonts w:ascii="Arial"/>
                <w:sz w:val="18"/>
              </w:rPr>
            </w:r>
          </w:p>
        </w:tc>
        <w:tc>
          <w:tcPr>
            <w:tcW w:w="11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left="278" w:right="0"/>
              <w:jc w:val="left"/>
              <w:rPr>
                <w:rFonts w:ascii="宋体" w:hAnsi="宋体" w:cs="宋体" w:eastAsia="宋体" w:hint="default"/>
                <w:sz w:val="18"/>
                <w:szCs w:val="18"/>
              </w:rPr>
            </w:pPr>
            <w:r>
              <w:rPr>
                <w:rFonts w:ascii="宋体" w:hAnsi="宋体" w:cs="宋体" w:eastAsia="宋体" w:hint="default"/>
                <w:sz w:val="18"/>
                <w:szCs w:val="18"/>
              </w:rPr>
              <w:t>低风险</w:t>
            </w:r>
          </w:p>
        </w:tc>
      </w:tr>
      <w:tr>
        <w:trPr>
          <w:trHeight w:val="499" w:hRule="exact"/>
        </w:trPr>
        <w:tc>
          <w:tcPr>
            <w:tcW w:w="310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26,217,553.27</w:t>
            </w:r>
          </w:p>
        </w:tc>
        <w:tc>
          <w:tcPr>
            <w:tcW w:w="12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754,978.65</w:t>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hAnsi="Arial" w:cs="Arial" w:eastAsia="Arial" w:hint="default"/>
                <w:sz w:val="18"/>
                <w:szCs w:val="18"/>
              </w:rPr>
              <w:t>—</w:t>
            </w:r>
          </w:p>
        </w:tc>
        <w:tc>
          <w:tcPr>
            <w:tcW w:w="110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7"/>
              <w:jc w:val="right"/>
              <w:rPr>
                <w:rFonts w:ascii="Arial" w:hAnsi="Arial" w:cs="Arial" w:eastAsia="Arial" w:hint="default"/>
                <w:sz w:val="18"/>
                <w:szCs w:val="18"/>
              </w:rPr>
            </w:pPr>
            <w:r>
              <w:rPr>
                <w:rFonts w:ascii="Arial" w:hAnsi="Arial" w:cs="Arial" w:eastAsia="Arial" w:hint="default"/>
                <w:sz w:val="18"/>
                <w:szCs w:val="18"/>
              </w:rPr>
              <w:t>—</w:t>
            </w:r>
          </w:p>
        </w:tc>
      </w:tr>
    </w:tbl>
    <w:p>
      <w:pPr>
        <w:pStyle w:val="BodyText"/>
        <w:spacing w:line="240" w:lineRule="auto" w:before="62"/>
        <w:ind w:left="592" w:right="1133"/>
        <w:jc w:val="left"/>
      </w:pPr>
      <w:r>
        <w:rPr>
          <w:rFonts w:ascii="Arial" w:hAnsi="Arial" w:cs="Arial" w:eastAsia="Arial" w:hint="default"/>
        </w:rPr>
        <w:t>B.</w:t>
      </w:r>
      <w:r>
        <w:rPr/>
        <w:t>按账龄组合计提应收账款坏账准备</w:t>
      </w:r>
    </w:p>
    <w:p>
      <w:pPr>
        <w:spacing w:line="240" w:lineRule="auto" w:before="6"/>
        <w:rPr>
          <w:rFonts w:ascii="宋体" w:hAnsi="宋体" w:cs="宋体" w:eastAsia="宋体" w:hint="default"/>
          <w:sz w:val="2"/>
          <w:szCs w:val="2"/>
        </w:rPr>
      </w:pPr>
    </w:p>
    <w:tbl>
      <w:tblPr>
        <w:tblW w:w="0" w:type="auto"/>
        <w:jc w:val="left"/>
        <w:tblInd w:w="580" w:type="dxa"/>
        <w:tblLayout w:type="fixed"/>
        <w:tblCellMar>
          <w:top w:w="0" w:type="dxa"/>
          <w:left w:w="0" w:type="dxa"/>
          <w:bottom w:w="0" w:type="dxa"/>
          <w:right w:w="0" w:type="dxa"/>
        </w:tblCellMar>
        <w:tblLook w:val="01E0"/>
      </w:tblPr>
      <w:tblGrid>
        <w:gridCol w:w="2974"/>
        <w:gridCol w:w="1983"/>
        <w:gridCol w:w="1884"/>
        <w:gridCol w:w="1899"/>
      </w:tblGrid>
      <w:tr>
        <w:trPr>
          <w:trHeight w:val="502" w:hRule="exact"/>
        </w:trPr>
        <w:tc>
          <w:tcPr>
            <w:tcW w:w="2974"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0"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5766"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490" w:hRule="exact"/>
        </w:trPr>
        <w:tc>
          <w:tcPr>
            <w:tcW w:w="2974" w:type="dxa"/>
            <w:vMerge/>
            <w:tcBorders>
              <w:left w:val="nil" w:sz="6" w:space="0" w:color="auto"/>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6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57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9"/>
              <w:ind w:left="32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Arial" w:hAnsi="Arial" w:cs="Arial" w:eastAsia="Arial" w:hint="default"/>
                <w:sz w:val="18"/>
                <w:szCs w:val="18"/>
              </w:rPr>
              <w:t>%</w:t>
            </w:r>
            <w:r>
              <w:rPr>
                <w:rFonts w:ascii="宋体" w:hAnsi="宋体" w:cs="宋体" w:eastAsia="宋体" w:hint="default"/>
                <w:sz w:val="18"/>
                <w:szCs w:val="18"/>
              </w:rPr>
              <w:t>）</w:t>
            </w:r>
          </w:p>
        </w:tc>
      </w:tr>
      <w:tr>
        <w:trPr>
          <w:trHeight w:val="490" w:hRule="exact"/>
        </w:trPr>
        <w:tc>
          <w:tcPr>
            <w:tcW w:w="2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18"/>
                <w:szCs w:val="18"/>
              </w:rPr>
            </w:pPr>
            <w:r>
              <w:rPr>
                <w:rFonts w:ascii="Arial"/>
                <w:spacing w:val="-1"/>
                <w:sz w:val="18"/>
              </w:rPr>
              <w:t>19,165,721.08</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7"/>
              <w:jc w:val="right"/>
              <w:rPr>
                <w:rFonts w:ascii="Arial" w:hAnsi="Arial" w:cs="Arial" w:eastAsia="Arial" w:hint="default"/>
                <w:sz w:val="18"/>
                <w:szCs w:val="18"/>
              </w:rPr>
            </w:pPr>
            <w:r>
              <w:rPr>
                <w:rFonts w:ascii="Arial"/>
                <w:spacing w:val="-1"/>
                <w:sz w:val="18"/>
              </w:rPr>
              <w:t>958,286.08</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4"/>
              <w:jc w:val="right"/>
              <w:rPr>
                <w:rFonts w:ascii="Arial" w:hAnsi="Arial" w:cs="Arial" w:eastAsia="Arial" w:hint="default"/>
                <w:sz w:val="18"/>
                <w:szCs w:val="18"/>
              </w:rPr>
            </w:pPr>
            <w:r>
              <w:rPr>
                <w:rFonts w:ascii="Arial"/>
                <w:w w:val="99"/>
                <w:sz w:val="18"/>
              </w:rPr>
              <w:t>5</w:t>
            </w:r>
            <w:r>
              <w:rPr>
                <w:rFonts w:ascii="Arial"/>
                <w:sz w:val="18"/>
              </w:rPr>
            </w:r>
          </w:p>
        </w:tc>
      </w:tr>
      <w:tr>
        <w:trPr>
          <w:trHeight w:val="490" w:hRule="exact"/>
        </w:trPr>
        <w:tc>
          <w:tcPr>
            <w:tcW w:w="2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18"/>
                <w:szCs w:val="18"/>
              </w:rPr>
            </w:pPr>
            <w:r>
              <w:rPr>
                <w:rFonts w:ascii="Arial"/>
                <w:spacing w:val="-2"/>
                <w:sz w:val="18"/>
              </w:rPr>
              <w:t>619,400.11</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7"/>
              <w:jc w:val="right"/>
              <w:rPr>
                <w:rFonts w:ascii="Arial" w:hAnsi="Arial" w:cs="Arial" w:eastAsia="Arial" w:hint="default"/>
                <w:sz w:val="18"/>
                <w:szCs w:val="18"/>
              </w:rPr>
            </w:pPr>
            <w:r>
              <w:rPr>
                <w:rFonts w:ascii="Arial"/>
                <w:spacing w:val="-1"/>
                <w:sz w:val="18"/>
              </w:rPr>
              <w:t>61,940.00</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w w:val="95"/>
                <w:sz w:val="18"/>
              </w:rPr>
              <w:t>10</w:t>
            </w:r>
            <w:r>
              <w:rPr>
                <w:rFonts w:ascii="Arial"/>
                <w:sz w:val="18"/>
              </w:rPr>
            </w:r>
          </w:p>
        </w:tc>
      </w:tr>
      <w:tr>
        <w:trPr>
          <w:trHeight w:val="493" w:hRule="exact"/>
        </w:trPr>
        <w:tc>
          <w:tcPr>
            <w:tcW w:w="2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2"/>
              <w:ind w:left="124" w:right="0"/>
              <w:jc w:val="left"/>
              <w:rPr>
                <w:rFonts w:ascii="宋体" w:hAnsi="宋体" w:cs="宋体" w:eastAsia="宋体" w:hint="default"/>
                <w:sz w:val="18"/>
                <w:szCs w:val="18"/>
              </w:rPr>
            </w:pPr>
            <w:r>
              <w:rPr>
                <w:rFonts w:ascii="Arial" w:hAnsi="Arial" w:cs="Arial" w:eastAsia="Arial" w:hint="default"/>
                <w:sz w:val="18"/>
                <w:szCs w:val="18"/>
              </w:rPr>
              <w:t>2-3</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18"/>
                <w:szCs w:val="18"/>
              </w:rPr>
            </w:pPr>
            <w:r>
              <w:rPr>
                <w:rFonts w:ascii="Arial"/>
                <w:spacing w:val="-1"/>
                <w:sz w:val="18"/>
              </w:rPr>
              <w:t>81,700.00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7"/>
              <w:jc w:val="right"/>
              <w:rPr>
                <w:rFonts w:ascii="Arial" w:hAnsi="Arial" w:cs="Arial" w:eastAsia="Arial" w:hint="default"/>
                <w:sz w:val="18"/>
                <w:szCs w:val="18"/>
              </w:rPr>
            </w:pPr>
            <w:r>
              <w:rPr>
                <w:rFonts w:ascii="Arial"/>
                <w:spacing w:val="-1"/>
                <w:sz w:val="18"/>
              </w:rPr>
              <w:t>24,510.00</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w w:val="95"/>
                <w:sz w:val="18"/>
              </w:rPr>
              <w:t>30</w:t>
            </w:r>
            <w:r>
              <w:rPr>
                <w:rFonts w:ascii="Arial"/>
                <w:sz w:val="18"/>
              </w:rPr>
            </w:r>
          </w:p>
        </w:tc>
      </w:tr>
      <w:tr>
        <w:trPr>
          <w:trHeight w:val="490" w:hRule="exact"/>
        </w:trPr>
        <w:tc>
          <w:tcPr>
            <w:tcW w:w="2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3-4</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18"/>
                <w:szCs w:val="18"/>
              </w:rPr>
            </w:pPr>
            <w:r>
              <w:rPr>
                <w:rFonts w:ascii="Arial"/>
                <w:spacing w:val="-1"/>
                <w:sz w:val="18"/>
              </w:rPr>
              <w:t>146,595.84</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7"/>
              <w:jc w:val="right"/>
              <w:rPr>
                <w:rFonts w:ascii="Arial" w:hAnsi="Arial" w:cs="Arial" w:eastAsia="Arial" w:hint="default"/>
                <w:sz w:val="18"/>
                <w:szCs w:val="18"/>
              </w:rPr>
            </w:pPr>
            <w:r>
              <w:rPr>
                <w:rFonts w:ascii="Arial"/>
                <w:spacing w:val="-1"/>
                <w:sz w:val="18"/>
              </w:rPr>
              <w:t>73,297.92</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w w:val="95"/>
                <w:sz w:val="18"/>
              </w:rPr>
              <w:t>50</w:t>
            </w:r>
            <w:r>
              <w:rPr>
                <w:rFonts w:ascii="Arial"/>
                <w:sz w:val="18"/>
              </w:rPr>
            </w:r>
          </w:p>
        </w:tc>
      </w:tr>
      <w:tr>
        <w:trPr>
          <w:trHeight w:val="490" w:hRule="exact"/>
        </w:trPr>
        <w:tc>
          <w:tcPr>
            <w:tcW w:w="2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4-5</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18"/>
                <w:szCs w:val="18"/>
              </w:rPr>
            </w:pPr>
            <w:r>
              <w:rPr>
                <w:rFonts w:ascii="Arial"/>
                <w:spacing w:val="-1"/>
                <w:sz w:val="18"/>
              </w:rPr>
              <w:t>46,990.06</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7"/>
              <w:jc w:val="right"/>
              <w:rPr>
                <w:rFonts w:ascii="Arial" w:hAnsi="Arial" w:cs="Arial" w:eastAsia="Arial" w:hint="default"/>
                <w:sz w:val="18"/>
                <w:szCs w:val="18"/>
              </w:rPr>
            </w:pPr>
            <w:r>
              <w:rPr>
                <w:rFonts w:ascii="Arial"/>
                <w:spacing w:val="-1"/>
                <w:sz w:val="18"/>
              </w:rPr>
              <w:t>37,592.05</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w w:val="95"/>
                <w:sz w:val="18"/>
              </w:rPr>
              <w:t>80</w:t>
            </w:r>
            <w:r>
              <w:rPr>
                <w:rFonts w:ascii="Arial"/>
                <w:sz w:val="18"/>
              </w:rPr>
            </w:r>
          </w:p>
        </w:tc>
      </w:tr>
      <w:tr>
        <w:trPr>
          <w:trHeight w:val="490" w:hRule="exact"/>
        </w:trPr>
        <w:tc>
          <w:tcPr>
            <w:tcW w:w="2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18"/>
                <w:szCs w:val="18"/>
              </w:rPr>
            </w:pPr>
            <w:r>
              <w:rPr>
                <w:rFonts w:ascii="Arial"/>
                <w:spacing w:val="-1"/>
                <w:sz w:val="18"/>
              </w:rPr>
              <w:t>388,825.56</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7"/>
              <w:jc w:val="right"/>
              <w:rPr>
                <w:rFonts w:ascii="Arial" w:hAnsi="Arial" w:cs="Arial" w:eastAsia="Arial" w:hint="default"/>
                <w:sz w:val="18"/>
                <w:szCs w:val="18"/>
              </w:rPr>
            </w:pPr>
            <w:r>
              <w:rPr>
                <w:rFonts w:ascii="Arial"/>
                <w:spacing w:val="-1"/>
                <w:sz w:val="18"/>
              </w:rPr>
              <w:t>388,825.56</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w w:val="95"/>
                <w:sz w:val="18"/>
              </w:rPr>
              <w:t>100</w:t>
            </w:r>
            <w:r>
              <w:rPr>
                <w:rFonts w:ascii="Arial"/>
                <w:sz w:val="18"/>
              </w:rPr>
            </w:r>
          </w:p>
        </w:tc>
      </w:tr>
      <w:tr>
        <w:trPr>
          <w:trHeight w:val="502" w:hRule="exact"/>
        </w:trPr>
        <w:tc>
          <w:tcPr>
            <w:tcW w:w="297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49"/>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18"/>
                <w:szCs w:val="18"/>
              </w:rPr>
            </w:pPr>
            <w:r>
              <w:rPr>
                <w:rFonts w:ascii="Arial"/>
                <w:spacing w:val="-1"/>
                <w:sz w:val="18"/>
              </w:rPr>
              <w:t>20,449,232.65</w:t>
            </w:r>
          </w:p>
        </w:tc>
        <w:tc>
          <w:tcPr>
            <w:tcW w:w="18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18"/>
                <w:szCs w:val="18"/>
              </w:rPr>
            </w:pPr>
            <w:r>
              <w:rPr>
                <w:rFonts w:ascii="Arial"/>
                <w:spacing w:val="-1"/>
                <w:sz w:val="18"/>
              </w:rPr>
              <w:t>1,544,451.61</w:t>
            </w:r>
          </w:p>
        </w:tc>
        <w:tc>
          <w:tcPr>
            <w:tcW w:w="1899" w:type="dxa"/>
            <w:tcBorders>
              <w:top w:val="single" w:sz="4" w:space="0" w:color="000000"/>
              <w:left w:val="single" w:sz="4" w:space="0" w:color="000000"/>
              <w:bottom w:val="single" w:sz="12" w:space="0" w:color="000000"/>
              <w:right w:val="nil" w:sz="6" w:space="0" w:color="auto"/>
            </w:tcBorders>
          </w:tcPr>
          <w:p>
            <w:pPr/>
          </w:p>
        </w:tc>
      </w:tr>
    </w:tbl>
    <w:p>
      <w:pPr>
        <w:spacing w:line="240" w:lineRule="auto" w:before="5"/>
        <w:rPr>
          <w:rFonts w:ascii="宋体" w:hAnsi="宋体" w:cs="宋体" w:eastAsia="宋体" w:hint="default"/>
          <w:sz w:val="5"/>
          <w:szCs w:val="5"/>
        </w:rPr>
      </w:pPr>
    </w:p>
    <w:p>
      <w:pPr>
        <w:pStyle w:val="BodyText"/>
        <w:spacing w:line="240" w:lineRule="auto" w:before="32"/>
        <w:ind w:left="592" w:right="1133"/>
        <w:jc w:val="left"/>
      </w:pPr>
      <w:r>
        <w:rPr/>
        <w:t>③其他应收款按账龄列示</w:t>
      </w:r>
    </w:p>
    <w:p>
      <w:pPr>
        <w:spacing w:line="240" w:lineRule="auto" w:before="11"/>
        <w:rPr>
          <w:rFonts w:ascii="宋体" w:hAnsi="宋体" w:cs="宋体" w:eastAsia="宋体" w:hint="default"/>
          <w:sz w:val="6"/>
          <w:szCs w:val="6"/>
        </w:rPr>
      </w:pPr>
    </w:p>
    <w:tbl>
      <w:tblPr>
        <w:tblW w:w="0" w:type="auto"/>
        <w:jc w:val="left"/>
        <w:tblInd w:w="580" w:type="dxa"/>
        <w:tblLayout w:type="fixed"/>
        <w:tblCellMar>
          <w:top w:w="0" w:type="dxa"/>
          <w:left w:w="0" w:type="dxa"/>
          <w:bottom w:w="0" w:type="dxa"/>
          <w:right w:w="0" w:type="dxa"/>
        </w:tblCellMar>
        <w:tblLook w:val="01E0"/>
      </w:tblPr>
      <w:tblGrid>
        <w:gridCol w:w="4520"/>
        <w:gridCol w:w="4220"/>
      </w:tblGrid>
      <w:tr>
        <w:trPr>
          <w:trHeight w:val="499" w:hRule="exact"/>
        </w:trPr>
        <w:tc>
          <w:tcPr>
            <w:tcW w:w="452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49"/>
              <w:ind w:left="20"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2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49"/>
              <w:ind w:right="3"/>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502" w:hRule="exact"/>
        </w:trPr>
        <w:tc>
          <w:tcPr>
            <w:tcW w:w="452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50"/>
              <w:ind w:left="124"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42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32,470,020.22</w:t>
            </w:r>
          </w:p>
        </w:tc>
      </w:tr>
    </w:tbl>
    <w:p>
      <w:pPr>
        <w:spacing w:after="0" w:line="240" w:lineRule="auto"/>
        <w:jc w:val="right"/>
        <w:rPr>
          <w:rFonts w:ascii="Arial" w:hAnsi="Arial" w:cs="Arial" w:eastAsia="Arial"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580" w:type="dxa"/>
        <w:tblLayout w:type="fixed"/>
        <w:tblCellMar>
          <w:top w:w="0" w:type="dxa"/>
          <w:left w:w="0" w:type="dxa"/>
          <w:bottom w:w="0" w:type="dxa"/>
          <w:right w:w="0" w:type="dxa"/>
        </w:tblCellMar>
        <w:tblLook w:val="01E0"/>
      </w:tblPr>
      <w:tblGrid>
        <w:gridCol w:w="4520"/>
        <w:gridCol w:w="4220"/>
      </w:tblGrid>
      <w:tr>
        <w:trPr>
          <w:trHeight w:val="502" w:hRule="exact"/>
        </w:trPr>
        <w:tc>
          <w:tcPr>
            <w:tcW w:w="452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2"/>
              <w:ind w:left="124"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422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4,825,082.28</w:t>
            </w:r>
          </w:p>
        </w:tc>
      </w:tr>
      <w:tr>
        <w:trPr>
          <w:trHeight w:val="490" w:hRule="exact"/>
        </w:trPr>
        <w:tc>
          <w:tcPr>
            <w:tcW w:w="4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2-3</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4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5,257,988.91</w:t>
            </w:r>
          </w:p>
        </w:tc>
      </w:tr>
      <w:tr>
        <w:trPr>
          <w:trHeight w:val="490" w:hRule="exact"/>
        </w:trPr>
        <w:tc>
          <w:tcPr>
            <w:tcW w:w="4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3-4</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4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2"/>
                <w:sz w:val="18"/>
              </w:rPr>
              <w:t>428,118.44</w:t>
            </w:r>
          </w:p>
        </w:tc>
      </w:tr>
      <w:tr>
        <w:trPr>
          <w:trHeight w:val="490" w:hRule="exact"/>
        </w:trPr>
        <w:tc>
          <w:tcPr>
            <w:tcW w:w="4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4-5</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4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46,990.06</w:t>
            </w:r>
          </w:p>
        </w:tc>
      </w:tr>
      <w:tr>
        <w:trPr>
          <w:trHeight w:val="490" w:hRule="exact"/>
        </w:trPr>
        <w:tc>
          <w:tcPr>
            <w:tcW w:w="4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4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3,638,586.01</w:t>
            </w:r>
          </w:p>
        </w:tc>
      </w:tr>
      <w:tr>
        <w:trPr>
          <w:trHeight w:val="502" w:hRule="exact"/>
        </w:trPr>
        <w:tc>
          <w:tcPr>
            <w:tcW w:w="4520" w:type="dxa"/>
            <w:tcBorders>
              <w:top w:val="single" w:sz="4" w:space="0" w:color="000000"/>
              <w:left w:val="nil" w:sz="6" w:space="0" w:color="auto"/>
              <w:bottom w:val="single" w:sz="6" w:space="0" w:color="000000"/>
              <w:right w:val="single" w:sz="4" w:space="0" w:color="000000"/>
            </w:tcBorders>
          </w:tcPr>
          <w:p>
            <w:pPr>
              <w:pStyle w:val="TableParagraph"/>
              <w:spacing w:line="240" w:lineRule="auto" w:before="135"/>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2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46,666,785.92</w:t>
            </w:r>
          </w:p>
        </w:tc>
      </w:tr>
    </w:tbl>
    <w:p>
      <w:pPr>
        <w:spacing w:line="240" w:lineRule="auto" w:before="5"/>
        <w:rPr>
          <w:rFonts w:ascii="宋体" w:hAnsi="宋体" w:cs="宋体" w:eastAsia="宋体" w:hint="default"/>
          <w:sz w:val="5"/>
          <w:szCs w:val="5"/>
        </w:rPr>
      </w:pPr>
    </w:p>
    <w:p>
      <w:pPr>
        <w:pStyle w:val="BodyText"/>
        <w:spacing w:line="240" w:lineRule="auto" w:before="32"/>
        <w:ind w:left="592" w:right="1133"/>
        <w:jc w:val="left"/>
      </w:pPr>
      <w:r>
        <w:rPr/>
        <w:t>④其他应收款坏账准备情况</w:t>
      </w:r>
    </w:p>
    <w:p>
      <w:pPr>
        <w:spacing w:line="240" w:lineRule="auto" w:before="11"/>
        <w:rPr>
          <w:rFonts w:ascii="宋体" w:hAnsi="宋体" w:cs="宋体" w:eastAsia="宋体" w:hint="default"/>
          <w:sz w:val="6"/>
          <w:szCs w:val="6"/>
        </w:rPr>
      </w:pPr>
    </w:p>
    <w:tbl>
      <w:tblPr>
        <w:tblW w:w="0" w:type="auto"/>
        <w:jc w:val="left"/>
        <w:tblInd w:w="580" w:type="dxa"/>
        <w:tblLayout w:type="fixed"/>
        <w:tblCellMar>
          <w:top w:w="0" w:type="dxa"/>
          <w:left w:w="0" w:type="dxa"/>
          <w:bottom w:w="0" w:type="dxa"/>
          <w:right w:w="0" w:type="dxa"/>
        </w:tblCellMar>
        <w:tblLook w:val="01E0"/>
      </w:tblPr>
      <w:tblGrid>
        <w:gridCol w:w="1423"/>
        <w:gridCol w:w="1409"/>
        <w:gridCol w:w="1440"/>
        <w:gridCol w:w="1443"/>
        <w:gridCol w:w="1440"/>
        <w:gridCol w:w="1584"/>
      </w:tblGrid>
      <w:tr>
        <w:trPr>
          <w:trHeight w:val="497" w:hRule="exact"/>
        </w:trPr>
        <w:tc>
          <w:tcPr>
            <w:tcW w:w="1423"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1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409"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343"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4323"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本年变动金额</w:t>
            </w:r>
          </w:p>
        </w:tc>
        <w:tc>
          <w:tcPr>
            <w:tcW w:w="1584" w:type="dxa"/>
            <w:vMerge w:val="restart"/>
            <w:tcBorders>
              <w:top w:val="single" w:sz="1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432"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485" w:hRule="exact"/>
        </w:trPr>
        <w:tc>
          <w:tcPr>
            <w:tcW w:w="1423" w:type="dxa"/>
            <w:vMerge/>
            <w:tcBorders>
              <w:left w:val="nil" w:sz="6" w:space="0" w:color="auto"/>
              <w:bottom w:val="single" w:sz="2" w:space="0" w:color="000000"/>
              <w:right w:val="single" w:sz="2" w:space="0" w:color="000000"/>
            </w:tcBorders>
          </w:tcPr>
          <w:p>
            <w:pPr/>
          </w:p>
        </w:tc>
        <w:tc>
          <w:tcPr>
            <w:tcW w:w="1409" w:type="dxa"/>
            <w:vMerge/>
            <w:tcBorders>
              <w:left w:val="single" w:sz="2" w:space="0" w:color="000000"/>
              <w:bottom w:val="single" w:sz="2" w:space="0" w:color="000000"/>
              <w:right w:val="single" w:sz="2" w:space="0" w:color="000000"/>
            </w:tcBorders>
          </w:tcPr>
          <w:p>
            <w:pP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4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26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266" w:right="0"/>
              <w:jc w:val="left"/>
              <w:rPr>
                <w:rFonts w:ascii="宋体" w:hAnsi="宋体" w:cs="宋体" w:eastAsia="宋体" w:hint="default"/>
                <w:sz w:val="18"/>
                <w:szCs w:val="18"/>
              </w:rPr>
            </w:pPr>
            <w:r>
              <w:rPr>
                <w:rFonts w:ascii="宋体" w:hAnsi="宋体" w:cs="宋体" w:eastAsia="宋体" w:hint="default"/>
                <w:sz w:val="18"/>
                <w:szCs w:val="18"/>
              </w:rPr>
              <w:t>转销或核销</w:t>
            </w:r>
          </w:p>
        </w:tc>
        <w:tc>
          <w:tcPr>
            <w:tcW w:w="1584" w:type="dxa"/>
            <w:vMerge/>
            <w:tcBorders>
              <w:left w:val="single" w:sz="2" w:space="0" w:color="000000"/>
              <w:bottom w:val="single" w:sz="2" w:space="0" w:color="000000"/>
              <w:right w:val="nil" w:sz="6" w:space="0" w:color="auto"/>
            </w:tcBorders>
          </w:tcPr>
          <w:p>
            <w:pPr/>
          </w:p>
        </w:tc>
      </w:tr>
      <w:tr>
        <w:trPr>
          <w:trHeight w:val="487" w:hRule="exact"/>
        </w:trPr>
        <w:tc>
          <w:tcPr>
            <w:tcW w:w="14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2"/>
              <w:ind w:right="573"/>
              <w:jc w:val="right"/>
              <w:rPr>
                <w:rFonts w:ascii="宋体" w:hAnsi="宋体" w:cs="宋体" w:eastAsia="宋体" w:hint="default"/>
                <w:sz w:val="18"/>
                <w:szCs w:val="18"/>
              </w:rPr>
            </w:pPr>
            <w:r>
              <w:rPr>
                <w:rFonts w:ascii="宋体" w:hAnsi="宋体" w:cs="宋体" w:eastAsia="宋体" w:hint="default"/>
                <w:sz w:val="18"/>
                <w:szCs w:val="18"/>
              </w:rPr>
              <w:t>坏账准备</w:t>
            </w:r>
          </w:p>
        </w:tc>
        <w:tc>
          <w:tcPr>
            <w:tcW w:w="14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2,032,550.44</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266,879.82</w:t>
            </w:r>
          </w:p>
        </w:tc>
        <w:tc>
          <w:tcPr>
            <w:tcW w:w="1443" w:type="dxa"/>
            <w:tcBorders>
              <w:top w:val="single" w:sz="2" w:space="0" w:color="000000"/>
              <w:left w:val="single" w:sz="2" w:space="0" w:color="000000"/>
              <w:bottom w:val="single" w:sz="2" w:space="0" w:color="000000"/>
              <w:right w:val="single" w:sz="2" w:space="0" w:color="000000"/>
            </w:tcBorders>
          </w:tcPr>
          <w:p>
            <w:pPr/>
          </w:p>
        </w:tc>
        <w:tc>
          <w:tcPr>
            <w:tcW w:w="1440" w:type="dxa"/>
            <w:tcBorders>
              <w:top w:val="single" w:sz="2" w:space="0" w:color="000000"/>
              <w:left w:val="single" w:sz="2" w:space="0" w:color="000000"/>
              <w:bottom w:val="single" w:sz="2" w:space="0" w:color="000000"/>
              <w:right w:val="single" w:sz="2" w:space="0" w:color="000000"/>
            </w:tcBorders>
          </w:tcPr>
          <w:p>
            <w:pPr/>
          </w:p>
        </w:tc>
        <w:tc>
          <w:tcPr>
            <w:tcW w:w="15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2,299,430.26</w:t>
            </w:r>
          </w:p>
        </w:tc>
      </w:tr>
      <w:tr>
        <w:trPr>
          <w:trHeight w:val="497" w:hRule="exact"/>
        </w:trPr>
        <w:tc>
          <w:tcPr>
            <w:tcW w:w="142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right="518"/>
              <w:jc w:val="right"/>
              <w:rPr>
                <w:rFonts w:ascii="宋体" w:hAnsi="宋体" w:cs="宋体" w:eastAsia="宋体" w:hint="default"/>
                <w:sz w:val="18"/>
                <w:szCs w:val="18"/>
              </w:rPr>
            </w:pPr>
            <w:r>
              <w:rPr>
                <w:rFonts w:ascii="宋体" w:hAnsi="宋体" w:cs="宋体" w:eastAsia="宋体" w:hint="default"/>
                <w:sz w:val="18"/>
                <w:szCs w:val="18"/>
              </w:rPr>
              <w:t>合计</w:t>
            </w:r>
          </w:p>
        </w:tc>
        <w:tc>
          <w:tcPr>
            <w:tcW w:w="140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2,032,550.44</w:t>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266,879.82</w:t>
            </w:r>
          </w:p>
        </w:tc>
        <w:tc>
          <w:tcPr>
            <w:tcW w:w="1443" w:type="dxa"/>
            <w:tcBorders>
              <w:top w:val="single" w:sz="2" w:space="0" w:color="000000"/>
              <w:left w:val="single" w:sz="2" w:space="0" w:color="000000"/>
              <w:bottom w:val="single" w:sz="12" w:space="0" w:color="000000"/>
              <w:right w:val="single" w:sz="2" w:space="0" w:color="000000"/>
            </w:tcBorders>
          </w:tcPr>
          <w:p>
            <w:pPr/>
          </w:p>
        </w:tc>
        <w:tc>
          <w:tcPr>
            <w:tcW w:w="1440" w:type="dxa"/>
            <w:tcBorders>
              <w:top w:val="single" w:sz="2" w:space="0" w:color="000000"/>
              <w:left w:val="single" w:sz="2" w:space="0" w:color="000000"/>
              <w:bottom w:val="single" w:sz="12" w:space="0" w:color="000000"/>
              <w:right w:val="single" w:sz="2" w:space="0" w:color="000000"/>
            </w:tcBorders>
          </w:tcPr>
          <w:p>
            <w:pPr/>
          </w:p>
        </w:tc>
        <w:tc>
          <w:tcPr>
            <w:tcW w:w="158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2,299,430.26</w:t>
            </w:r>
          </w:p>
        </w:tc>
      </w:tr>
    </w:tbl>
    <w:p>
      <w:pPr>
        <w:spacing w:line="240" w:lineRule="auto" w:before="5"/>
        <w:rPr>
          <w:rFonts w:ascii="宋体" w:hAnsi="宋体" w:cs="宋体" w:eastAsia="宋体" w:hint="default"/>
          <w:sz w:val="5"/>
          <w:szCs w:val="5"/>
        </w:rPr>
      </w:pPr>
    </w:p>
    <w:p>
      <w:pPr>
        <w:pStyle w:val="BodyText"/>
        <w:spacing w:line="240" w:lineRule="auto" w:before="32"/>
        <w:ind w:left="592" w:right="1133"/>
        <w:jc w:val="left"/>
      </w:pPr>
      <w:r>
        <w:rPr/>
        <w:t>⑤按欠款方归集的年末余额前五名的其他应收款情况</w:t>
      </w:r>
    </w:p>
    <w:p>
      <w:pPr>
        <w:spacing w:line="240" w:lineRule="auto" w:before="11"/>
        <w:rPr>
          <w:rFonts w:ascii="宋体" w:hAnsi="宋体" w:cs="宋体" w:eastAsia="宋体" w:hint="default"/>
          <w:sz w:val="6"/>
          <w:szCs w:val="6"/>
        </w:rPr>
      </w:pPr>
    </w:p>
    <w:tbl>
      <w:tblPr>
        <w:tblW w:w="0" w:type="auto"/>
        <w:jc w:val="left"/>
        <w:tblInd w:w="494" w:type="dxa"/>
        <w:tblLayout w:type="fixed"/>
        <w:tblCellMar>
          <w:top w:w="0" w:type="dxa"/>
          <w:left w:w="0" w:type="dxa"/>
          <w:bottom w:w="0" w:type="dxa"/>
          <w:right w:w="0" w:type="dxa"/>
        </w:tblCellMar>
        <w:tblLook w:val="01E0"/>
      </w:tblPr>
      <w:tblGrid>
        <w:gridCol w:w="2763"/>
        <w:gridCol w:w="905"/>
        <w:gridCol w:w="1416"/>
        <w:gridCol w:w="994"/>
        <w:gridCol w:w="1443"/>
        <w:gridCol w:w="1392"/>
      </w:tblGrid>
      <w:tr>
        <w:trPr>
          <w:trHeight w:val="1299" w:hRule="exact"/>
        </w:trPr>
        <w:tc>
          <w:tcPr>
            <w:tcW w:w="2763"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90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405" w:lineRule="auto"/>
              <w:ind w:left="359" w:right="179" w:hanging="180"/>
              <w:jc w:val="left"/>
              <w:rPr>
                <w:rFonts w:ascii="宋体" w:hAnsi="宋体" w:cs="宋体" w:eastAsia="宋体" w:hint="default"/>
                <w:sz w:val="18"/>
                <w:szCs w:val="18"/>
              </w:rPr>
            </w:pPr>
            <w:r>
              <w:rPr>
                <w:rFonts w:ascii="宋体" w:hAnsi="宋体" w:cs="宋体" w:eastAsia="宋体" w:hint="default"/>
                <w:sz w:val="18"/>
                <w:szCs w:val="18"/>
              </w:rPr>
              <w:t>款项性 质</w:t>
            </w:r>
          </w:p>
        </w:tc>
        <w:tc>
          <w:tcPr>
            <w:tcW w:w="14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99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443" w:type="dxa"/>
            <w:tcBorders>
              <w:top w:val="single" w:sz="12" w:space="0" w:color="000000"/>
              <w:left w:val="single" w:sz="2" w:space="0" w:color="000000"/>
              <w:bottom w:val="single" w:sz="2" w:space="0" w:color="000000"/>
              <w:right w:val="single" w:sz="2" w:space="0" w:color="000000"/>
            </w:tcBorders>
          </w:tcPr>
          <w:p>
            <w:pPr>
              <w:pStyle w:val="TableParagraph"/>
              <w:spacing w:line="405" w:lineRule="auto" w:before="152"/>
              <w:ind w:left="180" w:right="176"/>
              <w:jc w:val="left"/>
              <w:rPr>
                <w:rFonts w:ascii="宋体" w:hAnsi="宋体" w:cs="宋体" w:eastAsia="宋体" w:hint="default"/>
                <w:sz w:val="18"/>
                <w:szCs w:val="18"/>
              </w:rPr>
            </w:pPr>
            <w:r>
              <w:rPr>
                <w:rFonts w:ascii="宋体" w:hAnsi="宋体" w:cs="宋体" w:eastAsia="宋体" w:hint="default"/>
                <w:sz w:val="18"/>
                <w:szCs w:val="18"/>
              </w:rPr>
              <w:t>占其他应收款 年末余额合计</w:t>
            </w:r>
          </w:p>
          <w:p>
            <w:pPr>
              <w:pStyle w:val="TableParagraph"/>
              <w:spacing w:line="240" w:lineRule="auto" w:before="41"/>
              <w:ind w:left="220" w:right="0"/>
              <w:jc w:val="left"/>
              <w:rPr>
                <w:rFonts w:ascii="Arial" w:hAnsi="Arial" w:cs="Arial" w:eastAsia="Arial" w:hint="default"/>
                <w:sz w:val="18"/>
                <w:szCs w:val="18"/>
              </w:rPr>
            </w:pPr>
            <w:r>
              <w:rPr>
                <w:rFonts w:ascii="宋体" w:hAnsi="宋体" w:cs="宋体" w:eastAsia="宋体" w:hint="default"/>
                <w:sz w:val="18"/>
                <w:szCs w:val="18"/>
              </w:rPr>
              <w:t>数的比例</w:t>
            </w:r>
            <w:r>
              <w:rPr>
                <w:rFonts w:ascii="Arial" w:hAnsi="Arial" w:cs="Arial" w:eastAsia="Arial" w:hint="default"/>
                <w:sz w:val="18"/>
                <w:szCs w:val="18"/>
              </w:rPr>
              <w:t>(%)</w:t>
            </w:r>
          </w:p>
        </w:tc>
        <w:tc>
          <w:tcPr>
            <w:tcW w:w="139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405" w:lineRule="auto"/>
              <w:ind w:left="516" w:right="151" w:hanging="360"/>
              <w:jc w:val="left"/>
              <w:rPr>
                <w:rFonts w:ascii="宋体" w:hAnsi="宋体" w:cs="宋体" w:eastAsia="宋体" w:hint="default"/>
                <w:sz w:val="18"/>
                <w:szCs w:val="18"/>
              </w:rPr>
            </w:pPr>
            <w:r>
              <w:rPr>
                <w:rFonts w:ascii="宋体" w:hAnsi="宋体" w:cs="宋体" w:eastAsia="宋体" w:hint="default"/>
                <w:sz w:val="18"/>
                <w:szCs w:val="18"/>
              </w:rPr>
              <w:t>坏账准备年末 余额</w:t>
            </w:r>
          </w:p>
        </w:tc>
      </w:tr>
      <w:tr>
        <w:trPr>
          <w:trHeight w:val="485" w:hRule="exact"/>
        </w:trPr>
        <w:tc>
          <w:tcPr>
            <w:tcW w:w="27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9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16,020,000.00</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4"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4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w w:val="95"/>
                <w:sz w:val="18"/>
              </w:rPr>
              <w:t>34.33</w:t>
            </w:r>
            <w:r>
              <w:rPr>
                <w:rFonts w:ascii="Arial"/>
                <w:sz w:val="18"/>
              </w:rPr>
            </w:r>
          </w:p>
        </w:tc>
        <w:tc>
          <w:tcPr>
            <w:tcW w:w="13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801,000.00</w:t>
            </w:r>
          </w:p>
        </w:tc>
      </w:tr>
      <w:tr>
        <w:trPr>
          <w:trHeight w:val="485" w:hRule="exact"/>
        </w:trPr>
        <w:tc>
          <w:tcPr>
            <w:tcW w:w="27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9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13,174,365.80</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7" w:right="0"/>
              <w:jc w:val="center"/>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4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w w:val="95"/>
                <w:sz w:val="18"/>
              </w:rPr>
              <w:t>28.23</w:t>
            </w:r>
            <w:r>
              <w:rPr>
                <w:rFonts w:ascii="Arial"/>
                <w:sz w:val="18"/>
              </w:rPr>
            </w:r>
          </w:p>
        </w:tc>
        <w:tc>
          <w:tcPr>
            <w:tcW w:w="13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395,230.98</w:t>
            </w:r>
          </w:p>
        </w:tc>
      </w:tr>
      <w:tr>
        <w:trPr>
          <w:trHeight w:val="485" w:hRule="exact"/>
        </w:trPr>
        <w:tc>
          <w:tcPr>
            <w:tcW w:w="27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9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3,198,162.45</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4" w:right="0"/>
              <w:jc w:val="center"/>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14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w w:val="95"/>
                <w:sz w:val="18"/>
              </w:rPr>
              <w:t>6.85</w:t>
            </w:r>
            <w:r>
              <w:rPr>
                <w:rFonts w:ascii="Arial"/>
                <w:sz w:val="18"/>
              </w:rPr>
            </w:r>
          </w:p>
        </w:tc>
        <w:tc>
          <w:tcPr>
            <w:tcW w:w="13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95,944.87</w:t>
            </w:r>
          </w:p>
        </w:tc>
      </w:tr>
      <w:tr>
        <w:trPr>
          <w:trHeight w:val="485" w:hRule="exact"/>
        </w:trPr>
        <w:tc>
          <w:tcPr>
            <w:tcW w:w="27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9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2,898,721.20</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7" w:right="0"/>
              <w:jc w:val="center"/>
              <w:rPr>
                <w:rFonts w:ascii="宋体" w:hAnsi="宋体" w:cs="宋体" w:eastAsia="宋体" w:hint="default"/>
                <w:sz w:val="18"/>
                <w:szCs w:val="18"/>
              </w:rPr>
            </w:pPr>
            <w:r>
              <w:rPr>
                <w:rFonts w:ascii="Arial" w:hAnsi="Arial" w:cs="Arial" w:eastAsia="Arial" w:hint="default"/>
                <w:sz w:val="18"/>
                <w:szCs w:val="18"/>
              </w:rPr>
              <w:t>2-3</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4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w w:val="95"/>
                <w:sz w:val="18"/>
              </w:rPr>
              <w:t>6.21</w:t>
            </w:r>
            <w:r>
              <w:rPr>
                <w:rFonts w:ascii="Arial"/>
                <w:sz w:val="18"/>
              </w:rPr>
            </w:r>
          </w:p>
        </w:tc>
        <w:tc>
          <w:tcPr>
            <w:tcW w:w="13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86,961.64</w:t>
            </w:r>
          </w:p>
        </w:tc>
      </w:tr>
      <w:tr>
        <w:trPr>
          <w:trHeight w:val="485" w:hRule="exact"/>
        </w:trPr>
        <w:tc>
          <w:tcPr>
            <w:tcW w:w="27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9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1,644,738.00</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4"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4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Arial" w:hAnsi="Arial" w:cs="Arial" w:eastAsia="Arial" w:hint="default"/>
                <w:sz w:val="18"/>
                <w:szCs w:val="18"/>
              </w:rPr>
            </w:pPr>
            <w:r>
              <w:rPr>
                <w:rFonts w:ascii="Arial"/>
                <w:sz w:val="18"/>
              </w:rPr>
              <w:t>3.53</w:t>
            </w:r>
          </w:p>
        </w:tc>
        <w:tc>
          <w:tcPr>
            <w:tcW w:w="13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49,342.14</w:t>
            </w:r>
          </w:p>
        </w:tc>
      </w:tr>
      <w:tr>
        <w:trPr>
          <w:trHeight w:val="500" w:hRule="exact"/>
        </w:trPr>
        <w:tc>
          <w:tcPr>
            <w:tcW w:w="276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50"/>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0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18"/>
                <w:szCs w:val="18"/>
              </w:rPr>
            </w:pPr>
            <w:r>
              <w:rPr>
                <w:rFonts w:ascii="Arial" w:hAnsi="Arial" w:cs="Arial" w:eastAsia="Arial" w:hint="default"/>
                <w:sz w:val="18"/>
                <w:szCs w:val="18"/>
              </w:rPr>
              <w:t>—</w:t>
            </w: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36,935,987.45</w:t>
            </w:r>
          </w:p>
        </w:tc>
        <w:tc>
          <w:tcPr>
            <w:tcW w:w="9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 w:right="0"/>
              <w:jc w:val="center"/>
              <w:rPr>
                <w:rFonts w:ascii="Arial" w:hAnsi="Arial" w:cs="Arial" w:eastAsia="Arial" w:hint="default"/>
                <w:sz w:val="18"/>
                <w:szCs w:val="18"/>
              </w:rPr>
            </w:pPr>
            <w:r>
              <w:rPr>
                <w:rFonts w:ascii="Arial" w:hAnsi="Arial" w:cs="Arial" w:eastAsia="Arial" w:hint="default"/>
                <w:sz w:val="18"/>
                <w:szCs w:val="18"/>
              </w:rPr>
              <w:t>—</w:t>
            </w:r>
          </w:p>
        </w:tc>
        <w:tc>
          <w:tcPr>
            <w:tcW w:w="14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9"/>
              <w:jc w:val="right"/>
              <w:rPr>
                <w:rFonts w:ascii="Arial" w:hAnsi="Arial" w:cs="Arial" w:eastAsia="Arial" w:hint="default"/>
                <w:sz w:val="18"/>
                <w:szCs w:val="18"/>
              </w:rPr>
            </w:pPr>
            <w:r>
              <w:rPr>
                <w:rFonts w:ascii="Arial"/>
                <w:sz w:val="18"/>
              </w:rPr>
              <w:t>79.15</w:t>
            </w:r>
          </w:p>
        </w:tc>
        <w:tc>
          <w:tcPr>
            <w:tcW w:w="139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1,428,479.63</w:t>
            </w:r>
          </w:p>
        </w:tc>
      </w:tr>
    </w:tbl>
    <w:p>
      <w:pPr>
        <w:pStyle w:val="Heading4"/>
        <w:spacing w:line="240" w:lineRule="auto"/>
        <w:ind w:left="647" w:right="1133"/>
        <w:jc w:val="left"/>
        <w:rPr>
          <w:b w:val="0"/>
          <w:bCs w:val="0"/>
        </w:rPr>
      </w:pPr>
      <w:r>
        <w:rPr>
          <w:rFonts w:ascii="Arial" w:hAnsi="Arial" w:cs="Arial" w:eastAsia="Arial" w:hint="default"/>
        </w:rPr>
        <w:t>3</w:t>
      </w:r>
      <w:r>
        <w:rPr/>
        <w:t>、长期股权投资</w:t>
      </w:r>
      <w:r>
        <w:rPr>
          <w:b w:val="0"/>
          <w:bCs w:val="0"/>
        </w:rPr>
      </w:r>
    </w:p>
    <w:p>
      <w:pPr>
        <w:pStyle w:val="BodyText"/>
        <w:spacing w:line="240" w:lineRule="auto" w:before="138"/>
        <w:ind w:left="592" w:right="1133"/>
        <w:jc w:val="left"/>
      </w:pPr>
      <w:r>
        <w:rPr/>
        <w:t>（</w:t>
      </w:r>
      <w:r>
        <w:rPr>
          <w:rFonts w:ascii="Arial" w:hAnsi="Arial" w:cs="Arial" w:eastAsia="Arial" w:hint="default"/>
        </w:rPr>
        <w:t>1</w:t>
      </w:r>
      <w:r>
        <w:rPr/>
        <w:t>）长期股权投资分类</w:t>
      </w:r>
    </w:p>
    <w:p>
      <w:pPr>
        <w:spacing w:line="240" w:lineRule="auto" w:before="8"/>
        <w:rPr>
          <w:rFonts w:ascii="宋体" w:hAnsi="宋体" w:cs="宋体" w:eastAsia="宋体" w:hint="default"/>
          <w:sz w:val="5"/>
          <w:szCs w:val="5"/>
        </w:rPr>
      </w:pPr>
    </w:p>
    <w:tbl>
      <w:tblPr>
        <w:tblW w:w="0" w:type="auto"/>
        <w:jc w:val="left"/>
        <w:tblInd w:w="580" w:type="dxa"/>
        <w:tblLayout w:type="fixed"/>
        <w:tblCellMar>
          <w:top w:w="0" w:type="dxa"/>
          <w:left w:w="0" w:type="dxa"/>
          <w:bottom w:w="0" w:type="dxa"/>
          <w:right w:w="0" w:type="dxa"/>
        </w:tblCellMar>
        <w:tblLook w:val="01E0"/>
      </w:tblPr>
      <w:tblGrid>
        <w:gridCol w:w="1526"/>
        <w:gridCol w:w="1575"/>
        <w:gridCol w:w="600"/>
        <w:gridCol w:w="1469"/>
        <w:gridCol w:w="1466"/>
        <w:gridCol w:w="634"/>
        <w:gridCol w:w="1469"/>
      </w:tblGrid>
      <w:tr>
        <w:trPr>
          <w:trHeight w:val="415" w:hRule="exact"/>
        </w:trPr>
        <w:tc>
          <w:tcPr>
            <w:tcW w:w="1526"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44"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3569"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708" w:hRule="exact"/>
        </w:trPr>
        <w:tc>
          <w:tcPr>
            <w:tcW w:w="1526" w:type="dxa"/>
            <w:vMerge/>
            <w:tcBorders>
              <w:left w:val="nil" w:sz="6" w:space="0" w:color="auto"/>
              <w:bottom w:val="single" w:sz="2" w:space="0" w:color="000000"/>
              <w:right w:val="single" w:sz="2" w:space="0" w:color="000000"/>
            </w:tcBorders>
          </w:tcPr>
          <w:p>
            <w:pPr/>
          </w:p>
        </w:tc>
        <w:tc>
          <w:tcPr>
            <w:tcW w:w="15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600" w:type="dxa"/>
            <w:tcBorders>
              <w:top w:val="single" w:sz="2" w:space="0" w:color="000000"/>
              <w:left w:val="single" w:sz="2" w:space="0" w:color="000000"/>
              <w:bottom w:val="single" w:sz="2" w:space="0" w:color="000000"/>
              <w:right w:val="single" w:sz="2" w:space="0" w:color="000000"/>
            </w:tcBorders>
          </w:tcPr>
          <w:p>
            <w:pPr>
              <w:pStyle w:val="TableParagraph"/>
              <w:spacing w:line="314" w:lineRule="auto" w:before="49"/>
              <w:ind w:left="117" w:right="115"/>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7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634" w:type="dxa"/>
            <w:tcBorders>
              <w:top w:val="single" w:sz="2" w:space="0" w:color="000000"/>
              <w:left w:val="single" w:sz="2" w:space="0" w:color="000000"/>
              <w:bottom w:val="single" w:sz="2" w:space="0" w:color="000000"/>
              <w:right w:val="single" w:sz="2" w:space="0" w:color="000000"/>
            </w:tcBorders>
          </w:tcPr>
          <w:p>
            <w:pPr>
              <w:pStyle w:val="TableParagraph"/>
              <w:spacing w:line="314" w:lineRule="auto" w:before="49"/>
              <w:ind w:left="136" w:right="130"/>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4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7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85" w:hRule="exact"/>
        </w:trPr>
        <w:tc>
          <w:tcPr>
            <w:tcW w:w="1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5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154,629,567.52</w:t>
            </w:r>
          </w:p>
        </w:tc>
        <w:tc>
          <w:tcPr>
            <w:tcW w:w="600" w:type="dxa"/>
            <w:tcBorders>
              <w:top w:val="single" w:sz="2" w:space="0" w:color="000000"/>
              <w:left w:val="single" w:sz="2" w:space="0" w:color="000000"/>
              <w:bottom w:val="single" w:sz="2" w:space="0" w:color="000000"/>
              <w:right w:val="single" w:sz="2" w:space="0" w:color="000000"/>
            </w:tcBorders>
          </w:tcPr>
          <w:p>
            <w:pP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154,629,567.52</w:t>
            </w:r>
          </w:p>
        </w:tc>
        <w:tc>
          <w:tcPr>
            <w:tcW w:w="14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158,320,388.31</w:t>
            </w:r>
          </w:p>
        </w:tc>
        <w:tc>
          <w:tcPr>
            <w:tcW w:w="634" w:type="dxa"/>
            <w:tcBorders>
              <w:top w:val="single" w:sz="2" w:space="0" w:color="000000"/>
              <w:left w:val="single" w:sz="2" w:space="0" w:color="000000"/>
              <w:bottom w:val="single" w:sz="2" w:space="0" w:color="000000"/>
              <w:right w:val="single" w:sz="2" w:space="0" w:color="000000"/>
            </w:tcBorders>
          </w:tcPr>
          <w:p>
            <w:pPr/>
          </w:p>
        </w:tc>
        <w:tc>
          <w:tcPr>
            <w:tcW w:w="14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158,320,388.31</w:t>
            </w:r>
          </w:p>
        </w:tc>
      </w:tr>
      <w:tr>
        <w:trPr>
          <w:trHeight w:val="485" w:hRule="exact"/>
        </w:trPr>
        <w:tc>
          <w:tcPr>
            <w:tcW w:w="1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对合营企业投资</w:t>
            </w:r>
          </w:p>
        </w:tc>
        <w:tc>
          <w:tcPr>
            <w:tcW w:w="15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5,725,060.38</w:t>
            </w:r>
          </w:p>
        </w:tc>
        <w:tc>
          <w:tcPr>
            <w:tcW w:w="600" w:type="dxa"/>
            <w:tcBorders>
              <w:top w:val="single" w:sz="2" w:space="0" w:color="000000"/>
              <w:left w:val="single" w:sz="2" w:space="0" w:color="000000"/>
              <w:bottom w:val="single" w:sz="2" w:space="0" w:color="000000"/>
              <w:right w:val="single" w:sz="2" w:space="0" w:color="000000"/>
            </w:tcBorders>
          </w:tcPr>
          <w:p>
            <w:pP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5,725,060.38</w:t>
            </w:r>
          </w:p>
        </w:tc>
        <w:tc>
          <w:tcPr>
            <w:tcW w:w="14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7,045,649.21</w:t>
            </w:r>
          </w:p>
        </w:tc>
        <w:tc>
          <w:tcPr>
            <w:tcW w:w="634" w:type="dxa"/>
            <w:tcBorders>
              <w:top w:val="single" w:sz="2" w:space="0" w:color="000000"/>
              <w:left w:val="single" w:sz="2" w:space="0" w:color="000000"/>
              <w:bottom w:val="single" w:sz="2" w:space="0" w:color="000000"/>
              <w:right w:val="single" w:sz="2" w:space="0" w:color="000000"/>
            </w:tcBorders>
          </w:tcPr>
          <w:p>
            <w:pPr/>
          </w:p>
        </w:tc>
        <w:tc>
          <w:tcPr>
            <w:tcW w:w="14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7,045,649.21</w:t>
            </w:r>
          </w:p>
        </w:tc>
      </w:tr>
      <w:tr>
        <w:trPr>
          <w:trHeight w:val="499" w:hRule="exact"/>
        </w:trPr>
        <w:tc>
          <w:tcPr>
            <w:tcW w:w="15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对联营企业投资</w:t>
            </w:r>
          </w:p>
        </w:tc>
        <w:tc>
          <w:tcPr>
            <w:tcW w:w="15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14,533,839.78</w:t>
            </w:r>
          </w:p>
        </w:tc>
        <w:tc>
          <w:tcPr>
            <w:tcW w:w="600" w:type="dxa"/>
            <w:tcBorders>
              <w:top w:val="single" w:sz="2" w:space="0" w:color="000000"/>
              <w:left w:val="single" w:sz="2" w:space="0" w:color="000000"/>
              <w:bottom w:val="single" w:sz="12" w:space="0" w:color="000000"/>
              <w:right w:val="single" w:sz="2" w:space="0" w:color="000000"/>
            </w:tcBorders>
          </w:tcPr>
          <w:p>
            <w:pPr/>
          </w:p>
        </w:tc>
        <w:tc>
          <w:tcPr>
            <w:tcW w:w="14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14,533,839.78</w:t>
            </w:r>
          </w:p>
        </w:tc>
        <w:tc>
          <w:tcPr>
            <w:tcW w:w="14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1,577,596.33</w:t>
            </w:r>
          </w:p>
        </w:tc>
        <w:tc>
          <w:tcPr>
            <w:tcW w:w="634" w:type="dxa"/>
            <w:tcBorders>
              <w:top w:val="single" w:sz="2" w:space="0" w:color="000000"/>
              <w:left w:val="single" w:sz="2" w:space="0" w:color="000000"/>
              <w:bottom w:val="single" w:sz="12" w:space="0" w:color="000000"/>
              <w:right w:val="single" w:sz="2" w:space="0" w:color="000000"/>
            </w:tcBorders>
          </w:tcPr>
          <w:p>
            <w:pPr/>
          </w:p>
        </w:tc>
        <w:tc>
          <w:tcPr>
            <w:tcW w:w="146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1,577,596.33</w:t>
            </w:r>
          </w:p>
        </w:tc>
      </w:tr>
    </w:tbl>
    <w:p>
      <w:pPr>
        <w:spacing w:after="0" w:line="240" w:lineRule="auto"/>
        <w:jc w:val="right"/>
        <w:rPr>
          <w:rFonts w:ascii="Arial" w:hAnsi="Arial" w:cs="Arial" w:eastAsia="Arial"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580" w:type="dxa"/>
        <w:tblLayout w:type="fixed"/>
        <w:tblCellMar>
          <w:top w:w="0" w:type="dxa"/>
          <w:left w:w="0" w:type="dxa"/>
          <w:bottom w:w="0" w:type="dxa"/>
          <w:right w:w="0" w:type="dxa"/>
        </w:tblCellMar>
        <w:tblLook w:val="01E0"/>
      </w:tblPr>
      <w:tblGrid>
        <w:gridCol w:w="1526"/>
        <w:gridCol w:w="1575"/>
        <w:gridCol w:w="600"/>
        <w:gridCol w:w="1469"/>
        <w:gridCol w:w="1466"/>
        <w:gridCol w:w="634"/>
        <w:gridCol w:w="1469"/>
      </w:tblGrid>
      <w:tr>
        <w:trPr>
          <w:trHeight w:val="416" w:hRule="exact"/>
        </w:trPr>
        <w:tc>
          <w:tcPr>
            <w:tcW w:w="1526"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44"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3569"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54"/>
              <w:ind w:right="3"/>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708" w:hRule="exact"/>
        </w:trPr>
        <w:tc>
          <w:tcPr>
            <w:tcW w:w="1526" w:type="dxa"/>
            <w:vMerge/>
            <w:tcBorders>
              <w:left w:val="nil" w:sz="6" w:space="0" w:color="auto"/>
              <w:bottom w:val="single" w:sz="2" w:space="0" w:color="000000"/>
              <w:right w:val="single" w:sz="2" w:space="0" w:color="000000"/>
            </w:tcBorders>
          </w:tcPr>
          <w:p>
            <w:pPr/>
          </w:p>
        </w:tc>
        <w:tc>
          <w:tcPr>
            <w:tcW w:w="15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600"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49"/>
              <w:ind w:left="117" w:right="115"/>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4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634"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49"/>
              <w:ind w:left="136" w:right="130"/>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4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499" w:hRule="exact"/>
        </w:trPr>
        <w:tc>
          <w:tcPr>
            <w:tcW w:w="15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7" w:right="0"/>
              <w:jc w:val="center"/>
              <w:rPr>
                <w:rFonts w:ascii="Arial" w:hAnsi="Arial" w:cs="Arial" w:eastAsia="Arial" w:hint="default"/>
                <w:sz w:val="18"/>
                <w:szCs w:val="18"/>
              </w:rPr>
            </w:pPr>
            <w:r>
              <w:rPr>
                <w:rFonts w:ascii="Arial"/>
                <w:sz w:val="18"/>
              </w:rPr>
              <w:t>174,888,467.68</w:t>
            </w:r>
          </w:p>
        </w:tc>
        <w:tc>
          <w:tcPr>
            <w:tcW w:w="600" w:type="dxa"/>
            <w:tcBorders>
              <w:top w:val="single" w:sz="2" w:space="0" w:color="000000"/>
              <w:left w:val="single" w:sz="2" w:space="0" w:color="000000"/>
              <w:bottom w:val="single" w:sz="12" w:space="0" w:color="000000"/>
              <w:right w:val="single" w:sz="2" w:space="0" w:color="000000"/>
            </w:tcBorders>
          </w:tcPr>
          <w:p>
            <w:pPr/>
          </w:p>
        </w:tc>
        <w:tc>
          <w:tcPr>
            <w:tcW w:w="14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 w:right="0"/>
              <w:jc w:val="center"/>
              <w:rPr>
                <w:rFonts w:ascii="Arial" w:hAnsi="Arial" w:cs="Arial" w:eastAsia="Arial" w:hint="default"/>
                <w:sz w:val="18"/>
                <w:szCs w:val="18"/>
              </w:rPr>
            </w:pPr>
            <w:r>
              <w:rPr>
                <w:rFonts w:ascii="Arial"/>
                <w:sz w:val="18"/>
              </w:rPr>
              <w:t>174,888,467.68</w:t>
            </w:r>
          </w:p>
        </w:tc>
        <w:tc>
          <w:tcPr>
            <w:tcW w:w="14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 w:right="0"/>
              <w:jc w:val="center"/>
              <w:rPr>
                <w:rFonts w:ascii="Arial" w:hAnsi="Arial" w:cs="Arial" w:eastAsia="Arial" w:hint="default"/>
                <w:sz w:val="18"/>
                <w:szCs w:val="18"/>
              </w:rPr>
            </w:pPr>
            <w:r>
              <w:rPr>
                <w:rFonts w:ascii="Arial"/>
                <w:sz w:val="18"/>
              </w:rPr>
              <w:t>166,943,633.85</w:t>
            </w:r>
          </w:p>
        </w:tc>
        <w:tc>
          <w:tcPr>
            <w:tcW w:w="634" w:type="dxa"/>
            <w:tcBorders>
              <w:top w:val="single" w:sz="2" w:space="0" w:color="000000"/>
              <w:left w:val="single" w:sz="2" w:space="0" w:color="000000"/>
              <w:bottom w:val="single" w:sz="12" w:space="0" w:color="000000"/>
              <w:right w:val="single" w:sz="2" w:space="0" w:color="000000"/>
            </w:tcBorders>
          </w:tcPr>
          <w:p>
            <w:pPr/>
          </w:p>
        </w:tc>
        <w:tc>
          <w:tcPr>
            <w:tcW w:w="146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18"/>
                <w:szCs w:val="18"/>
              </w:rPr>
            </w:pPr>
            <w:r>
              <w:rPr>
                <w:rFonts w:ascii="Arial"/>
                <w:sz w:val="18"/>
              </w:rPr>
              <w:t>166,943,633.85</w:t>
            </w:r>
          </w:p>
        </w:tc>
      </w:tr>
    </w:tbl>
    <w:p>
      <w:pPr>
        <w:spacing w:line="240" w:lineRule="auto" w:before="5"/>
        <w:rPr>
          <w:rFonts w:ascii="宋体" w:hAnsi="宋体" w:cs="宋体" w:eastAsia="宋体" w:hint="default"/>
          <w:sz w:val="5"/>
          <w:szCs w:val="5"/>
        </w:rPr>
      </w:pPr>
    </w:p>
    <w:p>
      <w:pPr>
        <w:pStyle w:val="BodyText"/>
        <w:spacing w:line="240" w:lineRule="auto" w:before="32"/>
        <w:ind w:left="592" w:right="1133"/>
        <w:jc w:val="left"/>
      </w:pPr>
      <w:r>
        <w:rPr/>
        <w:t>（</w:t>
      </w:r>
      <w:r>
        <w:rPr>
          <w:rFonts w:ascii="Arial" w:hAnsi="Arial" w:cs="Arial" w:eastAsia="Arial" w:hint="default"/>
        </w:rPr>
        <w:t>2</w:t>
      </w:r>
      <w:r>
        <w:rPr/>
        <w:t>）对子公司投资</w:t>
      </w:r>
    </w:p>
    <w:p>
      <w:pPr>
        <w:spacing w:line="240" w:lineRule="auto" w:before="8"/>
        <w:rPr>
          <w:rFonts w:ascii="宋体" w:hAnsi="宋体" w:cs="宋体" w:eastAsia="宋体" w:hint="default"/>
          <w:sz w:val="5"/>
          <w:szCs w:val="5"/>
        </w:rPr>
      </w:pPr>
    </w:p>
    <w:tbl>
      <w:tblPr>
        <w:tblW w:w="0" w:type="auto"/>
        <w:jc w:val="left"/>
        <w:tblInd w:w="580" w:type="dxa"/>
        <w:tblLayout w:type="fixed"/>
        <w:tblCellMar>
          <w:top w:w="0" w:type="dxa"/>
          <w:left w:w="0" w:type="dxa"/>
          <w:bottom w:w="0" w:type="dxa"/>
          <w:right w:w="0" w:type="dxa"/>
        </w:tblCellMar>
        <w:tblLook w:val="01E0"/>
      </w:tblPr>
      <w:tblGrid>
        <w:gridCol w:w="1682"/>
        <w:gridCol w:w="1561"/>
        <w:gridCol w:w="708"/>
        <w:gridCol w:w="1311"/>
        <w:gridCol w:w="1512"/>
        <w:gridCol w:w="1009"/>
        <w:gridCol w:w="958"/>
      </w:tblGrid>
      <w:tr>
        <w:trPr>
          <w:trHeight w:val="722" w:hRule="exact"/>
        </w:trPr>
        <w:tc>
          <w:tcPr>
            <w:tcW w:w="168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56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9"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708" w:type="dxa"/>
            <w:tcBorders>
              <w:top w:val="single" w:sz="12" w:space="0" w:color="000000"/>
              <w:left w:val="single" w:sz="2" w:space="0" w:color="000000"/>
              <w:bottom w:val="single" w:sz="2" w:space="0" w:color="000000"/>
              <w:right w:val="single" w:sz="2" w:space="0" w:color="000000"/>
            </w:tcBorders>
          </w:tcPr>
          <w:p>
            <w:pPr>
              <w:pStyle w:val="TableParagraph"/>
              <w:spacing w:line="316" w:lineRule="auto" w:before="49"/>
              <w:ind w:left="172" w:right="168"/>
              <w:jc w:val="left"/>
              <w:rPr>
                <w:rFonts w:ascii="宋体" w:hAnsi="宋体" w:cs="宋体" w:eastAsia="宋体" w:hint="default"/>
                <w:sz w:val="18"/>
                <w:szCs w:val="18"/>
              </w:rPr>
            </w:pPr>
            <w:r>
              <w:rPr>
                <w:rFonts w:ascii="宋体" w:hAnsi="宋体" w:cs="宋体" w:eastAsia="宋体" w:hint="default"/>
                <w:sz w:val="18"/>
                <w:szCs w:val="18"/>
              </w:rPr>
              <w:t>本年 增加</w:t>
            </w:r>
          </w:p>
        </w:tc>
        <w:tc>
          <w:tcPr>
            <w:tcW w:w="131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本年减少</w:t>
            </w:r>
          </w:p>
        </w:tc>
        <w:tc>
          <w:tcPr>
            <w:tcW w:w="151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009" w:type="dxa"/>
            <w:tcBorders>
              <w:top w:val="single" w:sz="12" w:space="0" w:color="000000"/>
              <w:left w:val="single" w:sz="2" w:space="0" w:color="000000"/>
              <w:bottom w:val="single" w:sz="2" w:space="0" w:color="000000"/>
              <w:right w:val="single" w:sz="2" w:space="0" w:color="000000"/>
            </w:tcBorders>
          </w:tcPr>
          <w:p>
            <w:pPr>
              <w:pStyle w:val="TableParagraph"/>
              <w:spacing w:line="316" w:lineRule="auto" w:before="49"/>
              <w:ind w:left="141" w:right="139"/>
              <w:jc w:val="left"/>
              <w:rPr>
                <w:rFonts w:ascii="宋体" w:hAnsi="宋体" w:cs="宋体" w:eastAsia="宋体" w:hint="default"/>
                <w:sz w:val="18"/>
                <w:szCs w:val="18"/>
              </w:rPr>
            </w:pPr>
            <w:r>
              <w:rPr>
                <w:rFonts w:ascii="宋体" w:hAnsi="宋体" w:cs="宋体" w:eastAsia="宋体" w:hint="default"/>
                <w:sz w:val="18"/>
                <w:szCs w:val="18"/>
              </w:rPr>
              <w:t>本年计提 减值准备</w:t>
            </w:r>
          </w:p>
        </w:tc>
        <w:tc>
          <w:tcPr>
            <w:tcW w:w="958" w:type="dxa"/>
            <w:tcBorders>
              <w:top w:val="single" w:sz="12" w:space="0" w:color="000000"/>
              <w:left w:val="single" w:sz="2" w:space="0" w:color="000000"/>
              <w:bottom w:val="single" w:sz="2" w:space="0" w:color="000000"/>
              <w:right w:val="nil" w:sz="6" w:space="0" w:color="auto"/>
            </w:tcBorders>
          </w:tcPr>
          <w:p>
            <w:pPr>
              <w:pStyle w:val="TableParagraph"/>
              <w:spacing w:line="316" w:lineRule="auto" w:before="49"/>
              <w:ind w:left="115" w:right="119"/>
              <w:jc w:val="left"/>
              <w:rPr>
                <w:rFonts w:ascii="宋体" w:hAnsi="宋体" w:cs="宋体" w:eastAsia="宋体" w:hint="default"/>
                <w:sz w:val="18"/>
                <w:szCs w:val="18"/>
              </w:rPr>
            </w:pPr>
            <w:r>
              <w:rPr>
                <w:rFonts w:ascii="宋体" w:hAnsi="宋体" w:cs="宋体" w:eastAsia="宋体" w:hint="default"/>
                <w:sz w:val="18"/>
                <w:szCs w:val="18"/>
              </w:rPr>
              <w:t>减值准备 年末余额</w:t>
            </w:r>
          </w:p>
        </w:tc>
      </w:tr>
      <w:tr>
        <w:trPr>
          <w:trHeight w:val="709"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316" w:lineRule="auto" w:before="49"/>
              <w:ind w:left="124" w:right="100"/>
              <w:jc w:val="left"/>
              <w:rPr>
                <w:rFonts w:ascii="宋体" w:hAnsi="宋体" w:cs="宋体" w:eastAsia="宋体" w:hint="default"/>
                <w:sz w:val="18"/>
                <w:szCs w:val="18"/>
              </w:rPr>
            </w:pPr>
            <w:r>
              <w:rPr>
                <w:rFonts w:ascii="宋体" w:hAnsi="宋体" w:cs="宋体" w:eastAsia="宋体" w:hint="default"/>
                <w:sz w:val="18"/>
                <w:szCs w:val="18"/>
              </w:rPr>
              <w:t>贵州新思维科技有</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限责任公司</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1"/>
              <w:jc w:val="right"/>
              <w:rPr>
                <w:rFonts w:ascii="Arial" w:hAnsi="Arial" w:cs="Arial" w:eastAsia="Arial" w:hint="default"/>
                <w:sz w:val="18"/>
                <w:szCs w:val="18"/>
              </w:rPr>
            </w:pPr>
            <w:r>
              <w:rPr>
                <w:rFonts w:ascii="Arial"/>
                <w:spacing w:val="-1"/>
                <w:sz w:val="18"/>
              </w:rPr>
              <w:t>3,690,820.79</w:t>
            </w:r>
          </w:p>
        </w:tc>
        <w:tc>
          <w:tcPr>
            <w:tcW w:w="708" w:type="dxa"/>
            <w:tcBorders>
              <w:top w:val="single" w:sz="2" w:space="0" w:color="000000"/>
              <w:left w:val="single" w:sz="2" w:space="0" w:color="000000"/>
              <w:bottom w:val="single" w:sz="2" w:space="0" w:color="000000"/>
              <w:right w:val="single" w:sz="2" w:space="0" w:color="000000"/>
            </w:tcBorders>
          </w:tcPr>
          <w:p>
            <w:pPr/>
          </w:p>
        </w:tc>
        <w:tc>
          <w:tcPr>
            <w:tcW w:w="13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47" w:right="0"/>
              <w:jc w:val="center"/>
              <w:rPr>
                <w:rFonts w:ascii="Arial" w:hAnsi="Arial" w:cs="Arial" w:eastAsia="Arial" w:hint="default"/>
                <w:sz w:val="18"/>
                <w:szCs w:val="18"/>
              </w:rPr>
            </w:pPr>
            <w:r>
              <w:rPr>
                <w:rFonts w:ascii="Arial"/>
                <w:sz w:val="18"/>
              </w:rPr>
              <w:t>3,690,820.79</w:t>
            </w:r>
          </w:p>
        </w:tc>
        <w:tc>
          <w:tcPr>
            <w:tcW w:w="1512" w:type="dxa"/>
            <w:tcBorders>
              <w:top w:val="single" w:sz="2" w:space="0" w:color="000000"/>
              <w:left w:val="single" w:sz="2" w:space="0" w:color="000000"/>
              <w:bottom w:val="single" w:sz="2" w:space="0" w:color="000000"/>
              <w:right w:val="single" w:sz="2" w:space="0" w:color="000000"/>
            </w:tcBorders>
          </w:tcPr>
          <w:p>
            <w:pPr/>
          </w:p>
        </w:tc>
        <w:tc>
          <w:tcPr>
            <w:tcW w:w="1009" w:type="dxa"/>
            <w:tcBorders>
              <w:top w:val="single" w:sz="2" w:space="0" w:color="000000"/>
              <w:left w:val="single" w:sz="2" w:space="0" w:color="000000"/>
              <w:bottom w:val="single" w:sz="2" w:space="0" w:color="000000"/>
              <w:right w:val="single" w:sz="2" w:space="0" w:color="000000"/>
            </w:tcBorders>
          </w:tcPr>
          <w:p>
            <w:pPr/>
          </w:p>
        </w:tc>
        <w:tc>
          <w:tcPr>
            <w:tcW w:w="958" w:type="dxa"/>
            <w:tcBorders>
              <w:top w:val="single" w:sz="2" w:space="0" w:color="000000"/>
              <w:left w:val="single" w:sz="2" w:space="0" w:color="000000"/>
              <w:bottom w:val="single" w:sz="2" w:space="0" w:color="000000"/>
              <w:right w:val="nil" w:sz="6" w:space="0" w:color="auto"/>
            </w:tcBorders>
          </w:tcPr>
          <w:p>
            <w:pPr/>
          </w:p>
        </w:tc>
      </w:tr>
      <w:tr>
        <w:trPr>
          <w:trHeight w:val="710"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316" w:lineRule="auto" w:before="49"/>
              <w:ind w:left="124" w:right="100"/>
              <w:jc w:val="left"/>
              <w:rPr>
                <w:rFonts w:ascii="宋体" w:hAnsi="宋体" w:cs="宋体" w:eastAsia="宋体" w:hint="default"/>
                <w:sz w:val="18"/>
                <w:szCs w:val="18"/>
              </w:rPr>
            </w:pPr>
            <w:r>
              <w:rPr>
                <w:rFonts w:ascii="宋体" w:hAnsi="宋体" w:cs="宋体" w:eastAsia="宋体" w:hint="default"/>
                <w:sz w:val="18"/>
                <w:szCs w:val="18"/>
              </w:rPr>
              <w:t>中远海运科技（北</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京）有限公司</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105,936,595.18</w:t>
            </w:r>
          </w:p>
        </w:tc>
        <w:tc>
          <w:tcPr>
            <w:tcW w:w="708" w:type="dxa"/>
            <w:tcBorders>
              <w:top w:val="single" w:sz="2" w:space="0" w:color="000000"/>
              <w:left w:val="single" w:sz="2" w:space="0" w:color="000000"/>
              <w:bottom w:val="single" w:sz="2" w:space="0" w:color="000000"/>
              <w:right w:val="single" w:sz="2" w:space="0" w:color="000000"/>
            </w:tcBorders>
          </w:tcPr>
          <w:p>
            <w:pPr/>
          </w:p>
        </w:tc>
        <w:tc>
          <w:tcPr>
            <w:tcW w:w="1311" w:type="dxa"/>
            <w:tcBorders>
              <w:top w:val="single" w:sz="2" w:space="0" w:color="000000"/>
              <w:left w:val="single" w:sz="2" w:space="0" w:color="000000"/>
              <w:bottom w:val="single" w:sz="2" w:space="0" w:color="000000"/>
              <w:right w:val="single" w:sz="2" w:space="0" w:color="000000"/>
            </w:tcBorders>
          </w:tcPr>
          <w:p>
            <w:pP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105,936,595.18</w:t>
            </w:r>
          </w:p>
        </w:tc>
        <w:tc>
          <w:tcPr>
            <w:tcW w:w="1009" w:type="dxa"/>
            <w:tcBorders>
              <w:top w:val="single" w:sz="2" w:space="0" w:color="000000"/>
              <w:left w:val="single" w:sz="2" w:space="0" w:color="000000"/>
              <w:bottom w:val="single" w:sz="2" w:space="0" w:color="000000"/>
              <w:right w:val="single" w:sz="2" w:space="0" w:color="000000"/>
            </w:tcBorders>
          </w:tcPr>
          <w:p>
            <w:pPr/>
          </w:p>
        </w:tc>
        <w:tc>
          <w:tcPr>
            <w:tcW w:w="958" w:type="dxa"/>
            <w:tcBorders>
              <w:top w:val="single" w:sz="2" w:space="0" w:color="000000"/>
              <w:left w:val="single" w:sz="2" w:space="0" w:color="000000"/>
              <w:bottom w:val="single" w:sz="2" w:space="0" w:color="000000"/>
              <w:right w:val="nil" w:sz="6" w:space="0" w:color="auto"/>
            </w:tcBorders>
          </w:tcPr>
          <w:p>
            <w:pPr/>
          </w:p>
        </w:tc>
      </w:tr>
      <w:tr>
        <w:trPr>
          <w:trHeight w:val="708"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314" w:lineRule="auto" w:before="49"/>
              <w:ind w:left="124" w:right="100"/>
              <w:jc w:val="left"/>
              <w:rPr>
                <w:rFonts w:ascii="宋体" w:hAnsi="宋体" w:cs="宋体" w:eastAsia="宋体" w:hint="default"/>
                <w:sz w:val="18"/>
                <w:szCs w:val="18"/>
              </w:rPr>
            </w:pPr>
            <w:r>
              <w:rPr>
                <w:rFonts w:ascii="宋体" w:hAnsi="宋体" w:cs="宋体" w:eastAsia="宋体" w:hint="default"/>
                <w:sz w:val="18"/>
                <w:szCs w:val="18"/>
              </w:rPr>
              <w:t>北京中远海运数字</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科技有限公司</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1"/>
              <w:jc w:val="right"/>
              <w:rPr>
                <w:rFonts w:ascii="Arial" w:hAnsi="Arial" w:cs="Arial" w:eastAsia="Arial" w:hint="default"/>
                <w:sz w:val="18"/>
                <w:szCs w:val="18"/>
              </w:rPr>
            </w:pPr>
            <w:r>
              <w:rPr>
                <w:rFonts w:ascii="Arial"/>
                <w:spacing w:val="-1"/>
                <w:sz w:val="18"/>
              </w:rPr>
              <w:t>3,871,407.30</w:t>
            </w:r>
          </w:p>
        </w:tc>
        <w:tc>
          <w:tcPr>
            <w:tcW w:w="708" w:type="dxa"/>
            <w:tcBorders>
              <w:top w:val="single" w:sz="2" w:space="0" w:color="000000"/>
              <w:left w:val="single" w:sz="2" w:space="0" w:color="000000"/>
              <w:bottom w:val="single" w:sz="2" w:space="0" w:color="000000"/>
              <w:right w:val="single" w:sz="2" w:space="0" w:color="000000"/>
            </w:tcBorders>
          </w:tcPr>
          <w:p>
            <w:pPr/>
          </w:p>
        </w:tc>
        <w:tc>
          <w:tcPr>
            <w:tcW w:w="1311" w:type="dxa"/>
            <w:tcBorders>
              <w:top w:val="single" w:sz="2" w:space="0" w:color="000000"/>
              <w:left w:val="single" w:sz="2" w:space="0" w:color="000000"/>
              <w:bottom w:val="single" w:sz="2" w:space="0" w:color="000000"/>
              <w:right w:val="single" w:sz="2" w:space="0" w:color="000000"/>
            </w:tcBorders>
          </w:tcPr>
          <w:p>
            <w:pP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3,871,407.30</w:t>
            </w:r>
          </w:p>
        </w:tc>
        <w:tc>
          <w:tcPr>
            <w:tcW w:w="1009" w:type="dxa"/>
            <w:tcBorders>
              <w:top w:val="single" w:sz="2" w:space="0" w:color="000000"/>
              <w:left w:val="single" w:sz="2" w:space="0" w:color="000000"/>
              <w:bottom w:val="single" w:sz="2" w:space="0" w:color="000000"/>
              <w:right w:val="single" w:sz="2" w:space="0" w:color="000000"/>
            </w:tcBorders>
          </w:tcPr>
          <w:p>
            <w:pPr/>
          </w:p>
        </w:tc>
        <w:tc>
          <w:tcPr>
            <w:tcW w:w="958" w:type="dxa"/>
            <w:tcBorders>
              <w:top w:val="single" w:sz="2" w:space="0" w:color="000000"/>
              <w:left w:val="single" w:sz="2" w:space="0" w:color="000000"/>
              <w:bottom w:val="single" w:sz="2" w:space="0" w:color="000000"/>
              <w:right w:val="nil" w:sz="6" w:space="0" w:color="auto"/>
            </w:tcBorders>
          </w:tcPr>
          <w:p>
            <w:pPr/>
          </w:p>
        </w:tc>
      </w:tr>
      <w:tr>
        <w:trPr>
          <w:trHeight w:val="708"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316" w:lineRule="auto" w:before="49"/>
              <w:ind w:left="124" w:right="100"/>
              <w:jc w:val="left"/>
              <w:rPr>
                <w:rFonts w:ascii="宋体" w:hAnsi="宋体" w:cs="宋体" w:eastAsia="宋体" w:hint="default"/>
                <w:sz w:val="18"/>
                <w:szCs w:val="18"/>
              </w:rPr>
            </w:pPr>
            <w:r>
              <w:rPr>
                <w:rFonts w:ascii="宋体" w:hAnsi="宋体" w:cs="宋体" w:eastAsia="宋体" w:hint="default"/>
                <w:sz w:val="18"/>
                <w:szCs w:val="18"/>
              </w:rPr>
              <w:t>中远网络航海科技</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有限公司</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1"/>
              <w:jc w:val="right"/>
              <w:rPr>
                <w:rFonts w:ascii="Arial" w:hAnsi="Arial" w:cs="Arial" w:eastAsia="Arial" w:hint="default"/>
                <w:sz w:val="18"/>
                <w:szCs w:val="18"/>
              </w:rPr>
            </w:pPr>
            <w:r>
              <w:rPr>
                <w:rFonts w:ascii="Arial"/>
                <w:spacing w:val="-1"/>
                <w:sz w:val="18"/>
              </w:rPr>
              <w:t>44,821,565.04</w:t>
            </w:r>
          </w:p>
        </w:tc>
        <w:tc>
          <w:tcPr>
            <w:tcW w:w="708" w:type="dxa"/>
            <w:tcBorders>
              <w:top w:val="single" w:sz="2" w:space="0" w:color="000000"/>
              <w:left w:val="single" w:sz="2" w:space="0" w:color="000000"/>
              <w:bottom w:val="single" w:sz="2" w:space="0" w:color="000000"/>
              <w:right w:val="single" w:sz="2" w:space="0" w:color="000000"/>
            </w:tcBorders>
          </w:tcPr>
          <w:p>
            <w:pPr/>
          </w:p>
        </w:tc>
        <w:tc>
          <w:tcPr>
            <w:tcW w:w="1311" w:type="dxa"/>
            <w:tcBorders>
              <w:top w:val="single" w:sz="2" w:space="0" w:color="000000"/>
              <w:left w:val="single" w:sz="2" w:space="0" w:color="000000"/>
              <w:bottom w:val="single" w:sz="2" w:space="0" w:color="000000"/>
              <w:right w:val="single" w:sz="2" w:space="0" w:color="000000"/>
            </w:tcBorders>
          </w:tcPr>
          <w:p>
            <w:pP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0"/>
              <w:jc w:val="right"/>
              <w:rPr>
                <w:rFonts w:ascii="Arial" w:hAnsi="Arial" w:cs="Arial" w:eastAsia="Arial" w:hint="default"/>
                <w:sz w:val="18"/>
                <w:szCs w:val="18"/>
              </w:rPr>
            </w:pPr>
            <w:r>
              <w:rPr>
                <w:rFonts w:ascii="Arial"/>
                <w:spacing w:val="-1"/>
                <w:sz w:val="18"/>
              </w:rPr>
              <w:t>44,821,565.04</w:t>
            </w:r>
          </w:p>
        </w:tc>
        <w:tc>
          <w:tcPr>
            <w:tcW w:w="1009" w:type="dxa"/>
            <w:tcBorders>
              <w:top w:val="single" w:sz="2" w:space="0" w:color="000000"/>
              <w:left w:val="single" w:sz="2" w:space="0" w:color="000000"/>
              <w:bottom w:val="single" w:sz="2" w:space="0" w:color="000000"/>
              <w:right w:val="single" w:sz="2" w:space="0" w:color="000000"/>
            </w:tcBorders>
          </w:tcPr>
          <w:p>
            <w:pPr/>
          </w:p>
        </w:tc>
        <w:tc>
          <w:tcPr>
            <w:tcW w:w="958" w:type="dxa"/>
            <w:tcBorders>
              <w:top w:val="single" w:sz="2" w:space="0" w:color="000000"/>
              <w:left w:val="single" w:sz="2" w:space="0" w:color="000000"/>
              <w:bottom w:val="single" w:sz="2" w:space="0" w:color="000000"/>
              <w:right w:val="nil" w:sz="6" w:space="0" w:color="auto"/>
            </w:tcBorders>
          </w:tcPr>
          <w:p>
            <w:pPr/>
          </w:p>
        </w:tc>
      </w:tr>
      <w:tr>
        <w:trPr>
          <w:trHeight w:val="499" w:hRule="exact"/>
        </w:trPr>
        <w:tc>
          <w:tcPr>
            <w:tcW w:w="168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158,320,388.31</w:t>
            </w:r>
          </w:p>
        </w:tc>
        <w:tc>
          <w:tcPr>
            <w:tcW w:w="708" w:type="dxa"/>
            <w:tcBorders>
              <w:top w:val="single" w:sz="2" w:space="0" w:color="000000"/>
              <w:left w:val="single" w:sz="2" w:space="0" w:color="000000"/>
              <w:bottom w:val="single" w:sz="12" w:space="0" w:color="000000"/>
              <w:right w:val="single" w:sz="2" w:space="0" w:color="000000"/>
            </w:tcBorders>
          </w:tcPr>
          <w:p>
            <w:pPr/>
          </w:p>
        </w:tc>
        <w:tc>
          <w:tcPr>
            <w:tcW w:w="131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7" w:right="0"/>
              <w:jc w:val="center"/>
              <w:rPr>
                <w:rFonts w:ascii="Arial" w:hAnsi="Arial" w:cs="Arial" w:eastAsia="Arial" w:hint="default"/>
                <w:sz w:val="18"/>
                <w:szCs w:val="18"/>
              </w:rPr>
            </w:pPr>
            <w:r>
              <w:rPr>
                <w:rFonts w:ascii="Arial"/>
                <w:sz w:val="18"/>
              </w:rPr>
              <w:t>3,690,820.79</w:t>
            </w:r>
          </w:p>
        </w:tc>
        <w:tc>
          <w:tcPr>
            <w:tcW w:w="151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154,629,567.52</w:t>
            </w:r>
          </w:p>
        </w:tc>
        <w:tc>
          <w:tcPr>
            <w:tcW w:w="1009" w:type="dxa"/>
            <w:tcBorders>
              <w:top w:val="single" w:sz="2" w:space="0" w:color="000000"/>
              <w:left w:val="single" w:sz="2" w:space="0" w:color="000000"/>
              <w:bottom w:val="single" w:sz="12" w:space="0" w:color="000000"/>
              <w:right w:val="single" w:sz="2" w:space="0" w:color="000000"/>
            </w:tcBorders>
          </w:tcPr>
          <w:p>
            <w:pPr/>
          </w:p>
        </w:tc>
        <w:tc>
          <w:tcPr>
            <w:tcW w:w="958" w:type="dxa"/>
            <w:tcBorders>
              <w:top w:val="single" w:sz="2" w:space="0" w:color="000000"/>
              <w:left w:val="single" w:sz="2" w:space="0" w:color="000000"/>
              <w:bottom w:val="single" w:sz="12" w:space="0" w:color="000000"/>
              <w:right w:val="nil" w:sz="6" w:space="0" w:color="auto"/>
            </w:tcBorders>
          </w:tcPr>
          <w:p>
            <w:pPr/>
          </w:p>
        </w:tc>
      </w:tr>
    </w:tbl>
    <w:p>
      <w:pPr>
        <w:spacing w:line="240" w:lineRule="auto" w:before="5"/>
        <w:rPr>
          <w:rFonts w:ascii="宋体" w:hAnsi="宋体" w:cs="宋体" w:eastAsia="宋体" w:hint="default"/>
          <w:sz w:val="5"/>
          <w:szCs w:val="5"/>
        </w:rPr>
      </w:pPr>
    </w:p>
    <w:p>
      <w:pPr>
        <w:pStyle w:val="BodyText"/>
        <w:spacing w:line="240" w:lineRule="auto" w:before="32"/>
        <w:ind w:left="592" w:right="1133"/>
        <w:jc w:val="left"/>
      </w:pPr>
      <w:r>
        <w:rPr/>
        <w:t>（</w:t>
      </w:r>
      <w:r>
        <w:rPr>
          <w:rFonts w:ascii="Arial" w:hAnsi="Arial" w:cs="Arial" w:eastAsia="Arial" w:hint="default"/>
        </w:rPr>
        <w:t>3</w:t>
      </w:r>
      <w:r>
        <w:rPr/>
        <w:t>）对联营、合营企业投资</w:t>
      </w:r>
    </w:p>
    <w:p>
      <w:pPr>
        <w:spacing w:line="240" w:lineRule="auto" w:before="8"/>
        <w:rPr>
          <w:rFonts w:ascii="宋体" w:hAnsi="宋体" w:cs="宋体" w:eastAsia="宋体" w:hint="default"/>
          <w:sz w:val="5"/>
          <w:szCs w:val="5"/>
        </w:rPr>
      </w:pPr>
    </w:p>
    <w:tbl>
      <w:tblPr>
        <w:tblW w:w="0" w:type="auto"/>
        <w:jc w:val="left"/>
        <w:tblInd w:w="580" w:type="dxa"/>
        <w:tblLayout w:type="fixed"/>
        <w:tblCellMar>
          <w:top w:w="0" w:type="dxa"/>
          <w:left w:w="0" w:type="dxa"/>
          <w:bottom w:w="0" w:type="dxa"/>
          <w:right w:w="0" w:type="dxa"/>
        </w:tblCellMar>
        <w:tblLook w:val="01E0"/>
      </w:tblPr>
      <w:tblGrid>
        <w:gridCol w:w="2110"/>
        <w:gridCol w:w="1275"/>
        <w:gridCol w:w="1274"/>
        <w:gridCol w:w="1136"/>
        <w:gridCol w:w="1702"/>
        <w:gridCol w:w="1243"/>
      </w:tblGrid>
      <w:tr>
        <w:trPr>
          <w:trHeight w:val="415" w:hRule="exact"/>
        </w:trPr>
        <w:tc>
          <w:tcPr>
            <w:tcW w:w="2110"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611"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275"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5355"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本年增减变动</w:t>
            </w:r>
          </w:p>
        </w:tc>
      </w:tr>
      <w:tr>
        <w:trPr>
          <w:trHeight w:val="708" w:hRule="exact"/>
        </w:trPr>
        <w:tc>
          <w:tcPr>
            <w:tcW w:w="2110" w:type="dxa"/>
            <w:vMerge/>
            <w:tcBorders>
              <w:left w:val="nil" w:sz="6" w:space="0" w:color="auto"/>
              <w:bottom w:val="single" w:sz="2" w:space="0" w:color="000000"/>
              <w:right w:val="single" w:sz="2" w:space="0" w:color="000000"/>
            </w:tcBorders>
          </w:tcPr>
          <w:p>
            <w:pPr/>
          </w:p>
        </w:tc>
        <w:tc>
          <w:tcPr>
            <w:tcW w:w="1275" w:type="dxa"/>
            <w:vMerge/>
            <w:tcBorders>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11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49"/>
              <w:ind w:left="578" w:right="128" w:hanging="452"/>
              <w:jc w:val="left"/>
              <w:rPr>
                <w:rFonts w:ascii="宋体" w:hAnsi="宋体" w:cs="宋体" w:eastAsia="宋体" w:hint="default"/>
                <w:sz w:val="18"/>
                <w:szCs w:val="18"/>
              </w:rPr>
            </w:pPr>
            <w:r>
              <w:rPr>
                <w:rFonts w:ascii="宋体" w:hAnsi="宋体" w:cs="宋体" w:eastAsia="宋体" w:hint="default"/>
                <w:sz w:val="18"/>
                <w:szCs w:val="18"/>
              </w:rPr>
              <w:t>权益法下确认的投 资损益</w:t>
            </w:r>
          </w:p>
        </w:tc>
        <w:tc>
          <w:tcPr>
            <w:tcW w:w="1243" w:type="dxa"/>
            <w:tcBorders>
              <w:top w:val="single" w:sz="2" w:space="0" w:color="000000"/>
              <w:left w:val="single" w:sz="2" w:space="0" w:color="000000"/>
              <w:bottom w:val="single" w:sz="2" w:space="0" w:color="000000"/>
              <w:right w:val="nil" w:sz="6" w:space="0" w:color="auto"/>
            </w:tcBorders>
          </w:tcPr>
          <w:p>
            <w:pPr>
              <w:pStyle w:val="TableParagraph"/>
              <w:spacing w:line="316" w:lineRule="auto" w:before="49"/>
              <w:ind w:left="347" w:right="170" w:hanging="180"/>
              <w:jc w:val="left"/>
              <w:rPr>
                <w:rFonts w:ascii="宋体" w:hAnsi="宋体" w:cs="宋体" w:eastAsia="宋体" w:hint="default"/>
                <w:sz w:val="18"/>
                <w:szCs w:val="18"/>
              </w:rPr>
            </w:pPr>
            <w:r>
              <w:rPr>
                <w:rFonts w:ascii="宋体" w:hAnsi="宋体" w:cs="宋体" w:eastAsia="宋体" w:hint="default"/>
                <w:sz w:val="18"/>
                <w:szCs w:val="18"/>
              </w:rPr>
              <w:t>其他综合收 益调整</w:t>
            </w:r>
          </w:p>
        </w:tc>
      </w:tr>
      <w:tr>
        <w:trPr>
          <w:trHeight w:val="485" w:hRule="exact"/>
        </w:trPr>
        <w:tc>
          <w:tcPr>
            <w:tcW w:w="21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right="900"/>
              <w:jc w:val="right"/>
              <w:rPr>
                <w:rFonts w:ascii="宋体" w:hAnsi="宋体" w:cs="宋体" w:eastAsia="宋体" w:hint="default"/>
                <w:sz w:val="18"/>
                <w:szCs w:val="18"/>
              </w:rPr>
            </w:pPr>
            <w:r>
              <w:rPr>
                <w:rFonts w:ascii="宋体" w:hAnsi="宋体" w:cs="宋体" w:eastAsia="宋体" w:hint="default"/>
                <w:sz w:val="18"/>
                <w:szCs w:val="18"/>
              </w:rPr>
              <w:t>一、合营企业</w:t>
            </w:r>
          </w:p>
        </w:tc>
        <w:tc>
          <w:tcPr>
            <w:tcW w:w="1275"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
        </w:tc>
        <w:tc>
          <w:tcPr>
            <w:tcW w:w="1702" w:type="dxa"/>
            <w:tcBorders>
              <w:top w:val="single" w:sz="2" w:space="0" w:color="000000"/>
              <w:left w:val="single" w:sz="2" w:space="0" w:color="000000"/>
              <w:bottom w:val="single" w:sz="2" w:space="0" w:color="000000"/>
              <w:right w:val="single" w:sz="2" w:space="0" w:color="000000"/>
            </w:tcBorders>
          </w:tcPr>
          <w:p>
            <w:pPr/>
          </w:p>
        </w:tc>
        <w:tc>
          <w:tcPr>
            <w:tcW w:w="1243" w:type="dxa"/>
            <w:tcBorders>
              <w:top w:val="single" w:sz="2" w:space="0" w:color="000000"/>
              <w:left w:val="single" w:sz="2" w:space="0" w:color="000000"/>
              <w:bottom w:val="single" w:sz="2" w:space="0" w:color="000000"/>
              <w:right w:val="nil" w:sz="6" w:space="0" w:color="auto"/>
            </w:tcBorders>
          </w:tcPr>
          <w:p>
            <w:pPr/>
          </w:p>
        </w:tc>
      </w:tr>
      <w:tr>
        <w:trPr>
          <w:trHeight w:val="710" w:hRule="exact"/>
        </w:trPr>
        <w:tc>
          <w:tcPr>
            <w:tcW w:w="2110" w:type="dxa"/>
            <w:tcBorders>
              <w:top w:val="single" w:sz="2" w:space="0" w:color="000000"/>
              <w:left w:val="nil" w:sz="6" w:space="0" w:color="auto"/>
              <w:bottom w:val="single" w:sz="2" w:space="0" w:color="000000"/>
              <w:right w:val="single" w:sz="2" w:space="0" w:color="000000"/>
            </w:tcBorders>
          </w:tcPr>
          <w:p>
            <w:pPr>
              <w:pStyle w:val="TableParagraph"/>
              <w:spacing w:line="316" w:lineRule="auto" w:before="49"/>
              <w:ind w:left="124" w:right="100"/>
              <w:jc w:val="left"/>
              <w:rPr>
                <w:rFonts w:ascii="宋体" w:hAnsi="宋体" w:cs="宋体" w:eastAsia="宋体" w:hint="default"/>
                <w:sz w:val="18"/>
                <w:szCs w:val="18"/>
              </w:rPr>
            </w:pPr>
            <w:r>
              <w:rPr>
                <w:rFonts w:ascii="宋体" w:hAnsi="宋体" w:cs="宋体" w:eastAsia="宋体" w:hint="default"/>
                <w:spacing w:val="7"/>
                <w:sz w:val="18"/>
                <w:szCs w:val="18"/>
              </w:rPr>
              <w:t>中远海运古野通信导航</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科技（上海）有限公司</w:t>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3"/>
              <w:jc w:val="right"/>
              <w:rPr>
                <w:rFonts w:ascii="Arial" w:hAnsi="Arial" w:cs="Arial" w:eastAsia="Arial" w:hint="default"/>
                <w:sz w:val="18"/>
                <w:szCs w:val="18"/>
              </w:rPr>
            </w:pPr>
            <w:r>
              <w:rPr>
                <w:rFonts w:ascii="Arial"/>
                <w:spacing w:val="-1"/>
                <w:sz w:val="18"/>
              </w:rPr>
              <w:t>7,045,649.21</w:t>
            </w:r>
          </w:p>
        </w:tc>
        <w:tc>
          <w:tcPr>
            <w:tcW w:w="1274"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-1,320,588.83</w:t>
            </w:r>
          </w:p>
        </w:tc>
        <w:tc>
          <w:tcPr>
            <w:tcW w:w="1243"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21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2"/>
              <w:ind w:right="863"/>
              <w:jc w:val="right"/>
              <w:rPr>
                <w:rFonts w:ascii="宋体" w:hAnsi="宋体" w:cs="宋体" w:eastAsia="宋体" w:hint="default"/>
                <w:sz w:val="18"/>
                <w:szCs w:val="18"/>
              </w:rPr>
            </w:pPr>
            <w:r>
              <w:rPr>
                <w:rFonts w:ascii="宋体" w:hAnsi="宋体" w:cs="宋体" w:eastAsia="宋体" w:hint="default"/>
                <w:sz w:val="18"/>
                <w:szCs w:val="18"/>
              </w:rPr>
              <w:t>小计</w:t>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7,045,649.21</w:t>
            </w:r>
          </w:p>
        </w:tc>
        <w:tc>
          <w:tcPr>
            <w:tcW w:w="1274"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-1,320,588.83</w:t>
            </w:r>
          </w:p>
        </w:tc>
        <w:tc>
          <w:tcPr>
            <w:tcW w:w="1243"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21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2"/>
              <w:ind w:right="900"/>
              <w:jc w:val="right"/>
              <w:rPr>
                <w:rFonts w:ascii="宋体" w:hAnsi="宋体" w:cs="宋体" w:eastAsia="宋体" w:hint="default"/>
                <w:sz w:val="18"/>
                <w:szCs w:val="18"/>
              </w:rPr>
            </w:pPr>
            <w:r>
              <w:rPr>
                <w:rFonts w:ascii="宋体" w:hAnsi="宋体" w:cs="宋体" w:eastAsia="宋体" w:hint="default"/>
                <w:sz w:val="18"/>
                <w:szCs w:val="18"/>
              </w:rPr>
              <w:t>二、联营企业</w:t>
            </w:r>
          </w:p>
        </w:tc>
        <w:tc>
          <w:tcPr>
            <w:tcW w:w="1275"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
        </w:tc>
        <w:tc>
          <w:tcPr>
            <w:tcW w:w="1702" w:type="dxa"/>
            <w:tcBorders>
              <w:top w:val="single" w:sz="2" w:space="0" w:color="000000"/>
              <w:left w:val="single" w:sz="2" w:space="0" w:color="000000"/>
              <w:bottom w:val="single" w:sz="2" w:space="0" w:color="000000"/>
              <w:right w:val="single" w:sz="2" w:space="0" w:color="000000"/>
            </w:tcBorders>
          </w:tcPr>
          <w:p>
            <w:pPr/>
          </w:p>
        </w:tc>
        <w:tc>
          <w:tcPr>
            <w:tcW w:w="1243" w:type="dxa"/>
            <w:tcBorders>
              <w:top w:val="single" w:sz="2" w:space="0" w:color="000000"/>
              <w:left w:val="single" w:sz="2" w:space="0" w:color="000000"/>
              <w:bottom w:val="single" w:sz="2" w:space="0" w:color="000000"/>
              <w:right w:val="nil" w:sz="6" w:space="0" w:color="auto"/>
            </w:tcBorders>
          </w:tcPr>
          <w:p>
            <w:pPr/>
          </w:p>
        </w:tc>
      </w:tr>
      <w:tr>
        <w:trPr>
          <w:trHeight w:val="708" w:hRule="exact"/>
        </w:trPr>
        <w:tc>
          <w:tcPr>
            <w:tcW w:w="2110" w:type="dxa"/>
            <w:tcBorders>
              <w:top w:val="single" w:sz="2" w:space="0" w:color="000000"/>
              <w:left w:val="nil" w:sz="6" w:space="0" w:color="auto"/>
              <w:bottom w:val="single" w:sz="2" w:space="0" w:color="000000"/>
              <w:right w:val="single" w:sz="2" w:space="0" w:color="000000"/>
            </w:tcBorders>
          </w:tcPr>
          <w:p>
            <w:pPr>
              <w:pStyle w:val="TableParagraph"/>
              <w:spacing w:line="316" w:lineRule="auto" w:before="49"/>
              <w:ind w:left="124" w:right="100"/>
              <w:jc w:val="left"/>
              <w:rPr>
                <w:rFonts w:ascii="宋体" w:hAnsi="宋体" w:cs="宋体" w:eastAsia="宋体" w:hint="default"/>
                <w:sz w:val="18"/>
                <w:szCs w:val="18"/>
              </w:rPr>
            </w:pPr>
            <w:r>
              <w:rPr>
                <w:rFonts w:ascii="宋体" w:hAnsi="宋体" w:cs="宋体" w:eastAsia="宋体" w:hint="default"/>
                <w:spacing w:val="7"/>
                <w:sz w:val="18"/>
                <w:szCs w:val="18"/>
              </w:rPr>
              <w:t>深圳一海通全球供应链</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管理有限公司</w:t>
            </w:r>
          </w:p>
        </w:tc>
        <w:tc>
          <w:tcPr>
            <w:tcW w:w="1275"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
        </w:tc>
        <w:tc>
          <w:tcPr>
            <w:tcW w:w="1702" w:type="dxa"/>
            <w:tcBorders>
              <w:top w:val="single" w:sz="2" w:space="0" w:color="000000"/>
              <w:left w:val="single" w:sz="2" w:space="0" w:color="000000"/>
              <w:bottom w:val="single" w:sz="2" w:space="0" w:color="000000"/>
              <w:right w:val="single" w:sz="2" w:space="0" w:color="000000"/>
            </w:tcBorders>
          </w:tcPr>
          <w:p>
            <w:pPr/>
          </w:p>
        </w:tc>
        <w:tc>
          <w:tcPr>
            <w:tcW w:w="1243" w:type="dxa"/>
            <w:tcBorders>
              <w:top w:val="single" w:sz="2" w:space="0" w:color="000000"/>
              <w:left w:val="single" w:sz="2" w:space="0" w:color="000000"/>
              <w:bottom w:val="single" w:sz="2" w:space="0" w:color="000000"/>
              <w:right w:val="nil" w:sz="6" w:space="0" w:color="auto"/>
            </w:tcBorders>
          </w:tcPr>
          <w:p>
            <w:pPr/>
          </w:p>
        </w:tc>
      </w:tr>
      <w:tr>
        <w:trPr>
          <w:trHeight w:val="710" w:hRule="exact"/>
        </w:trPr>
        <w:tc>
          <w:tcPr>
            <w:tcW w:w="2110" w:type="dxa"/>
            <w:tcBorders>
              <w:top w:val="single" w:sz="2" w:space="0" w:color="000000"/>
              <w:left w:val="nil" w:sz="6" w:space="0" w:color="auto"/>
              <w:bottom w:val="single" w:sz="2" w:space="0" w:color="000000"/>
              <w:right w:val="single" w:sz="2" w:space="0" w:color="000000"/>
            </w:tcBorders>
          </w:tcPr>
          <w:p>
            <w:pPr>
              <w:pStyle w:val="TableParagraph"/>
              <w:spacing w:line="316" w:lineRule="auto" w:before="49"/>
              <w:ind w:left="124" w:right="100"/>
              <w:jc w:val="left"/>
              <w:rPr>
                <w:rFonts w:ascii="宋体" w:hAnsi="宋体" w:cs="宋体" w:eastAsia="宋体" w:hint="default"/>
                <w:sz w:val="18"/>
                <w:szCs w:val="18"/>
              </w:rPr>
            </w:pPr>
            <w:r>
              <w:rPr>
                <w:rFonts w:ascii="宋体" w:hAnsi="宋体" w:cs="宋体" w:eastAsia="宋体" w:hint="default"/>
                <w:spacing w:val="7"/>
                <w:sz w:val="18"/>
                <w:szCs w:val="18"/>
              </w:rPr>
              <w:t>上海中远资讯科技有限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1,577,596.33</w:t>
            </w:r>
          </w:p>
        </w:tc>
        <w:tc>
          <w:tcPr>
            <w:tcW w:w="1274"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3"/>
              <w:jc w:val="right"/>
              <w:rPr>
                <w:rFonts w:ascii="Arial" w:hAnsi="Arial" w:cs="Arial" w:eastAsia="Arial" w:hint="default"/>
                <w:sz w:val="18"/>
                <w:szCs w:val="18"/>
              </w:rPr>
            </w:pPr>
            <w:r>
              <w:rPr>
                <w:rFonts w:ascii="Arial"/>
                <w:spacing w:val="-1"/>
                <w:sz w:val="18"/>
              </w:rPr>
              <w:t>84,236.40</w:t>
            </w:r>
          </w:p>
        </w:tc>
        <w:tc>
          <w:tcPr>
            <w:tcW w:w="1243" w:type="dxa"/>
            <w:tcBorders>
              <w:top w:val="single" w:sz="2" w:space="0" w:color="000000"/>
              <w:left w:val="single" w:sz="2" w:space="0" w:color="000000"/>
              <w:bottom w:val="single" w:sz="2" w:space="0" w:color="000000"/>
              <w:right w:val="nil" w:sz="6" w:space="0" w:color="auto"/>
            </w:tcBorders>
          </w:tcPr>
          <w:p>
            <w:pPr/>
          </w:p>
        </w:tc>
      </w:tr>
      <w:tr>
        <w:trPr>
          <w:trHeight w:val="708" w:hRule="exact"/>
        </w:trPr>
        <w:tc>
          <w:tcPr>
            <w:tcW w:w="2110" w:type="dxa"/>
            <w:tcBorders>
              <w:top w:val="single" w:sz="2" w:space="0" w:color="000000"/>
              <w:left w:val="nil" w:sz="6" w:space="0" w:color="auto"/>
              <w:bottom w:val="single" w:sz="2" w:space="0" w:color="000000"/>
              <w:right w:val="single" w:sz="2" w:space="0" w:color="000000"/>
            </w:tcBorders>
          </w:tcPr>
          <w:p>
            <w:pPr>
              <w:pStyle w:val="TableParagraph"/>
              <w:spacing w:line="316" w:lineRule="auto" w:before="49"/>
              <w:ind w:left="124" w:right="100"/>
              <w:jc w:val="left"/>
              <w:rPr>
                <w:rFonts w:ascii="宋体" w:hAnsi="宋体" w:cs="宋体" w:eastAsia="宋体" w:hint="default"/>
                <w:sz w:val="18"/>
                <w:szCs w:val="18"/>
              </w:rPr>
            </w:pPr>
            <w:r>
              <w:rPr>
                <w:rFonts w:ascii="宋体" w:hAnsi="宋体" w:cs="宋体" w:eastAsia="宋体" w:hint="default"/>
                <w:spacing w:val="7"/>
                <w:sz w:val="18"/>
                <w:szCs w:val="18"/>
              </w:rPr>
              <w:t>宁夏交投科技发展有限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275"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2" w:right="0"/>
              <w:jc w:val="center"/>
              <w:rPr>
                <w:rFonts w:ascii="Arial" w:hAnsi="Arial" w:cs="Arial" w:eastAsia="Arial" w:hint="default"/>
                <w:sz w:val="18"/>
                <w:szCs w:val="18"/>
              </w:rPr>
            </w:pPr>
            <w:r>
              <w:rPr>
                <w:rFonts w:ascii="Arial"/>
                <w:sz w:val="18"/>
              </w:rPr>
              <w:t>9,800,000.00</w:t>
            </w:r>
          </w:p>
        </w:tc>
        <w:tc>
          <w:tcPr>
            <w:tcW w:w="1136" w:type="dxa"/>
            <w:tcBorders>
              <w:top w:val="single" w:sz="2" w:space="0" w:color="000000"/>
              <w:left w:val="single" w:sz="2" w:space="0" w:color="000000"/>
              <w:bottom w:val="single" w:sz="2" w:space="0" w:color="000000"/>
              <w:right w:val="single" w:sz="2" w:space="0" w:color="000000"/>
            </w:tcBorders>
          </w:tcPr>
          <w:p>
            <w:pP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2,752,849.56</w:t>
            </w:r>
          </w:p>
        </w:tc>
        <w:tc>
          <w:tcPr>
            <w:tcW w:w="1243"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21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right="863"/>
              <w:jc w:val="right"/>
              <w:rPr>
                <w:rFonts w:ascii="宋体" w:hAnsi="宋体" w:cs="宋体" w:eastAsia="宋体" w:hint="default"/>
                <w:sz w:val="18"/>
                <w:szCs w:val="18"/>
              </w:rPr>
            </w:pPr>
            <w:r>
              <w:rPr>
                <w:rFonts w:ascii="宋体" w:hAnsi="宋体" w:cs="宋体" w:eastAsia="宋体" w:hint="default"/>
                <w:sz w:val="18"/>
                <w:szCs w:val="18"/>
              </w:rPr>
              <w:t>小计</w:t>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1,577,596.33</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 w:right="0"/>
              <w:jc w:val="center"/>
              <w:rPr>
                <w:rFonts w:ascii="Arial" w:hAnsi="Arial" w:cs="Arial" w:eastAsia="Arial" w:hint="default"/>
                <w:sz w:val="18"/>
                <w:szCs w:val="18"/>
              </w:rPr>
            </w:pPr>
            <w:r>
              <w:rPr>
                <w:rFonts w:ascii="Arial"/>
                <w:sz w:val="18"/>
              </w:rPr>
              <w:t>9,800,000.00</w:t>
            </w:r>
          </w:p>
        </w:tc>
        <w:tc>
          <w:tcPr>
            <w:tcW w:w="1136" w:type="dxa"/>
            <w:tcBorders>
              <w:top w:val="single" w:sz="2" w:space="0" w:color="000000"/>
              <w:left w:val="single" w:sz="2" w:space="0" w:color="000000"/>
              <w:bottom w:val="single" w:sz="2" w:space="0" w:color="000000"/>
              <w:right w:val="single" w:sz="2" w:space="0" w:color="000000"/>
            </w:tcBorders>
          </w:tcPr>
          <w:p>
            <w:pP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2,837,085.96</w:t>
            </w:r>
          </w:p>
        </w:tc>
        <w:tc>
          <w:tcPr>
            <w:tcW w:w="1243" w:type="dxa"/>
            <w:tcBorders>
              <w:top w:val="single" w:sz="2" w:space="0" w:color="000000"/>
              <w:left w:val="single" w:sz="2" w:space="0" w:color="000000"/>
              <w:bottom w:val="single" w:sz="2" w:space="0" w:color="000000"/>
              <w:right w:val="nil" w:sz="6" w:space="0" w:color="auto"/>
            </w:tcBorders>
          </w:tcPr>
          <w:p>
            <w:pPr/>
          </w:p>
        </w:tc>
      </w:tr>
      <w:tr>
        <w:trPr>
          <w:trHeight w:val="499" w:hRule="exact"/>
        </w:trPr>
        <w:tc>
          <w:tcPr>
            <w:tcW w:w="211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right="863"/>
              <w:jc w:val="right"/>
              <w:rPr>
                <w:rFonts w:ascii="宋体" w:hAnsi="宋体" w:cs="宋体" w:eastAsia="宋体" w:hint="default"/>
                <w:sz w:val="18"/>
                <w:szCs w:val="18"/>
              </w:rPr>
            </w:pPr>
            <w:r>
              <w:rPr>
                <w:rFonts w:ascii="宋体" w:hAnsi="宋体" w:cs="宋体" w:eastAsia="宋体" w:hint="default"/>
                <w:sz w:val="18"/>
                <w:szCs w:val="18"/>
              </w:rPr>
              <w:t>合计</w:t>
            </w:r>
          </w:p>
        </w:tc>
        <w:tc>
          <w:tcPr>
            <w:tcW w:w="12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8,623,245.54</w:t>
            </w:r>
          </w:p>
        </w:tc>
        <w:tc>
          <w:tcPr>
            <w:tcW w:w="12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 w:right="0"/>
              <w:jc w:val="center"/>
              <w:rPr>
                <w:rFonts w:ascii="Arial" w:hAnsi="Arial" w:cs="Arial" w:eastAsia="Arial" w:hint="default"/>
                <w:sz w:val="18"/>
                <w:szCs w:val="18"/>
              </w:rPr>
            </w:pPr>
            <w:r>
              <w:rPr>
                <w:rFonts w:ascii="Arial"/>
                <w:sz w:val="18"/>
              </w:rPr>
              <w:t>9,800,000.00</w:t>
            </w:r>
          </w:p>
        </w:tc>
        <w:tc>
          <w:tcPr>
            <w:tcW w:w="1136" w:type="dxa"/>
            <w:tcBorders>
              <w:top w:val="single" w:sz="2" w:space="0" w:color="000000"/>
              <w:left w:val="single" w:sz="2" w:space="0" w:color="000000"/>
              <w:bottom w:val="single" w:sz="12" w:space="0" w:color="000000"/>
              <w:right w:val="single" w:sz="2" w:space="0" w:color="000000"/>
            </w:tcBorders>
          </w:tcPr>
          <w:p>
            <w:pP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1,516,497.13</w:t>
            </w:r>
          </w:p>
        </w:tc>
        <w:tc>
          <w:tcPr>
            <w:tcW w:w="1243" w:type="dxa"/>
            <w:tcBorders>
              <w:top w:val="single" w:sz="2" w:space="0" w:color="000000"/>
              <w:left w:val="single" w:sz="2" w:space="0" w:color="000000"/>
              <w:bottom w:val="single" w:sz="12" w:space="0" w:color="000000"/>
              <w:right w:val="nil" w:sz="6" w:space="0" w:color="auto"/>
            </w:tcBorders>
          </w:tcPr>
          <w:p>
            <w:pPr/>
          </w:p>
        </w:tc>
      </w:tr>
    </w:tbl>
    <w:p>
      <w:pPr>
        <w:spacing w:line="240" w:lineRule="auto" w:before="5"/>
        <w:rPr>
          <w:rFonts w:ascii="宋体" w:hAnsi="宋体" w:cs="宋体" w:eastAsia="宋体" w:hint="default"/>
          <w:sz w:val="5"/>
          <w:szCs w:val="5"/>
        </w:rPr>
      </w:pPr>
    </w:p>
    <w:p>
      <w:pPr>
        <w:pStyle w:val="BodyText"/>
        <w:spacing w:line="240" w:lineRule="auto" w:before="32"/>
        <w:ind w:left="592" w:right="1133"/>
        <w:jc w:val="left"/>
      </w:pPr>
      <w:r>
        <w:rPr/>
        <w:t>（续）</w:t>
      </w:r>
    </w:p>
    <w:p>
      <w:pPr>
        <w:spacing w:after="0" w:line="240" w:lineRule="auto"/>
        <w:jc w:val="lef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450" w:type="dxa"/>
        <w:tblLayout w:type="fixed"/>
        <w:tblCellMar>
          <w:top w:w="0" w:type="dxa"/>
          <w:left w:w="0" w:type="dxa"/>
          <w:bottom w:w="0" w:type="dxa"/>
          <w:right w:w="0" w:type="dxa"/>
        </w:tblCellMar>
        <w:tblLook w:val="01E0"/>
      </w:tblPr>
      <w:tblGrid>
        <w:gridCol w:w="1942"/>
        <w:gridCol w:w="1395"/>
        <w:gridCol w:w="1539"/>
        <w:gridCol w:w="1109"/>
        <w:gridCol w:w="406"/>
        <w:gridCol w:w="1532"/>
        <w:gridCol w:w="1080"/>
      </w:tblGrid>
      <w:tr>
        <w:trPr>
          <w:trHeight w:val="416" w:hRule="exact"/>
        </w:trPr>
        <w:tc>
          <w:tcPr>
            <w:tcW w:w="1942"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2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4448"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本年增减变动</w:t>
            </w:r>
          </w:p>
        </w:tc>
        <w:tc>
          <w:tcPr>
            <w:tcW w:w="1532"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080" w:type="dxa"/>
            <w:vMerge w:val="restart"/>
            <w:tcBorders>
              <w:top w:val="single" w:sz="12" w:space="0" w:color="000000"/>
              <w:left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405" w:lineRule="auto"/>
              <w:ind w:left="177" w:right="179"/>
              <w:jc w:val="left"/>
              <w:rPr>
                <w:rFonts w:ascii="宋体" w:hAnsi="宋体" w:cs="宋体" w:eastAsia="宋体" w:hint="default"/>
                <w:sz w:val="18"/>
                <w:szCs w:val="18"/>
              </w:rPr>
            </w:pPr>
            <w:r>
              <w:rPr>
                <w:rFonts w:ascii="宋体" w:hAnsi="宋体" w:cs="宋体" w:eastAsia="宋体" w:hint="default"/>
                <w:sz w:val="18"/>
                <w:szCs w:val="18"/>
              </w:rPr>
              <w:t>减值准备 年末余额</w:t>
            </w:r>
          </w:p>
        </w:tc>
      </w:tr>
      <w:tr>
        <w:trPr>
          <w:trHeight w:val="708" w:hRule="exact"/>
        </w:trPr>
        <w:tc>
          <w:tcPr>
            <w:tcW w:w="1942" w:type="dxa"/>
            <w:vMerge/>
            <w:tcBorders>
              <w:left w:val="nil" w:sz="6" w:space="0" w:color="auto"/>
              <w:bottom w:val="single" w:sz="2" w:space="0" w:color="000000"/>
              <w:right w:val="single" w:sz="2" w:space="0" w:color="000000"/>
            </w:tcBorders>
          </w:tcPr>
          <w:p>
            <w:pPr/>
          </w:p>
        </w:tc>
        <w:tc>
          <w:tcPr>
            <w:tcW w:w="13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54"/>
              <w:jc w:val="right"/>
              <w:rPr>
                <w:rFonts w:ascii="宋体" w:hAnsi="宋体" w:cs="宋体" w:eastAsia="宋体" w:hint="default"/>
                <w:sz w:val="18"/>
                <w:szCs w:val="18"/>
              </w:rPr>
            </w:pPr>
            <w:r>
              <w:rPr>
                <w:rFonts w:ascii="宋体" w:hAnsi="宋体" w:cs="宋体" w:eastAsia="宋体" w:hint="default"/>
                <w:sz w:val="18"/>
                <w:szCs w:val="18"/>
              </w:rPr>
              <w:t>其他权益变动</w:t>
            </w:r>
          </w:p>
        </w:tc>
        <w:tc>
          <w:tcPr>
            <w:tcW w:w="1539"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49"/>
              <w:ind w:left="407" w:right="132" w:hanging="269"/>
              <w:jc w:val="left"/>
              <w:rPr>
                <w:rFonts w:ascii="宋体" w:hAnsi="宋体" w:cs="宋体" w:eastAsia="宋体" w:hint="default"/>
                <w:sz w:val="18"/>
                <w:szCs w:val="18"/>
              </w:rPr>
            </w:pPr>
            <w:r>
              <w:rPr>
                <w:rFonts w:ascii="宋体" w:hAnsi="宋体" w:cs="宋体" w:eastAsia="宋体" w:hint="default"/>
                <w:sz w:val="18"/>
                <w:szCs w:val="18"/>
              </w:rPr>
              <w:t>宣告发放现金股 利或利润</w:t>
            </w:r>
          </w:p>
        </w:tc>
        <w:tc>
          <w:tcPr>
            <w:tcW w:w="1109"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49"/>
              <w:ind w:left="372" w:right="191"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406"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49"/>
              <w:ind w:left="112" w:right="107"/>
              <w:jc w:val="left"/>
              <w:rPr>
                <w:rFonts w:ascii="宋体" w:hAnsi="宋体" w:cs="宋体" w:eastAsia="宋体" w:hint="default"/>
                <w:sz w:val="18"/>
                <w:szCs w:val="18"/>
              </w:rPr>
            </w:pPr>
            <w:r>
              <w:rPr>
                <w:rFonts w:ascii="宋体" w:hAnsi="宋体" w:cs="宋体" w:eastAsia="宋体" w:hint="default"/>
                <w:sz w:val="18"/>
                <w:szCs w:val="18"/>
              </w:rPr>
              <w:t>其 他</w:t>
            </w:r>
          </w:p>
        </w:tc>
        <w:tc>
          <w:tcPr>
            <w:tcW w:w="1532" w:type="dxa"/>
            <w:vMerge/>
            <w:tcBorders>
              <w:left w:val="single" w:sz="2" w:space="0" w:color="000000"/>
              <w:bottom w:val="single" w:sz="2" w:space="0" w:color="000000"/>
              <w:right w:val="single" w:sz="2" w:space="0" w:color="000000"/>
            </w:tcBorders>
          </w:tcPr>
          <w:p>
            <w:pPr/>
          </w:p>
        </w:tc>
        <w:tc>
          <w:tcPr>
            <w:tcW w:w="1080" w:type="dxa"/>
            <w:vMerge/>
            <w:tcBorders>
              <w:left w:val="single" w:sz="2" w:space="0" w:color="000000"/>
              <w:bottom w:val="single" w:sz="2" w:space="0" w:color="000000"/>
              <w:right w:val="nil" w:sz="6" w:space="0" w:color="auto"/>
            </w:tcBorders>
          </w:tcPr>
          <w:p>
            <w:pPr/>
          </w:p>
        </w:tc>
      </w:tr>
      <w:tr>
        <w:trPr>
          <w:trHeight w:val="485" w:hRule="exact"/>
        </w:trPr>
        <w:tc>
          <w:tcPr>
            <w:tcW w:w="19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right="734"/>
              <w:jc w:val="right"/>
              <w:rPr>
                <w:rFonts w:ascii="宋体" w:hAnsi="宋体" w:cs="宋体" w:eastAsia="宋体" w:hint="default"/>
                <w:sz w:val="18"/>
                <w:szCs w:val="18"/>
              </w:rPr>
            </w:pPr>
            <w:r>
              <w:rPr>
                <w:rFonts w:ascii="宋体" w:hAnsi="宋体" w:cs="宋体" w:eastAsia="宋体" w:hint="default"/>
                <w:sz w:val="18"/>
                <w:szCs w:val="18"/>
              </w:rPr>
              <w:t>一、合营企业</w:t>
            </w:r>
          </w:p>
        </w:tc>
        <w:tc>
          <w:tcPr>
            <w:tcW w:w="1395" w:type="dxa"/>
            <w:tcBorders>
              <w:top w:val="single" w:sz="2" w:space="0" w:color="000000"/>
              <w:left w:val="single" w:sz="2" w:space="0" w:color="000000"/>
              <w:bottom w:val="single" w:sz="2" w:space="0" w:color="000000"/>
              <w:right w:val="single" w:sz="2" w:space="0" w:color="000000"/>
            </w:tcBorders>
          </w:tcPr>
          <w:p>
            <w:pPr/>
          </w:p>
        </w:tc>
        <w:tc>
          <w:tcPr>
            <w:tcW w:w="1539" w:type="dxa"/>
            <w:tcBorders>
              <w:top w:val="single" w:sz="2" w:space="0" w:color="000000"/>
              <w:left w:val="single" w:sz="2" w:space="0" w:color="000000"/>
              <w:bottom w:val="single" w:sz="2" w:space="0" w:color="000000"/>
              <w:right w:val="single" w:sz="2" w:space="0" w:color="000000"/>
            </w:tcBorders>
          </w:tcPr>
          <w:p>
            <w:pPr/>
          </w:p>
        </w:tc>
        <w:tc>
          <w:tcPr>
            <w:tcW w:w="1109" w:type="dxa"/>
            <w:tcBorders>
              <w:top w:val="single" w:sz="2" w:space="0" w:color="000000"/>
              <w:left w:val="single" w:sz="2" w:space="0" w:color="000000"/>
              <w:bottom w:val="single" w:sz="2" w:space="0" w:color="000000"/>
              <w:right w:val="single" w:sz="2" w:space="0" w:color="000000"/>
            </w:tcBorders>
          </w:tcPr>
          <w:p>
            <w:pPr/>
          </w:p>
        </w:tc>
        <w:tc>
          <w:tcPr>
            <w:tcW w:w="406" w:type="dxa"/>
            <w:tcBorders>
              <w:top w:val="single" w:sz="2" w:space="0" w:color="000000"/>
              <w:left w:val="single" w:sz="2" w:space="0" w:color="000000"/>
              <w:bottom w:val="single" w:sz="2" w:space="0" w:color="000000"/>
              <w:right w:val="single" w:sz="2" w:space="0" w:color="000000"/>
            </w:tcBorders>
          </w:tcPr>
          <w:p>
            <w:pPr/>
          </w:p>
        </w:tc>
        <w:tc>
          <w:tcPr>
            <w:tcW w:w="1532"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nil" w:sz="6" w:space="0" w:color="auto"/>
            </w:tcBorders>
          </w:tcPr>
          <w:p>
            <w:pPr/>
          </w:p>
        </w:tc>
      </w:tr>
      <w:tr>
        <w:trPr>
          <w:trHeight w:val="1022" w:hRule="exact"/>
        </w:trPr>
        <w:tc>
          <w:tcPr>
            <w:tcW w:w="1942" w:type="dxa"/>
            <w:tcBorders>
              <w:top w:val="single" w:sz="2" w:space="0" w:color="000000"/>
              <w:left w:val="nil" w:sz="6" w:space="0" w:color="auto"/>
              <w:bottom w:val="single" w:sz="2" w:space="0" w:color="000000"/>
              <w:right w:val="single" w:sz="2" w:space="0" w:color="000000"/>
            </w:tcBorders>
          </w:tcPr>
          <w:p>
            <w:pPr>
              <w:pStyle w:val="TableParagraph"/>
              <w:spacing w:line="316" w:lineRule="auto" w:before="49"/>
              <w:ind w:left="122" w:right="102"/>
              <w:jc w:val="both"/>
              <w:rPr>
                <w:rFonts w:ascii="宋体" w:hAnsi="宋体" w:cs="宋体" w:eastAsia="宋体" w:hint="default"/>
                <w:sz w:val="18"/>
                <w:szCs w:val="18"/>
              </w:rPr>
            </w:pPr>
            <w:r>
              <w:rPr>
                <w:rFonts w:ascii="宋体" w:hAnsi="宋体" w:cs="宋体" w:eastAsia="宋体" w:hint="default"/>
                <w:spacing w:val="9"/>
                <w:sz w:val="18"/>
                <w:szCs w:val="18"/>
              </w:rPr>
              <w:t>中远海运古野通信导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sz w:val="18"/>
                <w:szCs w:val="18"/>
              </w:rPr>
              <w:t>航科技（上海）有限公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w:t>
            </w:r>
          </w:p>
        </w:tc>
        <w:tc>
          <w:tcPr>
            <w:tcW w:w="1395" w:type="dxa"/>
            <w:tcBorders>
              <w:top w:val="single" w:sz="2" w:space="0" w:color="000000"/>
              <w:left w:val="single" w:sz="2" w:space="0" w:color="000000"/>
              <w:bottom w:val="single" w:sz="2" w:space="0" w:color="000000"/>
              <w:right w:val="single" w:sz="2" w:space="0" w:color="000000"/>
            </w:tcBorders>
          </w:tcPr>
          <w:p>
            <w:pPr/>
          </w:p>
        </w:tc>
        <w:tc>
          <w:tcPr>
            <w:tcW w:w="1539" w:type="dxa"/>
            <w:tcBorders>
              <w:top w:val="single" w:sz="2" w:space="0" w:color="000000"/>
              <w:left w:val="single" w:sz="2" w:space="0" w:color="000000"/>
              <w:bottom w:val="single" w:sz="2" w:space="0" w:color="000000"/>
              <w:right w:val="single" w:sz="2" w:space="0" w:color="000000"/>
            </w:tcBorders>
          </w:tcPr>
          <w:p>
            <w:pPr/>
          </w:p>
        </w:tc>
        <w:tc>
          <w:tcPr>
            <w:tcW w:w="1109" w:type="dxa"/>
            <w:tcBorders>
              <w:top w:val="single" w:sz="2" w:space="0" w:color="000000"/>
              <w:left w:val="single" w:sz="2" w:space="0" w:color="000000"/>
              <w:bottom w:val="single" w:sz="2" w:space="0" w:color="000000"/>
              <w:right w:val="single" w:sz="2" w:space="0" w:color="000000"/>
            </w:tcBorders>
          </w:tcPr>
          <w:p>
            <w:pPr/>
          </w:p>
        </w:tc>
        <w:tc>
          <w:tcPr>
            <w:tcW w:w="406" w:type="dxa"/>
            <w:tcBorders>
              <w:top w:val="single" w:sz="2" w:space="0" w:color="000000"/>
              <w:left w:val="single" w:sz="2" w:space="0" w:color="000000"/>
              <w:bottom w:val="single" w:sz="2" w:space="0" w:color="000000"/>
              <w:right w:val="single" w:sz="2" w:space="0" w:color="000000"/>
            </w:tcBorders>
          </w:tcPr>
          <w:p>
            <w:pPr/>
          </w:p>
        </w:tc>
        <w:tc>
          <w:tcPr>
            <w:tcW w:w="15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3"/>
              <w:jc w:val="right"/>
              <w:rPr>
                <w:rFonts w:ascii="Arial" w:hAnsi="Arial" w:cs="Arial" w:eastAsia="Arial" w:hint="default"/>
                <w:sz w:val="18"/>
                <w:szCs w:val="18"/>
              </w:rPr>
            </w:pPr>
            <w:r>
              <w:rPr>
                <w:rFonts w:ascii="Arial"/>
                <w:spacing w:val="-1"/>
                <w:sz w:val="18"/>
              </w:rPr>
              <w:t>5,725,060.38</w:t>
            </w:r>
          </w:p>
        </w:tc>
        <w:tc>
          <w:tcPr>
            <w:tcW w:w="1080"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19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2"/>
              <w:ind w:right="780"/>
              <w:jc w:val="right"/>
              <w:rPr>
                <w:rFonts w:ascii="宋体" w:hAnsi="宋体" w:cs="宋体" w:eastAsia="宋体" w:hint="default"/>
                <w:sz w:val="18"/>
                <w:szCs w:val="18"/>
              </w:rPr>
            </w:pPr>
            <w:r>
              <w:rPr>
                <w:rFonts w:ascii="宋体" w:hAnsi="宋体" w:cs="宋体" w:eastAsia="宋体" w:hint="default"/>
                <w:sz w:val="18"/>
                <w:szCs w:val="18"/>
              </w:rPr>
              <w:t>小计</w:t>
            </w:r>
          </w:p>
        </w:tc>
        <w:tc>
          <w:tcPr>
            <w:tcW w:w="1395" w:type="dxa"/>
            <w:tcBorders>
              <w:top w:val="single" w:sz="2" w:space="0" w:color="000000"/>
              <w:left w:val="single" w:sz="2" w:space="0" w:color="000000"/>
              <w:bottom w:val="single" w:sz="2" w:space="0" w:color="000000"/>
              <w:right w:val="single" w:sz="2" w:space="0" w:color="000000"/>
            </w:tcBorders>
          </w:tcPr>
          <w:p>
            <w:pPr/>
          </w:p>
        </w:tc>
        <w:tc>
          <w:tcPr>
            <w:tcW w:w="1539" w:type="dxa"/>
            <w:tcBorders>
              <w:top w:val="single" w:sz="2" w:space="0" w:color="000000"/>
              <w:left w:val="single" w:sz="2" w:space="0" w:color="000000"/>
              <w:bottom w:val="single" w:sz="2" w:space="0" w:color="000000"/>
              <w:right w:val="single" w:sz="2" w:space="0" w:color="000000"/>
            </w:tcBorders>
          </w:tcPr>
          <w:p>
            <w:pPr/>
          </w:p>
        </w:tc>
        <w:tc>
          <w:tcPr>
            <w:tcW w:w="1109" w:type="dxa"/>
            <w:tcBorders>
              <w:top w:val="single" w:sz="2" w:space="0" w:color="000000"/>
              <w:left w:val="single" w:sz="2" w:space="0" w:color="000000"/>
              <w:bottom w:val="single" w:sz="2" w:space="0" w:color="000000"/>
              <w:right w:val="single" w:sz="2" w:space="0" w:color="000000"/>
            </w:tcBorders>
          </w:tcPr>
          <w:p>
            <w:pPr/>
          </w:p>
        </w:tc>
        <w:tc>
          <w:tcPr>
            <w:tcW w:w="406" w:type="dxa"/>
            <w:tcBorders>
              <w:top w:val="single" w:sz="2" w:space="0" w:color="000000"/>
              <w:left w:val="single" w:sz="2" w:space="0" w:color="000000"/>
              <w:bottom w:val="single" w:sz="2" w:space="0" w:color="000000"/>
              <w:right w:val="single" w:sz="2" w:space="0" w:color="000000"/>
            </w:tcBorders>
          </w:tcPr>
          <w:p>
            <w:pPr/>
          </w:p>
        </w:tc>
        <w:tc>
          <w:tcPr>
            <w:tcW w:w="15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5,725,060.38</w:t>
            </w:r>
          </w:p>
        </w:tc>
        <w:tc>
          <w:tcPr>
            <w:tcW w:w="1080"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19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2"/>
              <w:ind w:right="734"/>
              <w:jc w:val="right"/>
              <w:rPr>
                <w:rFonts w:ascii="宋体" w:hAnsi="宋体" w:cs="宋体" w:eastAsia="宋体" w:hint="default"/>
                <w:sz w:val="18"/>
                <w:szCs w:val="18"/>
              </w:rPr>
            </w:pPr>
            <w:r>
              <w:rPr>
                <w:rFonts w:ascii="宋体" w:hAnsi="宋体" w:cs="宋体" w:eastAsia="宋体" w:hint="default"/>
                <w:sz w:val="18"/>
                <w:szCs w:val="18"/>
              </w:rPr>
              <w:t>二、联营企业</w:t>
            </w:r>
          </w:p>
        </w:tc>
        <w:tc>
          <w:tcPr>
            <w:tcW w:w="1395" w:type="dxa"/>
            <w:tcBorders>
              <w:top w:val="single" w:sz="2" w:space="0" w:color="000000"/>
              <w:left w:val="single" w:sz="2" w:space="0" w:color="000000"/>
              <w:bottom w:val="single" w:sz="2" w:space="0" w:color="000000"/>
              <w:right w:val="single" w:sz="2" w:space="0" w:color="000000"/>
            </w:tcBorders>
          </w:tcPr>
          <w:p>
            <w:pPr/>
          </w:p>
        </w:tc>
        <w:tc>
          <w:tcPr>
            <w:tcW w:w="1539" w:type="dxa"/>
            <w:tcBorders>
              <w:top w:val="single" w:sz="2" w:space="0" w:color="000000"/>
              <w:left w:val="single" w:sz="2" w:space="0" w:color="000000"/>
              <w:bottom w:val="single" w:sz="2" w:space="0" w:color="000000"/>
              <w:right w:val="single" w:sz="2" w:space="0" w:color="000000"/>
            </w:tcBorders>
          </w:tcPr>
          <w:p>
            <w:pPr/>
          </w:p>
        </w:tc>
        <w:tc>
          <w:tcPr>
            <w:tcW w:w="1109" w:type="dxa"/>
            <w:tcBorders>
              <w:top w:val="single" w:sz="2" w:space="0" w:color="000000"/>
              <w:left w:val="single" w:sz="2" w:space="0" w:color="000000"/>
              <w:bottom w:val="single" w:sz="2" w:space="0" w:color="000000"/>
              <w:right w:val="single" w:sz="2" w:space="0" w:color="000000"/>
            </w:tcBorders>
          </w:tcPr>
          <w:p>
            <w:pPr/>
          </w:p>
        </w:tc>
        <w:tc>
          <w:tcPr>
            <w:tcW w:w="406" w:type="dxa"/>
            <w:tcBorders>
              <w:top w:val="single" w:sz="2" w:space="0" w:color="000000"/>
              <w:left w:val="single" w:sz="2" w:space="0" w:color="000000"/>
              <w:bottom w:val="single" w:sz="2" w:space="0" w:color="000000"/>
              <w:right w:val="single" w:sz="2" w:space="0" w:color="000000"/>
            </w:tcBorders>
          </w:tcPr>
          <w:p>
            <w:pPr/>
          </w:p>
        </w:tc>
        <w:tc>
          <w:tcPr>
            <w:tcW w:w="1532"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nil" w:sz="6" w:space="0" w:color="auto"/>
            </w:tcBorders>
          </w:tcPr>
          <w:p>
            <w:pPr/>
          </w:p>
        </w:tc>
      </w:tr>
      <w:tr>
        <w:trPr>
          <w:trHeight w:val="708" w:hRule="exact"/>
        </w:trPr>
        <w:tc>
          <w:tcPr>
            <w:tcW w:w="1942" w:type="dxa"/>
            <w:tcBorders>
              <w:top w:val="single" w:sz="2" w:space="0" w:color="000000"/>
              <w:left w:val="nil" w:sz="6" w:space="0" w:color="auto"/>
              <w:bottom w:val="single" w:sz="2" w:space="0" w:color="000000"/>
              <w:right w:val="single" w:sz="2" w:space="0" w:color="000000"/>
            </w:tcBorders>
          </w:tcPr>
          <w:p>
            <w:pPr>
              <w:pStyle w:val="TableParagraph"/>
              <w:spacing w:line="316" w:lineRule="auto" w:before="49"/>
              <w:ind w:left="122" w:right="102"/>
              <w:jc w:val="left"/>
              <w:rPr>
                <w:rFonts w:ascii="宋体" w:hAnsi="宋体" w:cs="宋体" w:eastAsia="宋体" w:hint="default"/>
                <w:sz w:val="18"/>
                <w:szCs w:val="18"/>
              </w:rPr>
            </w:pPr>
            <w:r>
              <w:rPr>
                <w:rFonts w:ascii="宋体" w:hAnsi="宋体" w:cs="宋体" w:eastAsia="宋体" w:hint="default"/>
                <w:spacing w:val="9"/>
                <w:sz w:val="18"/>
                <w:szCs w:val="18"/>
              </w:rPr>
              <w:t>深圳一海通全球供应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链管理有限公司</w:t>
            </w:r>
          </w:p>
        </w:tc>
        <w:tc>
          <w:tcPr>
            <w:tcW w:w="1395" w:type="dxa"/>
            <w:tcBorders>
              <w:top w:val="single" w:sz="2" w:space="0" w:color="000000"/>
              <w:left w:val="single" w:sz="2" w:space="0" w:color="000000"/>
              <w:bottom w:val="single" w:sz="2" w:space="0" w:color="000000"/>
              <w:right w:val="single" w:sz="2" w:space="0" w:color="000000"/>
            </w:tcBorders>
          </w:tcPr>
          <w:p>
            <w:pPr/>
          </w:p>
        </w:tc>
        <w:tc>
          <w:tcPr>
            <w:tcW w:w="1539" w:type="dxa"/>
            <w:tcBorders>
              <w:top w:val="single" w:sz="2" w:space="0" w:color="000000"/>
              <w:left w:val="single" w:sz="2" w:space="0" w:color="000000"/>
              <w:bottom w:val="single" w:sz="2" w:space="0" w:color="000000"/>
              <w:right w:val="single" w:sz="2" w:space="0" w:color="000000"/>
            </w:tcBorders>
          </w:tcPr>
          <w:p>
            <w:pPr/>
          </w:p>
        </w:tc>
        <w:tc>
          <w:tcPr>
            <w:tcW w:w="1109" w:type="dxa"/>
            <w:tcBorders>
              <w:top w:val="single" w:sz="2" w:space="0" w:color="000000"/>
              <w:left w:val="single" w:sz="2" w:space="0" w:color="000000"/>
              <w:bottom w:val="single" w:sz="2" w:space="0" w:color="000000"/>
              <w:right w:val="single" w:sz="2" w:space="0" w:color="000000"/>
            </w:tcBorders>
          </w:tcPr>
          <w:p>
            <w:pPr/>
          </w:p>
        </w:tc>
        <w:tc>
          <w:tcPr>
            <w:tcW w:w="406" w:type="dxa"/>
            <w:tcBorders>
              <w:top w:val="single" w:sz="2" w:space="0" w:color="000000"/>
              <w:left w:val="single" w:sz="2" w:space="0" w:color="000000"/>
              <w:bottom w:val="single" w:sz="2" w:space="0" w:color="000000"/>
              <w:right w:val="single" w:sz="2" w:space="0" w:color="000000"/>
            </w:tcBorders>
          </w:tcPr>
          <w:p>
            <w:pPr/>
          </w:p>
        </w:tc>
        <w:tc>
          <w:tcPr>
            <w:tcW w:w="1532"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nil" w:sz="6" w:space="0" w:color="auto"/>
            </w:tcBorders>
          </w:tcPr>
          <w:p>
            <w:pPr/>
          </w:p>
        </w:tc>
      </w:tr>
      <w:tr>
        <w:trPr>
          <w:trHeight w:val="710" w:hRule="exact"/>
        </w:trPr>
        <w:tc>
          <w:tcPr>
            <w:tcW w:w="1942" w:type="dxa"/>
            <w:tcBorders>
              <w:top w:val="single" w:sz="2" w:space="0" w:color="000000"/>
              <w:left w:val="nil" w:sz="6" w:space="0" w:color="auto"/>
              <w:bottom w:val="single" w:sz="2" w:space="0" w:color="000000"/>
              <w:right w:val="single" w:sz="2" w:space="0" w:color="000000"/>
            </w:tcBorders>
          </w:tcPr>
          <w:p>
            <w:pPr>
              <w:pStyle w:val="TableParagraph"/>
              <w:spacing w:line="316" w:lineRule="auto" w:before="49"/>
              <w:ind w:left="122" w:right="102"/>
              <w:jc w:val="left"/>
              <w:rPr>
                <w:rFonts w:ascii="宋体" w:hAnsi="宋体" w:cs="宋体" w:eastAsia="宋体" w:hint="default"/>
                <w:sz w:val="18"/>
                <w:szCs w:val="18"/>
              </w:rPr>
            </w:pPr>
            <w:r>
              <w:rPr>
                <w:rFonts w:ascii="宋体" w:hAnsi="宋体" w:cs="宋体" w:eastAsia="宋体" w:hint="default"/>
                <w:spacing w:val="9"/>
                <w:sz w:val="18"/>
                <w:szCs w:val="18"/>
              </w:rPr>
              <w:t>上海中远资讯科技有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13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2"/>
              <w:jc w:val="right"/>
              <w:rPr>
                <w:rFonts w:ascii="Arial" w:hAnsi="Arial" w:cs="Arial" w:eastAsia="Arial" w:hint="default"/>
                <w:sz w:val="18"/>
                <w:szCs w:val="18"/>
              </w:rPr>
            </w:pPr>
            <w:r>
              <w:rPr>
                <w:rFonts w:ascii="Arial"/>
                <w:spacing w:val="-1"/>
                <w:sz w:val="18"/>
              </w:rPr>
              <w:t>319,157.49</w:t>
            </w:r>
          </w:p>
        </w:tc>
        <w:tc>
          <w:tcPr>
            <w:tcW w:w="1539" w:type="dxa"/>
            <w:tcBorders>
              <w:top w:val="single" w:sz="2" w:space="0" w:color="000000"/>
              <w:left w:val="single" w:sz="2" w:space="0" w:color="000000"/>
              <w:bottom w:val="single" w:sz="2" w:space="0" w:color="000000"/>
              <w:right w:val="single" w:sz="2" w:space="0" w:color="000000"/>
            </w:tcBorders>
          </w:tcPr>
          <w:p>
            <w:pPr/>
          </w:p>
        </w:tc>
        <w:tc>
          <w:tcPr>
            <w:tcW w:w="1109" w:type="dxa"/>
            <w:tcBorders>
              <w:top w:val="single" w:sz="2" w:space="0" w:color="000000"/>
              <w:left w:val="single" w:sz="2" w:space="0" w:color="000000"/>
              <w:bottom w:val="single" w:sz="2" w:space="0" w:color="000000"/>
              <w:right w:val="single" w:sz="2" w:space="0" w:color="000000"/>
            </w:tcBorders>
          </w:tcPr>
          <w:p>
            <w:pPr/>
          </w:p>
        </w:tc>
        <w:tc>
          <w:tcPr>
            <w:tcW w:w="406" w:type="dxa"/>
            <w:tcBorders>
              <w:top w:val="single" w:sz="2" w:space="0" w:color="000000"/>
              <w:left w:val="single" w:sz="2" w:space="0" w:color="000000"/>
              <w:bottom w:val="single" w:sz="2" w:space="0" w:color="000000"/>
              <w:right w:val="single" w:sz="2" w:space="0" w:color="000000"/>
            </w:tcBorders>
          </w:tcPr>
          <w:p>
            <w:pPr/>
          </w:p>
        </w:tc>
        <w:tc>
          <w:tcPr>
            <w:tcW w:w="15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1,980,990.22</w:t>
            </w:r>
          </w:p>
        </w:tc>
        <w:tc>
          <w:tcPr>
            <w:tcW w:w="1080" w:type="dxa"/>
            <w:tcBorders>
              <w:top w:val="single" w:sz="2" w:space="0" w:color="000000"/>
              <w:left w:val="single" w:sz="2" w:space="0" w:color="000000"/>
              <w:bottom w:val="single" w:sz="2" w:space="0" w:color="000000"/>
              <w:right w:val="nil" w:sz="6" w:space="0" w:color="auto"/>
            </w:tcBorders>
          </w:tcPr>
          <w:p>
            <w:pPr/>
          </w:p>
        </w:tc>
      </w:tr>
      <w:tr>
        <w:trPr>
          <w:trHeight w:val="708" w:hRule="exact"/>
        </w:trPr>
        <w:tc>
          <w:tcPr>
            <w:tcW w:w="1942" w:type="dxa"/>
            <w:tcBorders>
              <w:top w:val="single" w:sz="2" w:space="0" w:color="000000"/>
              <w:left w:val="nil" w:sz="6" w:space="0" w:color="auto"/>
              <w:bottom w:val="single" w:sz="2" w:space="0" w:color="000000"/>
              <w:right w:val="single" w:sz="2" w:space="0" w:color="000000"/>
            </w:tcBorders>
          </w:tcPr>
          <w:p>
            <w:pPr>
              <w:pStyle w:val="TableParagraph"/>
              <w:spacing w:line="316" w:lineRule="auto" w:before="49"/>
              <w:ind w:left="122" w:right="102"/>
              <w:jc w:val="left"/>
              <w:rPr>
                <w:rFonts w:ascii="宋体" w:hAnsi="宋体" w:cs="宋体" w:eastAsia="宋体" w:hint="default"/>
                <w:sz w:val="18"/>
                <w:szCs w:val="18"/>
              </w:rPr>
            </w:pPr>
            <w:r>
              <w:rPr>
                <w:rFonts w:ascii="宋体" w:hAnsi="宋体" w:cs="宋体" w:eastAsia="宋体" w:hint="default"/>
                <w:spacing w:val="9"/>
                <w:sz w:val="18"/>
                <w:szCs w:val="18"/>
              </w:rPr>
              <w:t>宁夏交投科技发展有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1395" w:type="dxa"/>
            <w:tcBorders>
              <w:top w:val="single" w:sz="2" w:space="0" w:color="000000"/>
              <w:left w:val="single" w:sz="2" w:space="0" w:color="000000"/>
              <w:bottom w:val="single" w:sz="2" w:space="0" w:color="000000"/>
              <w:right w:val="single" w:sz="2" w:space="0" w:color="000000"/>
            </w:tcBorders>
          </w:tcPr>
          <w:p>
            <w:pPr/>
          </w:p>
        </w:tc>
        <w:tc>
          <w:tcPr>
            <w:tcW w:w="1539" w:type="dxa"/>
            <w:tcBorders>
              <w:top w:val="single" w:sz="2" w:space="0" w:color="000000"/>
              <w:left w:val="single" w:sz="2" w:space="0" w:color="000000"/>
              <w:bottom w:val="single" w:sz="2" w:space="0" w:color="000000"/>
              <w:right w:val="single" w:sz="2" w:space="0" w:color="000000"/>
            </w:tcBorders>
          </w:tcPr>
          <w:p>
            <w:pPr/>
          </w:p>
        </w:tc>
        <w:tc>
          <w:tcPr>
            <w:tcW w:w="1109" w:type="dxa"/>
            <w:tcBorders>
              <w:top w:val="single" w:sz="2" w:space="0" w:color="000000"/>
              <w:left w:val="single" w:sz="2" w:space="0" w:color="000000"/>
              <w:bottom w:val="single" w:sz="2" w:space="0" w:color="000000"/>
              <w:right w:val="single" w:sz="2" w:space="0" w:color="000000"/>
            </w:tcBorders>
          </w:tcPr>
          <w:p>
            <w:pPr/>
          </w:p>
        </w:tc>
        <w:tc>
          <w:tcPr>
            <w:tcW w:w="406" w:type="dxa"/>
            <w:tcBorders>
              <w:top w:val="single" w:sz="2" w:space="0" w:color="000000"/>
              <w:left w:val="single" w:sz="2" w:space="0" w:color="000000"/>
              <w:bottom w:val="single" w:sz="2" w:space="0" w:color="000000"/>
              <w:right w:val="single" w:sz="2" w:space="0" w:color="000000"/>
            </w:tcBorders>
          </w:tcPr>
          <w:p>
            <w:pPr/>
          </w:p>
        </w:tc>
        <w:tc>
          <w:tcPr>
            <w:tcW w:w="15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12,552,849.56</w:t>
            </w:r>
          </w:p>
        </w:tc>
        <w:tc>
          <w:tcPr>
            <w:tcW w:w="1080"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19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right="780"/>
              <w:jc w:val="right"/>
              <w:rPr>
                <w:rFonts w:ascii="宋体" w:hAnsi="宋体" w:cs="宋体" w:eastAsia="宋体" w:hint="default"/>
                <w:sz w:val="18"/>
                <w:szCs w:val="18"/>
              </w:rPr>
            </w:pPr>
            <w:r>
              <w:rPr>
                <w:rFonts w:ascii="宋体" w:hAnsi="宋体" w:cs="宋体" w:eastAsia="宋体" w:hint="default"/>
                <w:sz w:val="18"/>
                <w:szCs w:val="18"/>
              </w:rPr>
              <w:t>小计</w:t>
            </w:r>
          </w:p>
        </w:tc>
        <w:tc>
          <w:tcPr>
            <w:tcW w:w="13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319,157.49</w:t>
            </w:r>
          </w:p>
        </w:tc>
        <w:tc>
          <w:tcPr>
            <w:tcW w:w="1539" w:type="dxa"/>
            <w:tcBorders>
              <w:top w:val="single" w:sz="2" w:space="0" w:color="000000"/>
              <w:left w:val="single" w:sz="2" w:space="0" w:color="000000"/>
              <w:bottom w:val="single" w:sz="2" w:space="0" w:color="000000"/>
              <w:right w:val="single" w:sz="2" w:space="0" w:color="000000"/>
            </w:tcBorders>
          </w:tcPr>
          <w:p>
            <w:pPr/>
          </w:p>
        </w:tc>
        <w:tc>
          <w:tcPr>
            <w:tcW w:w="1109" w:type="dxa"/>
            <w:tcBorders>
              <w:top w:val="single" w:sz="2" w:space="0" w:color="000000"/>
              <w:left w:val="single" w:sz="2" w:space="0" w:color="000000"/>
              <w:bottom w:val="single" w:sz="2" w:space="0" w:color="000000"/>
              <w:right w:val="single" w:sz="2" w:space="0" w:color="000000"/>
            </w:tcBorders>
          </w:tcPr>
          <w:p>
            <w:pPr/>
          </w:p>
        </w:tc>
        <w:tc>
          <w:tcPr>
            <w:tcW w:w="406" w:type="dxa"/>
            <w:tcBorders>
              <w:top w:val="single" w:sz="2" w:space="0" w:color="000000"/>
              <w:left w:val="single" w:sz="2" w:space="0" w:color="000000"/>
              <w:bottom w:val="single" w:sz="2" w:space="0" w:color="000000"/>
              <w:right w:val="single" w:sz="2" w:space="0" w:color="000000"/>
            </w:tcBorders>
          </w:tcPr>
          <w:p>
            <w:pPr/>
          </w:p>
        </w:tc>
        <w:tc>
          <w:tcPr>
            <w:tcW w:w="15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14,533,839.78</w:t>
            </w:r>
          </w:p>
        </w:tc>
        <w:tc>
          <w:tcPr>
            <w:tcW w:w="1080" w:type="dxa"/>
            <w:tcBorders>
              <w:top w:val="single" w:sz="2" w:space="0" w:color="000000"/>
              <w:left w:val="single" w:sz="2" w:space="0" w:color="000000"/>
              <w:bottom w:val="single" w:sz="2" w:space="0" w:color="000000"/>
              <w:right w:val="nil" w:sz="6" w:space="0" w:color="auto"/>
            </w:tcBorders>
          </w:tcPr>
          <w:p>
            <w:pPr/>
          </w:p>
        </w:tc>
      </w:tr>
      <w:tr>
        <w:trPr>
          <w:trHeight w:val="500" w:hRule="exact"/>
        </w:trPr>
        <w:tc>
          <w:tcPr>
            <w:tcW w:w="194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right="780"/>
              <w:jc w:val="right"/>
              <w:rPr>
                <w:rFonts w:ascii="宋体" w:hAnsi="宋体" w:cs="宋体" w:eastAsia="宋体" w:hint="default"/>
                <w:sz w:val="18"/>
                <w:szCs w:val="18"/>
              </w:rPr>
            </w:pPr>
            <w:r>
              <w:rPr>
                <w:rFonts w:ascii="宋体" w:hAnsi="宋体" w:cs="宋体" w:eastAsia="宋体" w:hint="default"/>
                <w:sz w:val="18"/>
                <w:szCs w:val="18"/>
              </w:rPr>
              <w:t>合计</w:t>
            </w:r>
          </w:p>
        </w:tc>
        <w:tc>
          <w:tcPr>
            <w:tcW w:w="13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319,157.49</w:t>
            </w:r>
          </w:p>
        </w:tc>
        <w:tc>
          <w:tcPr>
            <w:tcW w:w="1539" w:type="dxa"/>
            <w:tcBorders>
              <w:top w:val="single" w:sz="2" w:space="0" w:color="000000"/>
              <w:left w:val="single" w:sz="2" w:space="0" w:color="000000"/>
              <w:bottom w:val="single" w:sz="12" w:space="0" w:color="000000"/>
              <w:right w:val="single" w:sz="2" w:space="0" w:color="000000"/>
            </w:tcBorders>
          </w:tcPr>
          <w:p>
            <w:pPr/>
          </w:p>
        </w:tc>
        <w:tc>
          <w:tcPr>
            <w:tcW w:w="1109" w:type="dxa"/>
            <w:tcBorders>
              <w:top w:val="single" w:sz="2" w:space="0" w:color="000000"/>
              <w:left w:val="single" w:sz="2" w:space="0" w:color="000000"/>
              <w:bottom w:val="single" w:sz="12" w:space="0" w:color="000000"/>
              <w:right w:val="single" w:sz="2" w:space="0" w:color="000000"/>
            </w:tcBorders>
          </w:tcPr>
          <w:p>
            <w:pPr/>
          </w:p>
        </w:tc>
        <w:tc>
          <w:tcPr>
            <w:tcW w:w="406" w:type="dxa"/>
            <w:tcBorders>
              <w:top w:val="single" w:sz="2" w:space="0" w:color="000000"/>
              <w:left w:val="single" w:sz="2" w:space="0" w:color="000000"/>
              <w:bottom w:val="single" w:sz="12" w:space="0" w:color="000000"/>
              <w:right w:val="single" w:sz="2" w:space="0" w:color="000000"/>
            </w:tcBorders>
          </w:tcPr>
          <w:p>
            <w:pPr/>
          </w:p>
        </w:tc>
        <w:tc>
          <w:tcPr>
            <w:tcW w:w="15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20,258,900.16</w:t>
            </w:r>
          </w:p>
        </w:tc>
        <w:tc>
          <w:tcPr>
            <w:tcW w:w="1080" w:type="dxa"/>
            <w:tcBorders>
              <w:top w:val="single" w:sz="2" w:space="0" w:color="000000"/>
              <w:left w:val="single" w:sz="2" w:space="0" w:color="000000"/>
              <w:bottom w:val="single" w:sz="12" w:space="0" w:color="000000"/>
              <w:right w:val="nil" w:sz="6" w:space="0" w:color="auto"/>
            </w:tcBorders>
          </w:tcPr>
          <w:p>
            <w:pPr/>
          </w:p>
        </w:tc>
      </w:tr>
    </w:tbl>
    <w:p>
      <w:pPr>
        <w:pStyle w:val="Heading4"/>
        <w:spacing w:line="240" w:lineRule="auto"/>
        <w:ind w:left="647" w:right="1133"/>
        <w:jc w:val="left"/>
        <w:rPr>
          <w:b w:val="0"/>
          <w:bCs w:val="0"/>
        </w:rPr>
      </w:pPr>
      <w:r>
        <w:rPr>
          <w:rFonts w:ascii="Arial" w:hAnsi="Arial" w:cs="Arial" w:eastAsia="Arial" w:hint="default"/>
        </w:rPr>
        <w:t>4</w:t>
      </w:r>
      <w:r>
        <w:rPr/>
        <w:t>、营业收入、营业成本</w:t>
      </w:r>
      <w:r>
        <w:rPr>
          <w:b w:val="0"/>
          <w:bCs w:val="0"/>
        </w:rPr>
      </w:r>
    </w:p>
    <w:p>
      <w:pPr>
        <w:spacing w:line="240" w:lineRule="auto" w:before="9"/>
        <w:rPr>
          <w:rFonts w:ascii="宋体" w:hAnsi="宋体" w:cs="宋体" w:eastAsia="宋体" w:hint="default"/>
          <w:b/>
          <w:bCs/>
          <w:sz w:val="2"/>
          <w:szCs w:val="2"/>
        </w:rPr>
      </w:pPr>
    </w:p>
    <w:tbl>
      <w:tblPr>
        <w:tblW w:w="0" w:type="auto"/>
        <w:jc w:val="left"/>
        <w:tblInd w:w="580" w:type="dxa"/>
        <w:tblLayout w:type="fixed"/>
        <w:tblCellMar>
          <w:top w:w="0" w:type="dxa"/>
          <w:left w:w="0" w:type="dxa"/>
          <w:bottom w:w="0" w:type="dxa"/>
          <w:right w:w="0" w:type="dxa"/>
        </w:tblCellMar>
        <w:tblLook w:val="01E0"/>
      </w:tblPr>
      <w:tblGrid>
        <w:gridCol w:w="1682"/>
        <w:gridCol w:w="1844"/>
        <w:gridCol w:w="1704"/>
        <w:gridCol w:w="1699"/>
        <w:gridCol w:w="1810"/>
      </w:tblGrid>
      <w:tr>
        <w:trPr>
          <w:trHeight w:val="497" w:hRule="exact"/>
        </w:trPr>
        <w:tc>
          <w:tcPr>
            <w:tcW w:w="1682"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6"/>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48"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9"/>
              <w:ind w:left="2" w:right="0"/>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3509"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49"/>
              <w:ind w:right="3"/>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485" w:hRule="exact"/>
        </w:trPr>
        <w:tc>
          <w:tcPr>
            <w:tcW w:w="1682" w:type="dxa"/>
            <w:vMerge/>
            <w:tcBorders>
              <w:left w:val="nil" w:sz="6" w:space="0" w:color="auto"/>
              <w:bottom w:val="single" w:sz="2" w:space="0" w:color="000000"/>
              <w:right w:val="single" w:sz="2" w:space="0" w:color="000000"/>
            </w:tcBorders>
          </w:tcPr>
          <w:p>
            <w:pP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5"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7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8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left="3"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85"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4"/>
              <w:jc w:val="right"/>
              <w:rPr>
                <w:rFonts w:ascii="Arial" w:hAnsi="Arial" w:cs="Arial" w:eastAsia="Arial" w:hint="default"/>
                <w:sz w:val="18"/>
                <w:szCs w:val="18"/>
              </w:rPr>
            </w:pPr>
            <w:r>
              <w:rPr>
                <w:rFonts w:ascii="Arial"/>
                <w:spacing w:val="-1"/>
                <w:sz w:val="18"/>
              </w:rPr>
              <w:t>860,636,573.89</w:t>
            </w:r>
          </w:p>
        </w:tc>
        <w:tc>
          <w:tcPr>
            <w:tcW w:w="17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695,840,121.72</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672,926,740.13</w:t>
            </w:r>
          </w:p>
        </w:tc>
        <w:tc>
          <w:tcPr>
            <w:tcW w:w="18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559,887,849.75</w:t>
            </w:r>
          </w:p>
        </w:tc>
      </w:tr>
      <w:tr>
        <w:trPr>
          <w:trHeight w:val="485"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2"/>
                <w:sz w:val="18"/>
              </w:rPr>
              <w:t>28,511,651.50</w:t>
            </w:r>
          </w:p>
        </w:tc>
        <w:tc>
          <w:tcPr>
            <w:tcW w:w="17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4,218,902.67</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25,796,001.00</w:t>
            </w:r>
          </w:p>
        </w:tc>
        <w:tc>
          <w:tcPr>
            <w:tcW w:w="18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3,624,230.32</w:t>
            </w:r>
          </w:p>
        </w:tc>
      </w:tr>
      <w:tr>
        <w:trPr>
          <w:trHeight w:val="499" w:hRule="exact"/>
        </w:trPr>
        <w:tc>
          <w:tcPr>
            <w:tcW w:w="168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4"/>
              <w:jc w:val="right"/>
              <w:rPr>
                <w:rFonts w:ascii="Arial" w:hAnsi="Arial" w:cs="Arial" w:eastAsia="Arial" w:hint="default"/>
                <w:sz w:val="18"/>
                <w:szCs w:val="18"/>
              </w:rPr>
            </w:pPr>
            <w:r>
              <w:rPr>
                <w:rFonts w:ascii="Arial"/>
                <w:spacing w:val="-1"/>
                <w:sz w:val="18"/>
              </w:rPr>
              <w:t>889,148,225.39</w:t>
            </w:r>
          </w:p>
        </w:tc>
        <w:tc>
          <w:tcPr>
            <w:tcW w:w="17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700,059,024.39</w:t>
            </w:r>
          </w:p>
        </w:tc>
        <w:tc>
          <w:tcPr>
            <w:tcW w:w="16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698,722,741.13</w:t>
            </w:r>
          </w:p>
        </w:tc>
        <w:tc>
          <w:tcPr>
            <w:tcW w:w="181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563,512,080.07</w:t>
            </w:r>
          </w:p>
        </w:tc>
      </w:tr>
    </w:tbl>
    <w:p>
      <w:pPr>
        <w:pStyle w:val="Heading4"/>
        <w:spacing w:line="240" w:lineRule="auto" w:before="63"/>
        <w:ind w:left="647" w:right="1133"/>
        <w:jc w:val="left"/>
        <w:rPr>
          <w:b w:val="0"/>
          <w:bCs w:val="0"/>
        </w:rPr>
      </w:pPr>
      <w:r>
        <w:rPr>
          <w:rFonts w:ascii="Arial" w:hAnsi="Arial" w:cs="Arial" w:eastAsia="Arial" w:hint="default"/>
        </w:rPr>
        <w:t>5</w:t>
      </w:r>
      <w:r>
        <w:rPr/>
        <w:t>、投资收益</w:t>
      </w:r>
      <w:r>
        <w:rPr>
          <w:b w:val="0"/>
          <w:bCs w:val="0"/>
        </w:rPr>
      </w:r>
    </w:p>
    <w:p>
      <w:pPr>
        <w:spacing w:line="240" w:lineRule="auto" w:before="9"/>
        <w:rPr>
          <w:rFonts w:ascii="宋体" w:hAnsi="宋体" w:cs="宋体" w:eastAsia="宋体" w:hint="default"/>
          <w:b/>
          <w:bCs/>
          <w:sz w:val="2"/>
          <w:szCs w:val="2"/>
        </w:rPr>
      </w:pPr>
    </w:p>
    <w:tbl>
      <w:tblPr>
        <w:tblW w:w="0" w:type="auto"/>
        <w:jc w:val="left"/>
        <w:tblInd w:w="580" w:type="dxa"/>
        <w:tblLayout w:type="fixed"/>
        <w:tblCellMar>
          <w:top w:w="0" w:type="dxa"/>
          <w:left w:w="0" w:type="dxa"/>
          <w:bottom w:w="0" w:type="dxa"/>
          <w:right w:w="0" w:type="dxa"/>
        </w:tblCellMar>
        <w:tblLook w:val="01E0"/>
      </w:tblPr>
      <w:tblGrid>
        <w:gridCol w:w="4630"/>
        <w:gridCol w:w="2153"/>
        <w:gridCol w:w="1956"/>
      </w:tblGrid>
      <w:tr>
        <w:trPr>
          <w:trHeight w:val="497" w:hRule="exact"/>
        </w:trPr>
        <w:tc>
          <w:tcPr>
            <w:tcW w:w="463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49"/>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5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9"/>
              <w:ind w:left="624"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195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49"/>
              <w:ind w:left="526"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485" w:hRule="exact"/>
        </w:trPr>
        <w:tc>
          <w:tcPr>
            <w:tcW w:w="46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1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1,516,497.13</w:t>
            </w:r>
          </w:p>
        </w:tc>
        <w:tc>
          <w:tcPr>
            <w:tcW w:w="19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-2,218,221.66</w:t>
            </w:r>
          </w:p>
        </w:tc>
      </w:tr>
      <w:tr>
        <w:trPr>
          <w:trHeight w:val="485" w:hRule="exact"/>
        </w:trPr>
        <w:tc>
          <w:tcPr>
            <w:tcW w:w="46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1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6,000,000.00</w:t>
            </w:r>
          </w:p>
        </w:tc>
        <w:tc>
          <w:tcPr>
            <w:tcW w:w="1956" w:type="dxa"/>
            <w:tcBorders>
              <w:top w:val="single" w:sz="2" w:space="0" w:color="000000"/>
              <w:left w:val="single" w:sz="2" w:space="0" w:color="000000"/>
              <w:bottom w:val="single" w:sz="2" w:space="0" w:color="000000"/>
              <w:right w:val="nil" w:sz="6" w:space="0" w:color="auto"/>
            </w:tcBorders>
          </w:tcPr>
          <w:p>
            <w:pPr/>
          </w:p>
        </w:tc>
      </w:tr>
      <w:tr>
        <w:trPr>
          <w:trHeight w:val="499" w:hRule="exact"/>
        </w:trPr>
        <w:tc>
          <w:tcPr>
            <w:tcW w:w="463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5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7,516,497.13</w:t>
            </w:r>
          </w:p>
        </w:tc>
        <w:tc>
          <w:tcPr>
            <w:tcW w:w="195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5"/>
              <w:jc w:val="right"/>
              <w:rPr>
                <w:rFonts w:ascii="Arial" w:hAnsi="Arial" w:cs="Arial" w:eastAsia="Arial" w:hint="default"/>
                <w:sz w:val="18"/>
                <w:szCs w:val="18"/>
              </w:rPr>
            </w:pPr>
            <w:r>
              <w:rPr>
                <w:rFonts w:ascii="Arial"/>
                <w:spacing w:val="-1"/>
                <w:sz w:val="18"/>
              </w:rPr>
              <w:t>-2,218,221.66</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3"/>
        <w:spacing w:line="240" w:lineRule="auto" w:before="178"/>
        <w:ind w:right="1133"/>
        <w:jc w:val="left"/>
        <w:rPr>
          <w:b w:val="0"/>
          <w:bCs w:val="0"/>
        </w:rPr>
      </w:pPr>
      <w:r>
        <w:rPr/>
        <w:t>二十、财务报告批准</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592" w:right="1133"/>
        <w:jc w:val="left"/>
      </w:pPr>
      <w:r>
        <w:rPr/>
        <w:t>本财务报告于</w:t>
      </w:r>
      <w:r>
        <w:rPr>
          <w:spacing w:val="-55"/>
        </w:rPr>
        <w:t> </w:t>
      </w:r>
      <w:r>
        <w:rPr>
          <w:rFonts w:ascii="Arial" w:hAnsi="Arial" w:cs="Arial" w:eastAsia="Arial" w:hint="default"/>
        </w:rPr>
        <w:t>2020</w:t>
      </w:r>
      <w:r>
        <w:rPr>
          <w:rFonts w:ascii="Arial" w:hAnsi="Arial" w:cs="Arial" w:eastAsia="Arial" w:hint="default"/>
          <w:spacing w:val="-9"/>
        </w:rPr>
        <w:t> </w:t>
      </w:r>
      <w:r>
        <w:rPr/>
        <w:t>年</w:t>
      </w:r>
      <w:r>
        <w:rPr>
          <w:spacing w:val="-55"/>
        </w:rPr>
        <w:t> </w:t>
      </w:r>
      <w:r>
        <w:rPr>
          <w:rFonts w:ascii="Arial" w:hAnsi="Arial" w:cs="Arial" w:eastAsia="Arial" w:hint="default"/>
        </w:rPr>
        <w:t>3</w:t>
      </w:r>
      <w:r>
        <w:rPr>
          <w:rFonts w:ascii="Arial" w:hAnsi="Arial" w:cs="Arial" w:eastAsia="Arial" w:hint="default"/>
          <w:spacing w:val="-9"/>
        </w:rPr>
        <w:t> </w:t>
      </w:r>
      <w:r>
        <w:rPr/>
        <w:t>月</w:t>
      </w:r>
      <w:r>
        <w:rPr>
          <w:spacing w:val="-55"/>
        </w:rPr>
        <w:t> </w:t>
      </w:r>
      <w:r>
        <w:rPr>
          <w:rFonts w:ascii="Arial" w:hAnsi="Arial" w:cs="Arial" w:eastAsia="Arial" w:hint="default"/>
        </w:rPr>
        <w:t>27</w:t>
      </w:r>
      <w:r>
        <w:rPr>
          <w:rFonts w:ascii="Arial" w:hAnsi="Arial" w:cs="Arial" w:eastAsia="Arial" w:hint="default"/>
          <w:spacing w:val="-7"/>
        </w:rPr>
        <w:t> </w:t>
      </w:r>
      <w:r>
        <w:rPr/>
        <w:t>日由本公司董事会批准报出。</w:t>
      </w:r>
    </w:p>
    <w:p>
      <w:pPr>
        <w:spacing w:after="0" w:line="240" w:lineRule="auto"/>
        <w:jc w:val="left"/>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1133"/>
        <w:jc w:val="left"/>
        <w:rPr>
          <w:b w:val="0"/>
          <w:bCs w:val="0"/>
        </w:rPr>
      </w:pPr>
      <w:r>
        <w:rPr/>
        <w:t>二十一、财务报表补充资料</w:t>
      </w:r>
      <w:r>
        <w:rPr>
          <w:b w:val="0"/>
          <w:bCs w:val="0"/>
        </w:rPr>
      </w:r>
    </w:p>
    <w:p>
      <w:pPr>
        <w:spacing w:line="240" w:lineRule="auto" w:before="8"/>
        <w:rPr>
          <w:rFonts w:ascii="宋体" w:hAnsi="宋体" w:cs="宋体" w:eastAsia="宋体" w:hint="default"/>
          <w:b/>
          <w:bCs/>
          <w:sz w:val="30"/>
          <w:szCs w:val="30"/>
        </w:rPr>
      </w:pPr>
    </w:p>
    <w:p>
      <w:pPr>
        <w:spacing w:line="348" w:lineRule="auto" w:before="0"/>
        <w:ind w:left="592" w:right="1119" w:firstLine="43"/>
        <w:jc w:val="left"/>
        <w:rPr>
          <w:rFonts w:ascii="宋体" w:hAnsi="宋体" w:cs="宋体" w:eastAsia="宋体" w:hint="default"/>
          <w:sz w:val="22"/>
          <w:szCs w:val="22"/>
        </w:rPr>
      </w:pPr>
      <w:r>
        <w:rPr>
          <w:rFonts w:ascii="Arial" w:hAnsi="Arial" w:cs="Arial" w:eastAsia="Arial" w:hint="default"/>
          <w:b/>
          <w:bCs/>
          <w:sz w:val="22"/>
          <w:szCs w:val="22"/>
        </w:rPr>
        <w:t>1</w:t>
      </w:r>
      <w:r>
        <w:rPr>
          <w:rFonts w:ascii="宋体" w:hAnsi="宋体" w:cs="宋体" w:eastAsia="宋体" w:hint="default"/>
          <w:b/>
          <w:bCs/>
          <w:sz w:val="22"/>
          <w:szCs w:val="22"/>
        </w:rPr>
        <w:t>、本年非经常性损益明细表</w:t>
      </w:r>
      <w:r>
        <w:rPr>
          <w:rFonts w:ascii="宋体" w:hAnsi="宋体" w:cs="宋体" w:eastAsia="宋体" w:hint="default"/>
          <w:b/>
          <w:bCs/>
          <w:w w:val="99"/>
          <w:sz w:val="22"/>
          <w:szCs w:val="22"/>
        </w:rPr>
        <w:t> </w:t>
      </w:r>
      <w:r>
        <w:rPr>
          <w:rFonts w:ascii="宋体" w:hAnsi="宋体" w:cs="宋体" w:eastAsia="宋体" w:hint="default"/>
          <w:spacing w:val="-3"/>
          <w:sz w:val="22"/>
          <w:szCs w:val="22"/>
        </w:rPr>
        <w:t>按照中国证券监督管理委员会《公开发行证券的公司信息披露解释性公告第 </w:t>
      </w:r>
      <w:r>
        <w:rPr>
          <w:rFonts w:ascii="Arial" w:hAnsi="Arial" w:cs="Arial" w:eastAsia="Arial" w:hint="default"/>
          <w:sz w:val="22"/>
          <w:szCs w:val="22"/>
        </w:rPr>
        <w:t>1</w:t>
      </w:r>
      <w:r>
        <w:rPr>
          <w:rFonts w:ascii="Arial" w:hAnsi="Arial" w:cs="Arial" w:eastAsia="Arial" w:hint="default"/>
          <w:spacing w:val="-17"/>
          <w:sz w:val="22"/>
          <w:szCs w:val="22"/>
        </w:rPr>
        <w:t> </w:t>
      </w:r>
      <w:r>
        <w:rPr>
          <w:rFonts w:ascii="宋体" w:hAnsi="宋体" w:cs="宋体" w:eastAsia="宋体" w:hint="default"/>
          <w:sz w:val="22"/>
          <w:szCs w:val="22"/>
        </w:rPr>
        <w:t>号</w:t>
      </w:r>
      <w:r>
        <w:rPr>
          <w:rFonts w:ascii="Arial" w:hAnsi="Arial" w:cs="Arial" w:eastAsia="Arial" w:hint="default"/>
          <w:sz w:val="22"/>
          <w:szCs w:val="22"/>
        </w:rPr>
        <w:t>—</w:t>
      </w:r>
      <w:r>
        <w:rPr>
          <w:rFonts w:ascii="宋体" w:hAnsi="宋体" w:cs="宋体" w:eastAsia="宋体" w:hint="default"/>
          <w:sz w:val="22"/>
          <w:szCs w:val="22"/>
        </w:rPr>
        <w:t>非经常性损益</w:t>
      </w:r>
    </w:p>
    <w:p>
      <w:pPr>
        <w:pStyle w:val="BodyText"/>
        <w:spacing w:line="290" w:lineRule="exact"/>
        <w:ind w:right="1133"/>
        <w:jc w:val="left"/>
      </w:pPr>
      <w:r>
        <w:rPr>
          <w:w w:val="100"/>
        </w:rPr>
        <w:t>（</w:t>
      </w:r>
      <w:r>
        <w:rPr>
          <w:rFonts w:ascii="Arial" w:hAnsi="Arial" w:cs="Arial" w:eastAsia="Arial" w:hint="default"/>
          <w:spacing w:val="-1"/>
          <w:w w:val="100"/>
        </w:rPr>
        <w:t>2008</w:t>
      </w:r>
      <w:r>
        <w:rPr>
          <w:spacing w:val="-111"/>
          <w:w w:val="100"/>
        </w:rPr>
        <w:t>）</w:t>
      </w:r>
      <w:r>
        <w:rPr>
          <w:w w:val="100"/>
        </w:rPr>
        <w:t>》</w:t>
      </w:r>
      <w:r>
        <w:rPr>
          <w:spacing w:val="-3"/>
          <w:w w:val="100"/>
        </w:rPr>
        <w:t>的</w:t>
      </w:r>
      <w:r>
        <w:rPr>
          <w:w w:val="100"/>
        </w:rPr>
        <w:t>规定</w:t>
      </w:r>
      <w:r>
        <w:rPr>
          <w:spacing w:val="-3"/>
          <w:w w:val="100"/>
        </w:rPr>
        <w:t>，</w:t>
      </w:r>
      <w:r>
        <w:rPr>
          <w:w w:val="100"/>
        </w:rPr>
        <w:t>本</w:t>
      </w:r>
      <w:r>
        <w:rPr>
          <w:spacing w:val="-3"/>
          <w:w w:val="100"/>
        </w:rPr>
        <w:t>公</w:t>
      </w:r>
      <w:r>
        <w:rPr>
          <w:w w:val="100"/>
        </w:rPr>
        <w:t>司</w:t>
      </w:r>
      <w:r>
        <w:rPr>
          <w:spacing w:val="-55"/>
        </w:rPr>
        <w:t> </w:t>
      </w:r>
      <w:r>
        <w:rPr>
          <w:rFonts w:ascii="Arial" w:hAnsi="Arial" w:cs="Arial" w:eastAsia="Arial" w:hint="default"/>
          <w:spacing w:val="-1"/>
          <w:w w:val="100"/>
        </w:rPr>
        <w:t>201</w:t>
      </w:r>
      <w:r>
        <w:rPr>
          <w:rFonts w:ascii="Arial" w:hAnsi="Arial" w:cs="Arial" w:eastAsia="Arial" w:hint="default"/>
          <w:w w:val="100"/>
        </w:rPr>
        <w:t>9</w:t>
      </w:r>
      <w:r>
        <w:rPr>
          <w:rFonts w:ascii="Arial" w:hAnsi="Arial" w:cs="Arial" w:eastAsia="Arial" w:hint="default"/>
          <w:spacing w:val="-7"/>
        </w:rPr>
        <w:t> </w:t>
      </w:r>
      <w:r>
        <w:rPr>
          <w:w w:val="100"/>
        </w:rPr>
        <w:t>年</w:t>
      </w:r>
      <w:r>
        <w:rPr>
          <w:spacing w:val="-3"/>
          <w:w w:val="100"/>
        </w:rPr>
        <w:t>度</w:t>
      </w:r>
      <w:r>
        <w:rPr>
          <w:w w:val="100"/>
        </w:rPr>
        <w:t>非经</w:t>
      </w:r>
      <w:r>
        <w:rPr>
          <w:spacing w:val="-3"/>
          <w:w w:val="100"/>
        </w:rPr>
        <w:t>常</w:t>
      </w:r>
      <w:r>
        <w:rPr>
          <w:w w:val="100"/>
        </w:rPr>
        <w:t>性</w:t>
      </w:r>
      <w:r>
        <w:rPr>
          <w:spacing w:val="-3"/>
          <w:w w:val="100"/>
        </w:rPr>
        <w:t>损</w:t>
      </w:r>
      <w:r>
        <w:rPr>
          <w:w w:val="100"/>
        </w:rPr>
        <w:t>益如下：</w:t>
      </w:r>
    </w:p>
    <w:p>
      <w:pPr>
        <w:spacing w:line="240" w:lineRule="auto" w:before="8"/>
        <w:rPr>
          <w:rFonts w:ascii="宋体" w:hAnsi="宋体" w:cs="宋体" w:eastAsia="宋体" w:hint="default"/>
          <w:sz w:val="5"/>
          <w:szCs w:val="5"/>
        </w:rPr>
      </w:pPr>
    </w:p>
    <w:tbl>
      <w:tblPr>
        <w:tblW w:w="0" w:type="auto"/>
        <w:jc w:val="left"/>
        <w:tblInd w:w="398" w:type="dxa"/>
        <w:tblLayout w:type="fixed"/>
        <w:tblCellMar>
          <w:top w:w="0" w:type="dxa"/>
          <w:left w:w="0" w:type="dxa"/>
          <w:bottom w:w="0" w:type="dxa"/>
          <w:right w:w="0" w:type="dxa"/>
        </w:tblCellMar>
        <w:tblLook w:val="01E0"/>
      </w:tblPr>
      <w:tblGrid>
        <w:gridCol w:w="5168"/>
        <w:gridCol w:w="1618"/>
        <w:gridCol w:w="2321"/>
      </w:tblGrid>
      <w:tr>
        <w:trPr>
          <w:trHeight w:val="497" w:hRule="exact"/>
        </w:trPr>
        <w:tc>
          <w:tcPr>
            <w:tcW w:w="516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49"/>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9"/>
              <w:ind w:left="446"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232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85" w:hRule="exact"/>
        </w:trPr>
        <w:tc>
          <w:tcPr>
            <w:tcW w:w="51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98" w:right="0"/>
              <w:jc w:val="left"/>
              <w:rPr>
                <w:rFonts w:ascii="Arial" w:hAnsi="Arial" w:cs="Arial" w:eastAsia="Arial" w:hint="default"/>
                <w:sz w:val="18"/>
                <w:szCs w:val="18"/>
              </w:rPr>
            </w:pPr>
            <w:r>
              <w:rPr>
                <w:rFonts w:ascii="Arial"/>
                <w:sz w:val="18"/>
              </w:rPr>
              <w:t>-3,644,122.57</w:t>
            </w:r>
          </w:p>
        </w:tc>
        <w:tc>
          <w:tcPr>
            <w:tcW w:w="23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固定资产处置损失</w:t>
            </w:r>
          </w:p>
        </w:tc>
      </w:tr>
      <w:tr>
        <w:trPr>
          <w:trHeight w:val="488" w:hRule="exact"/>
        </w:trPr>
        <w:tc>
          <w:tcPr>
            <w:tcW w:w="51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2"/>
              <w:ind w:left="124"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越权审批或无正式批准文件或偶发性的税收返还、减免</w:t>
            </w:r>
          </w:p>
        </w:tc>
        <w:tc>
          <w:tcPr>
            <w:tcW w:w="1618" w:type="dxa"/>
            <w:tcBorders>
              <w:top w:val="single" w:sz="2" w:space="0" w:color="000000"/>
              <w:left w:val="single" w:sz="2" w:space="0" w:color="000000"/>
              <w:bottom w:val="single" w:sz="2" w:space="0" w:color="000000"/>
              <w:right w:val="single" w:sz="2" w:space="0" w:color="000000"/>
            </w:tcBorders>
          </w:tcPr>
          <w:p>
            <w:pPr/>
          </w:p>
        </w:tc>
        <w:tc>
          <w:tcPr>
            <w:tcW w:w="2321" w:type="dxa"/>
            <w:tcBorders>
              <w:top w:val="single" w:sz="2" w:space="0" w:color="000000"/>
              <w:left w:val="single" w:sz="2" w:space="0" w:color="000000"/>
              <w:bottom w:val="single" w:sz="2" w:space="0" w:color="000000"/>
              <w:right w:val="nil" w:sz="6" w:space="0" w:color="auto"/>
            </w:tcBorders>
          </w:tcPr>
          <w:p>
            <w:pPr/>
          </w:p>
        </w:tc>
      </w:tr>
      <w:tr>
        <w:trPr>
          <w:trHeight w:val="883" w:hRule="exact"/>
        </w:trPr>
        <w:tc>
          <w:tcPr>
            <w:tcW w:w="5168" w:type="dxa"/>
            <w:tcBorders>
              <w:top w:val="single" w:sz="2" w:space="0" w:color="000000"/>
              <w:left w:val="nil" w:sz="6" w:space="0" w:color="auto"/>
              <w:bottom w:val="single" w:sz="2" w:space="0" w:color="000000"/>
              <w:right w:val="single" w:sz="2" w:space="0" w:color="000000"/>
            </w:tcBorders>
          </w:tcPr>
          <w:p>
            <w:pPr>
              <w:pStyle w:val="TableParagraph"/>
              <w:spacing w:line="405" w:lineRule="auto" w:before="149"/>
              <w:ind w:left="124" w:right="107"/>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计入当期损益的政府补助（与企业业务密切相关，按照国家统</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一标准定额或定量享受的政府补助除外）</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357" w:right="0"/>
              <w:jc w:val="left"/>
              <w:rPr>
                <w:rFonts w:ascii="Arial" w:hAnsi="Arial" w:cs="Arial" w:eastAsia="Arial" w:hint="default"/>
                <w:sz w:val="18"/>
                <w:szCs w:val="18"/>
              </w:rPr>
            </w:pPr>
            <w:r>
              <w:rPr>
                <w:rFonts w:ascii="Arial"/>
                <w:sz w:val="18"/>
              </w:rPr>
              <w:t>14,409,093.22</w:t>
            </w:r>
          </w:p>
        </w:tc>
        <w:tc>
          <w:tcPr>
            <w:tcW w:w="2321" w:type="dxa"/>
            <w:tcBorders>
              <w:top w:val="single" w:sz="2" w:space="0" w:color="000000"/>
              <w:left w:val="single" w:sz="2" w:space="0" w:color="000000"/>
              <w:bottom w:val="single" w:sz="2" w:space="0" w:color="000000"/>
              <w:right w:val="nil" w:sz="6" w:space="0" w:color="auto"/>
            </w:tcBorders>
          </w:tcPr>
          <w:p>
            <w:pPr>
              <w:pStyle w:val="TableParagraph"/>
              <w:spacing w:line="405" w:lineRule="auto" w:before="149"/>
              <w:ind w:left="979" w:right="168" w:hanging="812"/>
              <w:jc w:val="left"/>
              <w:rPr>
                <w:rFonts w:ascii="宋体" w:hAnsi="宋体" w:cs="宋体" w:eastAsia="宋体" w:hint="default"/>
                <w:sz w:val="18"/>
                <w:szCs w:val="18"/>
              </w:rPr>
            </w:pPr>
            <w:r>
              <w:rPr>
                <w:rFonts w:ascii="宋体" w:hAnsi="宋体" w:cs="宋体" w:eastAsia="宋体" w:hint="default"/>
                <w:sz w:val="18"/>
                <w:szCs w:val="18"/>
              </w:rPr>
              <w:t>科研项目补贴和其他政府 补助</w:t>
            </w:r>
          </w:p>
        </w:tc>
      </w:tr>
      <w:tr>
        <w:trPr>
          <w:trHeight w:val="485" w:hRule="exact"/>
        </w:trPr>
        <w:tc>
          <w:tcPr>
            <w:tcW w:w="51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618" w:type="dxa"/>
            <w:tcBorders>
              <w:top w:val="single" w:sz="2" w:space="0" w:color="000000"/>
              <w:left w:val="single" w:sz="2" w:space="0" w:color="000000"/>
              <w:bottom w:val="single" w:sz="2" w:space="0" w:color="000000"/>
              <w:right w:val="single" w:sz="2" w:space="0" w:color="000000"/>
            </w:tcBorders>
          </w:tcPr>
          <w:p>
            <w:pPr/>
          </w:p>
        </w:tc>
        <w:tc>
          <w:tcPr>
            <w:tcW w:w="2321" w:type="dxa"/>
            <w:tcBorders>
              <w:top w:val="single" w:sz="2" w:space="0" w:color="000000"/>
              <w:left w:val="single" w:sz="2" w:space="0" w:color="000000"/>
              <w:bottom w:val="single" w:sz="2" w:space="0" w:color="000000"/>
              <w:right w:val="nil" w:sz="6" w:space="0" w:color="auto"/>
            </w:tcBorders>
          </w:tcPr>
          <w:p>
            <w:pPr/>
          </w:p>
        </w:tc>
      </w:tr>
      <w:tr>
        <w:trPr>
          <w:trHeight w:val="886" w:hRule="exact"/>
        </w:trPr>
        <w:tc>
          <w:tcPr>
            <w:tcW w:w="5168" w:type="dxa"/>
            <w:tcBorders>
              <w:top w:val="single" w:sz="2" w:space="0" w:color="000000"/>
              <w:left w:val="nil" w:sz="6" w:space="0" w:color="auto"/>
              <w:bottom w:val="single" w:sz="2" w:space="0" w:color="000000"/>
              <w:right w:val="single" w:sz="2" w:space="0" w:color="000000"/>
            </w:tcBorders>
          </w:tcPr>
          <w:p>
            <w:pPr>
              <w:pStyle w:val="TableParagraph"/>
              <w:spacing w:line="400" w:lineRule="exact" w:before="40"/>
              <w:ind w:left="124" w:right="107"/>
              <w:jc w:val="left"/>
              <w:rPr>
                <w:rFonts w:ascii="宋体" w:hAnsi="宋体" w:cs="宋体" w:eastAsia="宋体" w:hint="default"/>
                <w:sz w:val="18"/>
                <w:szCs w:val="18"/>
              </w:rPr>
            </w:pPr>
            <w:r>
              <w:rPr>
                <w:rFonts w:ascii="宋体" w:hAnsi="宋体" w:cs="宋体" w:eastAsia="宋体" w:hint="default"/>
                <w:spacing w:val="2"/>
                <w:sz w:val="18"/>
                <w:szCs w:val="18"/>
              </w:rPr>
              <w:t>企业取得子公司、联营企业及合营企业的投资成本小于取得投</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资时应享有被投资单位可辨认净资产公允价值产生的收益</w:t>
            </w:r>
          </w:p>
        </w:tc>
        <w:tc>
          <w:tcPr>
            <w:tcW w:w="1618" w:type="dxa"/>
            <w:tcBorders>
              <w:top w:val="single" w:sz="2" w:space="0" w:color="000000"/>
              <w:left w:val="single" w:sz="2" w:space="0" w:color="000000"/>
              <w:bottom w:val="single" w:sz="2" w:space="0" w:color="000000"/>
              <w:right w:val="single" w:sz="2" w:space="0" w:color="000000"/>
            </w:tcBorders>
          </w:tcPr>
          <w:p>
            <w:pPr/>
          </w:p>
        </w:tc>
        <w:tc>
          <w:tcPr>
            <w:tcW w:w="2321"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51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618" w:type="dxa"/>
            <w:tcBorders>
              <w:top w:val="single" w:sz="2" w:space="0" w:color="000000"/>
              <w:left w:val="single" w:sz="2" w:space="0" w:color="000000"/>
              <w:bottom w:val="single" w:sz="2" w:space="0" w:color="000000"/>
              <w:right w:val="single" w:sz="2" w:space="0" w:color="000000"/>
            </w:tcBorders>
          </w:tcPr>
          <w:p>
            <w:pPr/>
          </w:p>
        </w:tc>
        <w:tc>
          <w:tcPr>
            <w:tcW w:w="2321"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51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618" w:type="dxa"/>
            <w:tcBorders>
              <w:top w:val="single" w:sz="2" w:space="0" w:color="000000"/>
              <w:left w:val="single" w:sz="2" w:space="0" w:color="000000"/>
              <w:bottom w:val="single" w:sz="2" w:space="0" w:color="000000"/>
              <w:right w:val="single" w:sz="2" w:space="0" w:color="000000"/>
            </w:tcBorders>
          </w:tcPr>
          <w:p>
            <w:pPr/>
          </w:p>
        </w:tc>
        <w:tc>
          <w:tcPr>
            <w:tcW w:w="2321"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51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0"/>
              <w:ind w:left="124"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618" w:type="dxa"/>
            <w:tcBorders>
              <w:top w:val="single" w:sz="2" w:space="0" w:color="000000"/>
              <w:left w:val="single" w:sz="2" w:space="0" w:color="000000"/>
              <w:bottom w:val="single" w:sz="2" w:space="0" w:color="000000"/>
              <w:right w:val="single" w:sz="2" w:space="0" w:color="000000"/>
            </w:tcBorders>
          </w:tcPr>
          <w:p>
            <w:pPr/>
          </w:p>
        </w:tc>
        <w:tc>
          <w:tcPr>
            <w:tcW w:w="2321"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51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618" w:type="dxa"/>
            <w:tcBorders>
              <w:top w:val="single" w:sz="2" w:space="0" w:color="000000"/>
              <w:left w:val="single" w:sz="2" w:space="0" w:color="000000"/>
              <w:bottom w:val="single" w:sz="2" w:space="0" w:color="000000"/>
              <w:right w:val="single" w:sz="2" w:space="0" w:color="000000"/>
            </w:tcBorders>
          </w:tcPr>
          <w:p>
            <w:pPr/>
          </w:p>
        </w:tc>
        <w:tc>
          <w:tcPr>
            <w:tcW w:w="2321" w:type="dxa"/>
            <w:tcBorders>
              <w:top w:val="single" w:sz="2" w:space="0" w:color="000000"/>
              <w:left w:val="single" w:sz="2" w:space="0" w:color="000000"/>
              <w:bottom w:val="single" w:sz="2" w:space="0" w:color="000000"/>
              <w:right w:val="nil" w:sz="6" w:space="0" w:color="auto"/>
            </w:tcBorders>
          </w:tcPr>
          <w:p>
            <w:pPr/>
          </w:p>
        </w:tc>
      </w:tr>
      <w:tr>
        <w:trPr>
          <w:trHeight w:val="487" w:hRule="exact"/>
        </w:trPr>
        <w:tc>
          <w:tcPr>
            <w:tcW w:w="51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2"/>
              <w:ind w:left="124"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618" w:type="dxa"/>
            <w:tcBorders>
              <w:top w:val="single" w:sz="2" w:space="0" w:color="000000"/>
              <w:left w:val="single" w:sz="2" w:space="0" w:color="000000"/>
              <w:bottom w:val="single" w:sz="2" w:space="0" w:color="000000"/>
              <w:right w:val="single" w:sz="2" w:space="0" w:color="000000"/>
            </w:tcBorders>
          </w:tcPr>
          <w:p>
            <w:pPr/>
          </w:p>
        </w:tc>
        <w:tc>
          <w:tcPr>
            <w:tcW w:w="2321"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51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618" w:type="dxa"/>
            <w:tcBorders>
              <w:top w:val="single" w:sz="2" w:space="0" w:color="000000"/>
              <w:left w:val="single" w:sz="2" w:space="0" w:color="000000"/>
              <w:bottom w:val="single" w:sz="2" w:space="0" w:color="000000"/>
              <w:right w:val="single" w:sz="2" w:space="0" w:color="000000"/>
            </w:tcBorders>
          </w:tcPr>
          <w:p>
            <w:pPr/>
          </w:p>
        </w:tc>
        <w:tc>
          <w:tcPr>
            <w:tcW w:w="2321"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51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同一控制下企业合并产生的子公司年初至合并日的当期净损益</w:t>
            </w:r>
          </w:p>
        </w:tc>
        <w:tc>
          <w:tcPr>
            <w:tcW w:w="1618" w:type="dxa"/>
            <w:tcBorders>
              <w:top w:val="single" w:sz="2" w:space="0" w:color="000000"/>
              <w:left w:val="single" w:sz="2" w:space="0" w:color="000000"/>
              <w:bottom w:val="single" w:sz="2" w:space="0" w:color="000000"/>
              <w:right w:val="single" w:sz="2" w:space="0" w:color="000000"/>
            </w:tcBorders>
          </w:tcPr>
          <w:p>
            <w:pPr/>
          </w:p>
        </w:tc>
        <w:tc>
          <w:tcPr>
            <w:tcW w:w="2321"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51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618" w:type="dxa"/>
            <w:tcBorders>
              <w:top w:val="single" w:sz="2" w:space="0" w:color="000000"/>
              <w:left w:val="single" w:sz="2" w:space="0" w:color="000000"/>
              <w:bottom w:val="single" w:sz="2" w:space="0" w:color="000000"/>
              <w:right w:val="single" w:sz="2" w:space="0" w:color="000000"/>
            </w:tcBorders>
          </w:tcPr>
          <w:p>
            <w:pPr/>
          </w:p>
        </w:tc>
        <w:tc>
          <w:tcPr>
            <w:tcW w:w="2321" w:type="dxa"/>
            <w:tcBorders>
              <w:top w:val="single" w:sz="2" w:space="0" w:color="000000"/>
              <w:left w:val="single" w:sz="2" w:space="0" w:color="000000"/>
              <w:bottom w:val="single" w:sz="2" w:space="0" w:color="000000"/>
              <w:right w:val="nil" w:sz="6" w:space="0" w:color="auto"/>
            </w:tcBorders>
          </w:tcPr>
          <w:p>
            <w:pPr/>
          </w:p>
        </w:tc>
      </w:tr>
      <w:tr>
        <w:trPr>
          <w:trHeight w:val="2086" w:hRule="exact"/>
        </w:trPr>
        <w:tc>
          <w:tcPr>
            <w:tcW w:w="5168" w:type="dxa"/>
            <w:tcBorders>
              <w:top w:val="single" w:sz="2" w:space="0" w:color="000000"/>
              <w:left w:val="nil" w:sz="6" w:space="0" w:color="auto"/>
              <w:bottom w:val="single" w:sz="2" w:space="0" w:color="000000"/>
              <w:right w:val="single" w:sz="2" w:space="0" w:color="000000"/>
            </w:tcBorders>
          </w:tcPr>
          <w:p>
            <w:pPr>
              <w:pStyle w:val="TableParagraph"/>
              <w:spacing w:line="408" w:lineRule="auto" w:before="149"/>
              <w:ind w:left="124" w:right="107"/>
              <w:jc w:val="both"/>
              <w:rPr>
                <w:rFonts w:ascii="宋体" w:hAnsi="宋体" w:cs="宋体" w:eastAsia="宋体" w:hint="default"/>
                <w:sz w:val="18"/>
                <w:szCs w:val="18"/>
              </w:rPr>
            </w:pPr>
            <w:r>
              <w:rPr>
                <w:rFonts w:ascii="宋体" w:hAnsi="宋体" w:cs="宋体" w:eastAsia="宋体" w:hint="default"/>
                <w:spacing w:val="2"/>
                <w:sz w:val="18"/>
                <w:szCs w:val="18"/>
              </w:rPr>
              <w:t>除同公司正常经营业务相关的有效套期保值业务外，持有交易</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性金融资产、衍生金融资产、交易性金融负债、衍生金融负债</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产生的公允价值变动损益，以及处置交易性金融资产、衍生金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融资产、交易性金融负债、衍生金融负债和其他债权投资取得</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投资收益</w:t>
            </w:r>
          </w:p>
        </w:tc>
        <w:tc>
          <w:tcPr>
            <w:tcW w:w="1618" w:type="dxa"/>
            <w:tcBorders>
              <w:top w:val="single" w:sz="2" w:space="0" w:color="000000"/>
              <w:left w:val="single" w:sz="2" w:space="0" w:color="000000"/>
              <w:bottom w:val="single" w:sz="2" w:space="0" w:color="000000"/>
              <w:right w:val="single" w:sz="2" w:space="0" w:color="000000"/>
            </w:tcBorders>
          </w:tcPr>
          <w:p>
            <w:pPr/>
          </w:p>
        </w:tc>
        <w:tc>
          <w:tcPr>
            <w:tcW w:w="2321"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51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单独进行减值测试的应收款项、合同资产减值准备转回</w:t>
            </w:r>
          </w:p>
        </w:tc>
        <w:tc>
          <w:tcPr>
            <w:tcW w:w="1618" w:type="dxa"/>
            <w:tcBorders>
              <w:top w:val="single" w:sz="2" w:space="0" w:color="000000"/>
              <w:left w:val="single" w:sz="2" w:space="0" w:color="000000"/>
              <w:bottom w:val="single" w:sz="2" w:space="0" w:color="000000"/>
              <w:right w:val="single" w:sz="2" w:space="0" w:color="000000"/>
            </w:tcBorders>
          </w:tcPr>
          <w:p>
            <w:pPr/>
          </w:p>
        </w:tc>
        <w:tc>
          <w:tcPr>
            <w:tcW w:w="2321"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51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618" w:type="dxa"/>
            <w:tcBorders>
              <w:top w:val="single" w:sz="2" w:space="0" w:color="000000"/>
              <w:left w:val="single" w:sz="2" w:space="0" w:color="000000"/>
              <w:bottom w:val="single" w:sz="2" w:space="0" w:color="000000"/>
              <w:right w:val="single" w:sz="2" w:space="0" w:color="000000"/>
            </w:tcBorders>
          </w:tcPr>
          <w:p>
            <w:pPr/>
          </w:p>
        </w:tc>
        <w:tc>
          <w:tcPr>
            <w:tcW w:w="2321" w:type="dxa"/>
            <w:tcBorders>
              <w:top w:val="single" w:sz="2" w:space="0" w:color="000000"/>
              <w:left w:val="single" w:sz="2" w:space="0" w:color="000000"/>
              <w:bottom w:val="single" w:sz="2" w:space="0" w:color="000000"/>
              <w:right w:val="nil" w:sz="6" w:space="0" w:color="auto"/>
            </w:tcBorders>
          </w:tcPr>
          <w:p>
            <w:pPr/>
          </w:p>
        </w:tc>
      </w:tr>
      <w:tr>
        <w:trPr>
          <w:trHeight w:val="898" w:hRule="exact"/>
        </w:trPr>
        <w:tc>
          <w:tcPr>
            <w:tcW w:w="5168" w:type="dxa"/>
            <w:tcBorders>
              <w:top w:val="single" w:sz="2" w:space="0" w:color="000000"/>
              <w:left w:val="nil" w:sz="6" w:space="0" w:color="auto"/>
              <w:bottom w:val="single" w:sz="12" w:space="0" w:color="000000"/>
              <w:right w:val="single" w:sz="2" w:space="0" w:color="000000"/>
            </w:tcBorders>
          </w:tcPr>
          <w:p>
            <w:pPr>
              <w:pStyle w:val="TableParagraph"/>
              <w:spacing w:line="405" w:lineRule="auto" w:before="149"/>
              <w:ind w:left="124" w:right="105"/>
              <w:jc w:val="left"/>
              <w:rPr>
                <w:rFonts w:ascii="宋体" w:hAnsi="宋体" w:cs="宋体" w:eastAsia="宋体" w:hint="default"/>
                <w:sz w:val="18"/>
                <w:szCs w:val="18"/>
              </w:rPr>
            </w:pPr>
            <w:r>
              <w:rPr>
                <w:rFonts w:ascii="宋体" w:hAnsi="宋体" w:cs="宋体" w:eastAsia="宋体" w:hint="default"/>
                <w:spacing w:val="2"/>
                <w:sz w:val="18"/>
                <w:szCs w:val="18"/>
              </w:rPr>
              <w:t>采用公允价值模式进行后续计量的投资性房地产公允价值变动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产生的损益</w:t>
            </w:r>
          </w:p>
        </w:tc>
        <w:tc>
          <w:tcPr>
            <w:tcW w:w="1618" w:type="dxa"/>
            <w:tcBorders>
              <w:top w:val="single" w:sz="2" w:space="0" w:color="000000"/>
              <w:left w:val="single" w:sz="2" w:space="0" w:color="000000"/>
              <w:bottom w:val="single" w:sz="12" w:space="0" w:color="000000"/>
              <w:right w:val="single" w:sz="2" w:space="0" w:color="000000"/>
            </w:tcBorders>
          </w:tcPr>
          <w:p>
            <w:pPr/>
          </w:p>
        </w:tc>
        <w:tc>
          <w:tcPr>
            <w:tcW w:w="2321"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398" w:type="dxa"/>
        <w:tblLayout w:type="fixed"/>
        <w:tblCellMar>
          <w:top w:w="0" w:type="dxa"/>
          <w:left w:w="0" w:type="dxa"/>
          <w:bottom w:w="0" w:type="dxa"/>
          <w:right w:w="0" w:type="dxa"/>
        </w:tblCellMar>
        <w:tblLook w:val="01E0"/>
      </w:tblPr>
      <w:tblGrid>
        <w:gridCol w:w="5168"/>
        <w:gridCol w:w="1618"/>
        <w:gridCol w:w="2321"/>
      </w:tblGrid>
      <w:tr>
        <w:trPr>
          <w:trHeight w:val="500" w:hRule="exact"/>
        </w:trPr>
        <w:tc>
          <w:tcPr>
            <w:tcW w:w="516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2"/>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left="446"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232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883" w:hRule="exact"/>
        </w:trPr>
        <w:tc>
          <w:tcPr>
            <w:tcW w:w="5168" w:type="dxa"/>
            <w:tcBorders>
              <w:top w:val="single" w:sz="2" w:space="0" w:color="000000"/>
              <w:left w:val="nil" w:sz="6" w:space="0" w:color="auto"/>
              <w:bottom w:val="single" w:sz="2" w:space="0" w:color="000000"/>
              <w:right w:val="single" w:sz="2" w:space="0" w:color="000000"/>
            </w:tcBorders>
          </w:tcPr>
          <w:p>
            <w:pPr>
              <w:pStyle w:val="TableParagraph"/>
              <w:spacing w:line="405" w:lineRule="auto" w:before="149"/>
              <w:ind w:left="124" w:right="107"/>
              <w:jc w:val="left"/>
              <w:rPr>
                <w:rFonts w:ascii="宋体" w:hAnsi="宋体" w:cs="宋体" w:eastAsia="宋体" w:hint="default"/>
                <w:sz w:val="18"/>
                <w:szCs w:val="18"/>
              </w:rPr>
            </w:pPr>
            <w:r>
              <w:rPr>
                <w:rFonts w:ascii="宋体" w:hAnsi="宋体" w:cs="宋体" w:eastAsia="宋体" w:hint="default"/>
                <w:spacing w:val="2"/>
                <w:sz w:val="18"/>
                <w:szCs w:val="18"/>
              </w:rPr>
              <w:t>根据税收、会计等法律、法规的要求对当期损益进行一次性调</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整对当期损益的影响</w:t>
            </w:r>
          </w:p>
        </w:tc>
        <w:tc>
          <w:tcPr>
            <w:tcW w:w="1618" w:type="dxa"/>
            <w:tcBorders>
              <w:top w:val="single" w:sz="2" w:space="0" w:color="000000"/>
              <w:left w:val="single" w:sz="2" w:space="0" w:color="000000"/>
              <w:bottom w:val="single" w:sz="2" w:space="0" w:color="000000"/>
              <w:right w:val="single" w:sz="2" w:space="0" w:color="000000"/>
            </w:tcBorders>
          </w:tcPr>
          <w:p>
            <w:pPr/>
          </w:p>
        </w:tc>
        <w:tc>
          <w:tcPr>
            <w:tcW w:w="2321"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51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14,345,537.30</w:t>
            </w:r>
          </w:p>
        </w:tc>
        <w:tc>
          <w:tcPr>
            <w:tcW w:w="23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left="107" w:right="0"/>
              <w:jc w:val="left"/>
              <w:rPr>
                <w:rFonts w:ascii="宋体" w:hAnsi="宋体" w:cs="宋体" w:eastAsia="宋体" w:hint="default"/>
                <w:sz w:val="18"/>
                <w:szCs w:val="18"/>
              </w:rPr>
            </w:pPr>
            <w:r>
              <w:rPr>
                <w:rFonts w:ascii="宋体" w:hAnsi="宋体" w:cs="宋体" w:eastAsia="宋体" w:hint="default"/>
                <w:sz w:val="18"/>
                <w:szCs w:val="18"/>
              </w:rPr>
              <w:t>对母公司的托管收入</w:t>
            </w:r>
          </w:p>
        </w:tc>
      </w:tr>
      <w:tr>
        <w:trPr>
          <w:trHeight w:val="485" w:hRule="exact"/>
        </w:trPr>
        <w:tc>
          <w:tcPr>
            <w:tcW w:w="51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-3,225,798.93</w:t>
            </w:r>
          </w:p>
        </w:tc>
        <w:tc>
          <w:tcPr>
            <w:tcW w:w="23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left="107" w:right="0"/>
              <w:jc w:val="left"/>
              <w:rPr>
                <w:rFonts w:ascii="宋体" w:hAnsi="宋体" w:cs="宋体" w:eastAsia="宋体" w:hint="default"/>
                <w:sz w:val="18"/>
                <w:szCs w:val="18"/>
              </w:rPr>
            </w:pPr>
            <w:r>
              <w:rPr>
                <w:rFonts w:ascii="宋体" w:hAnsi="宋体" w:cs="宋体" w:eastAsia="宋体" w:hint="default"/>
                <w:sz w:val="18"/>
                <w:szCs w:val="18"/>
              </w:rPr>
              <w:t>捐赠支出和统筹外费用</w:t>
            </w:r>
          </w:p>
        </w:tc>
      </w:tr>
      <w:tr>
        <w:trPr>
          <w:trHeight w:val="487" w:hRule="exact"/>
        </w:trPr>
        <w:tc>
          <w:tcPr>
            <w:tcW w:w="51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2"/>
              <w:ind w:left="124"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2321"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51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9"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21,884,709.02</w:t>
            </w:r>
          </w:p>
        </w:tc>
        <w:tc>
          <w:tcPr>
            <w:tcW w:w="2321"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51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0"/>
              <w:ind w:left="1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3,306,498.02</w:t>
            </w:r>
          </w:p>
        </w:tc>
        <w:tc>
          <w:tcPr>
            <w:tcW w:w="2321"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51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147,292.64</w:t>
            </w:r>
          </w:p>
        </w:tc>
        <w:tc>
          <w:tcPr>
            <w:tcW w:w="2321" w:type="dxa"/>
            <w:tcBorders>
              <w:top w:val="single" w:sz="2" w:space="0" w:color="000000"/>
              <w:left w:val="single" w:sz="2" w:space="0" w:color="000000"/>
              <w:bottom w:val="single" w:sz="2" w:space="0" w:color="000000"/>
              <w:right w:val="nil" w:sz="6" w:space="0" w:color="auto"/>
            </w:tcBorders>
          </w:tcPr>
          <w:p>
            <w:pPr/>
          </w:p>
        </w:tc>
      </w:tr>
      <w:tr>
        <w:trPr>
          <w:trHeight w:val="497" w:hRule="exact"/>
        </w:trPr>
        <w:tc>
          <w:tcPr>
            <w:tcW w:w="516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18,430,918.36</w:t>
            </w:r>
          </w:p>
        </w:tc>
        <w:tc>
          <w:tcPr>
            <w:tcW w:w="2321" w:type="dxa"/>
            <w:tcBorders>
              <w:top w:val="single" w:sz="2" w:space="0" w:color="000000"/>
              <w:left w:val="single" w:sz="2" w:space="0" w:color="000000"/>
              <w:bottom w:val="single" w:sz="12" w:space="0" w:color="000000"/>
              <w:right w:val="nil" w:sz="6" w:space="0" w:color="auto"/>
            </w:tcBorders>
          </w:tcPr>
          <w:p>
            <w:pPr/>
          </w:p>
        </w:tc>
      </w:tr>
    </w:tbl>
    <w:p>
      <w:pPr>
        <w:spacing w:line="348" w:lineRule="auto" w:before="62"/>
        <w:ind w:left="592" w:right="1120" w:firstLine="43"/>
        <w:jc w:val="left"/>
        <w:rPr>
          <w:rFonts w:ascii="宋体" w:hAnsi="宋体" w:cs="宋体" w:eastAsia="宋体" w:hint="default"/>
          <w:sz w:val="22"/>
          <w:szCs w:val="22"/>
        </w:rPr>
      </w:pPr>
      <w:r>
        <w:rPr>
          <w:rFonts w:ascii="Arial" w:hAnsi="Arial" w:cs="Arial" w:eastAsia="Arial" w:hint="default"/>
          <w:b/>
          <w:bCs/>
          <w:sz w:val="22"/>
          <w:szCs w:val="22"/>
        </w:rPr>
        <w:t>2</w:t>
      </w:r>
      <w:r>
        <w:rPr>
          <w:rFonts w:ascii="宋体" w:hAnsi="宋体" w:cs="宋体" w:eastAsia="宋体" w:hint="default"/>
          <w:b/>
          <w:bCs/>
          <w:sz w:val="22"/>
          <w:szCs w:val="22"/>
        </w:rPr>
        <w:t>、净资产收益率及每股收益</w:t>
      </w:r>
      <w:r>
        <w:rPr>
          <w:rFonts w:ascii="宋体" w:hAnsi="宋体" w:cs="宋体" w:eastAsia="宋体" w:hint="default"/>
          <w:b/>
          <w:bCs/>
          <w:w w:val="99"/>
          <w:sz w:val="22"/>
          <w:szCs w:val="22"/>
        </w:rPr>
        <w:t> </w:t>
      </w:r>
      <w:r>
        <w:rPr>
          <w:rFonts w:ascii="宋体" w:hAnsi="宋体" w:cs="宋体" w:eastAsia="宋体" w:hint="default"/>
          <w:spacing w:val="-3"/>
          <w:sz w:val="22"/>
          <w:szCs w:val="22"/>
        </w:rPr>
        <w:t>按照中国证券监督管理委员会《公开发行证券的公司信息披露编报规则第 </w:t>
      </w:r>
      <w:r>
        <w:rPr>
          <w:rFonts w:ascii="Arial" w:hAnsi="Arial" w:cs="Arial" w:eastAsia="Arial" w:hint="default"/>
          <w:sz w:val="22"/>
          <w:szCs w:val="22"/>
        </w:rPr>
        <w:t>9</w:t>
      </w:r>
      <w:r>
        <w:rPr>
          <w:rFonts w:ascii="Arial" w:hAnsi="Arial" w:cs="Arial" w:eastAsia="Arial" w:hint="default"/>
          <w:spacing w:val="-21"/>
          <w:sz w:val="22"/>
          <w:szCs w:val="22"/>
        </w:rPr>
        <w:t> </w:t>
      </w:r>
      <w:r>
        <w:rPr>
          <w:rFonts w:ascii="宋体" w:hAnsi="宋体" w:cs="宋体" w:eastAsia="宋体" w:hint="default"/>
          <w:sz w:val="22"/>
          <w:szCs w:val="22"/>
        </w:rPr>
        <w:t>号</w:t>
      </w:r>
      <w:r>
        <w:rPr>
          <w:rFonts w:ascii="Arial" w:hAnsi="Arial" w:cs="Arial" w:eastAsia="Arial" w:hint="default"/>
          <w:sz w:val="22"/>
          <w:szCs w:val="22"/>
        </w:rPr>
        <w:t>——</w:t>
      </w:r>
      <w:r>
        <w:rPr>
          <w:rFonts w:ascii="宋体" w:hAnsi="宋体" w:cs="宋体" w:eastAsia="宋体" w:hint="default"/>
          <w:sz w:val="22"/>
          <w:szCs w:val="22"/>
        </w:rPr>
        <w:t>净资产收益率</w:t>
      </w:r>
    </w:p>
    <w:p>
      <w:pPr>
        <w:pStyle w:val="BodyText"/>
        <w:spacing w:line="288" w:lineRule="exact"/>
        <w:ind w:right="0"/>
        <w:jc w:val="left"/>
      </w:pPr>
      <w:r>
        <w:rPr>
          <w:w w:val="100"/>
        </w:rPr>
        <w:t>和每股</w:t>
      </w:r>
      <w:r>
        <w:rPr>
          <w:spacing w:val="-3"/>
          <w:w w:val="100"/>
        </w:rPr>
        <w:t>收</w:t>
      </w:r>
      <w:r>
        <w:rPr>
          <w:w w:val="100"/>
        </w:rPr>
        <w:t>益的</w:t>
      </w:r>
      <w:r>
        <w:rPr>
          <w:spacing w:val="-3"/>
          <w:w w:val="100"/>
        </w:rPr>
        <w:t>计</w:t>
      </w:r>
      <w:r>
        <w:rPr>
          <w:w w:val="100"/>
        </w:rPr>
        <w:t>算及</w:t>
      </w:r>
      <w:r>
        <w:rPr>
          <w:spacing w:val="-3"/>
          <w:w w:val="100"/>
        </w:rPr>
        <w:t>披露</w:t>
      </w:r>
      <w:r>
        <w:rPr>
          <w:spacing w:val="1"/>
          <w:w w:val="100"/>
        </w:rPr>
        <w:t>（</w:t>
      </w:r>
      <w:r>
        <w:rPr>
          <w:rFonts w:ascii="Arial" w:hAnsi="Arial" w:cs="Arial" w:eastAsia="Arial" w:hint="default"/>
          <w:spacing w:val="-1"/>
          <w:w w:val="100"/>
        </w:rPr>
        <w:t>201</w:t>
      </w:r>
      <w:r>
        <w:rPr>
          <w:rFonts w:ascii="Arial" w:hAnsi="Arial" w:cs="Arial" w:eastAsia="Arial" w:hint="default"/>
          <w:w w:val="100"/>
        </w:rPr>
        <w:t>0</w:t>
      </w:r>
      <w:r>
        <w:rPr>
          <w:rFonts w:ascii="Arial" w:hAnsi="Arial" w:cs="Arial" w:eastAsia="Arial" w:hint="default"/>
        </w:rPr>
        <w:t> </w:t>
      </w:r>
      <w:r>
        <w:rPr>
          <w:w w:val="100"/>
        </w:rPr>
        <w:t>年修订</w:t>
      </w:r>
      <w:r>
        <w:rPr>
          <w:spacing w:val="-113"/>
          <w:w w:val="100"/>
        </w:rPr>
        <w:t>）</w:t>
      </w:r>
      <w:r>
        <w:rPr>
          <w:w w:val="100"/>
        </w:rPr>
        <w:t>》的</w:t>
      </w:r>
      <w:r>
        <w:rPr>
          <w:spacing w:val="-3"/>
          <w:w w:val="100"/>
        </w:rPr>
        <w:t>规定</w:t>
      </w:r>
      <w:r>
        <w:rPr>
          <w:w w:val="100"/>
        </w:rPr>
        <w:t>，本公司</w:t>
      </w:r>
      <w:r>
        <w:rPr>
          <w:spacing w:val="-48"/>
        </w:rPr>
        <w:t> </w:t>
      </w:r>
      <w:r>
        <w:rPr>
          <w:rFonts w:ascii="Arial" w:hAnsi="Arial" w:cs="Arial" w:eastAsia="Arial" w:hint="default"/>
          <w:spacing w:val="-1"/>
          <w:w w:val="100"/>
        </w:rPr>
        <w:t>201</w:t>
      </w:r>
      <w:r>
        <w:rPr>
          <w:rFonts w:ascii="Arial" w:hAnsi="Arial" w:cs="Arial" w:eastAsia="Arial" w:hint="default"/>
          <w:w w:val="100"/>
        </w:rPr>
        <w:t>9</w:t>
      </w:r>
      <w:r>
        <w:rPr>
          <w:rFonts w:ascii="Arial" w:hAnsi="Arial" w:cs="Arial" w:eastAsia="Arial" w:hint="default"/>
        </w:rPr>
        <w:t> </w:t>
      </w:r>
      <w:r>
        <w:rPr>
          <w:w w:val="100"/>
        </w:rPr>
        <w:t>年</w:t>
      </w:r>
      <w:r>
        <w:rPr>
          <w:spacing w:val="-3"/>
          <w:w w:val="100"/>
        </w:rPr>
        <w:t>度</w:t>
      </w:r>
      <w:r>
        <w:rPr>
          <w:w w:val="100"/>
        </w:rPr>
        <w:t>加</w:t>
      </w:r>
      <w:r>
        <w:rPr>
          <w:spacing w:val="-3"/>
          <w:w w:val="100"/>
        </w:rPr>
        <w:t>权</w:t>
      </w:r>
      <w:r>
        <w:rPr>
          <w:w w:val="100"/>
        </w:rPr>
        <w:t>平均净</w:t>
      </w:r>
      <w:r>
        <w:rPr>
          <w:spacing w:val="-3"/>
          <w:w w:val="100"/>
        </w:rPr>
        <w:t>资</w:t>
      </w:r>
      <w:r>
        <w:rPr>
          <w:w w:val="100"/>
        </w:rPr>
        <w:t>产收</w:t>
      </w:r>
      <w:r>
        <w:rPr>
          <w:spacing w:val="-3"/>
          <w:w w:val="100"/>
        </w:rPr>
        <w:t>益</w:t>
      </w:r>
      <w:r>
        <w:rPr>
          <w:w w:val="100"/>
        </w:rPr>
        <w:t>率、</w:t>
      </w:r>
      <w:r>
        <w:rPr>
          <w:spacing w:val="-3"/>
          <w:w w:val="100"/>
        </w:rPr>
        <w:t>基</w:t>
      </w:r>
      <w:r>
        <w:rPr>
          <w:w w:val="100"/>
        </w:rPr>
        <w:t>本</w:t>
      </w:r>
    </w:p>
    <w:p>
      <w:pPr>
        <w:pStyle w:val="BodyText"/>
        <w:spacing w:line="240" w:lineRule="auto" w:before="97"/>
        <w:ind w:right="1133"/>
        <w:jc w:val="left"/>
      </w:pPr>
      <w:r>
        <w:rPr/>
        <w:t>每股收益和稀释每股收益如下：</w:t>
      </w:r>
    </w:p>
    <w:p>
      <w:pPr>
        <w:spacing w:line="240" w:lineRule="auto" w:before="11"/>
        <w:rPr>
          <w:rFonts w:ascii="宋体" w:hAnsi="宋体" w:cs="宋体" w:eastAsia="宋体" w:hint="default"/>
          <w:sz w:val="6"/>
          <w:szCs w:val="6"/>
        </w:rPr>
      </w:pPr>
    </w:p>
    <w:tbl>
      <w:tblPr>
        <w:tblW w:w="0" w:type="auto"/>
        <w:jc w:val="left"/>
        <w:tblInd w:w="580" w:type="dxa"/>
        <w:tblLayout w:type="fixed"/>
        <w:tblCellMar>
          <w:top w:w="0" w:type="dxa"/>
          <w:left w:w="0" w:type="dxa"/>
          <w:bottom w:w="0" w:type="dxa"/>
          <w:right w:w="0" w:type="dxa"/>
        </w:tblCellMar>
        <w:tblLook w:val="01E0"/>
      </w:tblPr>
      <w:tblGrid>
        <w:gridCol w:w="4520"/>
        <w:gridCol w:w="1419"/>
        <w:gridCol w:w="1419"/>
        <w:gridCol w:w="1382"/>
      </w:tblGrid>
      <w:tr>
        <w:trPr>
          <w:trHeight w:val="500" w:hRule="exact"/>
        </w:trPr>
        <w:tc>
          <w:tcPr>
            <w:tcW w:w="4520"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419" w:type="dxa"/>
            <w:vMerge w:val="restart"/>
            <w:tcBorders>
              <w:top w:val="single" w:sz="12" w:space="0" w:color="000000"/>
              <w:left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408" w:lineRule="auto"/>
              <w:ind w:left="206" w:right="163" w:hanging="39"/>
              <w:jc w:val="left"/>
              <w:rPr>
                <w:rFonts w:ascii="Arial" w:hAnsi="Arial" w:cs="Arial" w:eastAsia="Arial" w:hint="default"/>
                <w:sz w:val="18"/>
                <w:szCs w:val="18"/>
              </w:rPr>
            </w:pPr>
            <w:r>
              <w:rPr>
                <w:rFonts w:ascii="宋体" w:hAnsi="宋体" w:cs="宋体" w:eastAsia="宋体" w:hint="default"/>
                <w:sz w:val="18"/>
                <w:szCs w:val="18"/>
              </w:rPr>
              <w:t>加权平均净资 产收益率</w:t>
            </w:r>
            <w:r>
              <w:rPr>
                <w:rFonts w:ascii="Arial" w:hAnsi="Arial" w:cs="Arial" w:eastAsia="Arial" w:hint="default"/>
                <w:sz w:val="18"/>
                <w:szCs w:val="18"/>
              </w:rPr>
              <w:t>(%)</w:t>
            </w:r>
          </w:p>
        </w:tc>
        <w:tc>
          <w:tcPr>
            <w:tcW w:w="2801"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left="655" w:right="0"/>
              <w:jc w:val="left"/>
              <w:rPr>
                <w:rFonts w:ascii="宋体" w:hAnsi="宋体" w:cs="宋体" w:eastAsia="宋体" w:hint="default"/>
                <w:sz w:val="18"/>
                <w:szCs w:val="18"/>
              </w:rPr>
            </w:pPr>
            <w:r>
              <w:rPr>
                <w:rFonts w:ascii="宋体" w:hAnsi="宋体" w:cs="宋体" w:eastAsia="宋体" w:hint="default"/>
                <w:sz w:val="18"/>
                <w:szCs w:val="18"/>
              </w:rPr>
              <w:t>每股收益（元</w:t>
            </w:r>
            <w:r>
              <w:rPr>
                <w:rFonts w:ascii="Arial" w:hAnsi="Arial" w:cs="Arial" w:eastAsia="Arial" w:hint="default"/>
                <w:sz w:val="18"/>
                <w:szCs w:val="18"/>
              </w:rPr>
              <w:t>/</w:t>
            </w:r>
            <w:r>
              <w:rPr>
                <w:rFonts w:ascii="宋体" w:hAnsi="宋体" w:cs="宋体" w:eastAsia="宋体" w:hint="default"/>
                <w:sz w:val="18"/>
                <w:szCs w:val="18"/>
              </w:rPr>
              <w:t>股）</w:t>
            </w:r>
          </w:p>
        </w:tc>
      </w:tr>
      <w:tr>
        <w:trPr>
          <w:trHeight w:val="547" w:hRule="exact"/>
        </w:trPr>
        <w:tc>
          <w:tcPr>
            <w:tcW w:w="4520" w:type="dxa"/>
            <w:vMerge/>
            <w:tcBorders>
              <w:left w:val="nil" w:sz="6" w:space="0" w:color="auto"/>
              <w:bottom w:val="single" w:sz="2" w:space="0" w:color="000000"/>
              <w:right w:val="single" w:sz="2" w:space="0" w:color="000000"/>
            </w:tcBorders>
          </w:tcPr>
          <w:p>
            <w:pPr/>
          </w:p>
        </w:tc>
        <w:tc>
          <w:tcPr>
            <w:tcW w:w="1419" w:type="dxa"/>
            <w:vMerge/>
            <w:tcBorders>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64"/>
              <w:jc w:val="right"/>
              <w:rPr>
                <w:rFonts w:ascii="宋体" w:hAnsi="宋体" w:cs="宋体" w:eastAsia="宋体" w:hint="default"/>
                <w:sz w:val="18"/>
                <w:szCs w:val="18"/>
              </w:rPr>
            </w:pPr>
            <w:r>
              <w:rPr>
                <w:rFonts w:ascii="宋体" w:hAnsi="宋体" w:cs="宋体" w:eastAsia="宋体" w:hint="default"/>
                <w:sz w:val="18"/>
                <w:szCs w:val="18"/>
              </w:rPr>
              <w:t>基本每股收益</w:t>
            </w:r>
          </w:p>
        </w:tc>
        <w:tc>
          <w:tcPr>
            <w:tcW w:w="13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485" w:hRule="exact"/>
        </w:trPr>
        <w:tc>
          <w:tcPr>
            <w:tcW w:w="45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w w:val="95"/>
                <w:sz w:val="18"/>
              </w:rPr>
              <w:t>10.57</w:t>
            </w:r>
            <w:r>
              <w:rPr>
                <w:rFonts w:ascii="Arial"/>
                <w:sz w:val="18"/>
              </w:rPr>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0.3187</w:t>
            </w:r>
          </w:p>
        </w:tc>
        <w:tc>
          <w:tcPr>
            <w:tcW w:w="13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0.3187</w:t>
            </w:r>
          </w:p>
        </w:tc>
      </w:tr>
      <w:tr>
        <w:trPr>
          <w:trHeight w:val="497" w:hRule="exact"/>
        </w:trPr>
        <w:tc>
          <w:tcPr>
            <w:tcW w:w="452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124"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扣除非经常性损益后归属于母公司股东的净利润</w:t>
            </w:r>
          </w:p>
        </w:tc>
        <w:tc>
          <w:tcPr>
            <w:tcW w:w="14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Arial" w:hAnsi="Arial" w:cs="Arial" w:eastAsia="Arial" w:hint="default"/>
                <w:sz w:val="18"/>
                <w:szCs w:val="18"/>
              </w:rPr>
            </w:pPr>
            <w:r>
              <w:rPr>
                <w:rFonts w:ascii="Arial"/>
                <w:w w:val="95"/>
                <w:sz w:val="18"/>
              </w:rPr>
              <w:t>8.56</w:t>
            </w:r>
            <w:r>
              <w:rPr>
                <w:rFonts w:ascii="Arial"/>
                <w:sz w:val="18"/>
              </w:rPr>
            </w:r>
          </w:p>
        </w:tc>
        <w:tc>
          <w:tcPr>
            <w:tcW w:w="14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0.2579</w:t>
            </w:r>
            <w:r>
              <w:rPr>
                <w:rFonts w:ascii="Arial"/>
                <w:sz w:val="18"/>
              </w:rPr>
            </w:r>
          </w:p>
        </w:tc>
        <w:tc>
          <w:tcPr>
            <w:tcW w:w="138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8"/>
                <w:szCs w:val="18"/>
              </w:rPr>
            </w:pPr>
            <w:r>
              <w:rPr>
                <w:rFonts w:ascii="Arial"/>
                <w:spacing w:val="-1"/>
                <w:sz w:val="18"/>
              </w:rPr>
              <w:t>0.2579</w:t>
            </w:r>
            <w:r>
              <w:rPr>
                <w:rFonts w:ascii="Arial"/>
                <w:sz w:val="18"/>
              </w:rPr>
            </w:r>
          </w:p>
        </w:tc>
      </w:tr>
    </w:tbl>
    <w:p>
      <w:pPr>
        <w:spacing w:after="0" w:line="240" w:lineRule="auto"/>
        <w:jc w:val="right"/>
        <w:rPr>
          <w:rFonts w:ascii="Arial" w:hAnsi="Arial" w:cs="Arial" w:eastAsia="Arial"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152" w:right="1133" w:firstLine="3133"/>
        <w:jc w:val="left"/>
        <w:rPr>
          <w:b w:val="0"/>
          <w:bCs w:val="0"/>
        </w:rPr>
      </w:pPr>
      <w:bookmarkStart w:name="_bookmark12" w:id="13"/>
      <w:bookmarkEnd w:id="13"/>
      <w:r>
        <w:rPr>
          <w:b w:val="0"/>
          <w:bCs w:val="0"/>
        </w:rPr>
      </w:r>
      <w:r>
        <w:rPr/>
        <w:t>第十三节</w:t>
      </w:r>
      <w:r>
        <w:rPr>
          <w:spacing w:val="-6"/>
        </w:rPr>
        <w:t> </w:t>
      </w:r>
      <w:r>
        <w:rPr/>
        <w:t>备查文件目录</w:t>
      </w:r>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5"/>
        <w:ind w:right="1129"/>
        <w:jc w:val="left"/>
        <w:rPr>
          <w:b w:val="0"/>
          <w:bCs w:val="0"/>
        </w:rPr>
      </w:pPr>
      <w:r>
        <w:rPr>
          <w:spacing w:val="2"/>
        </w:rPr>
        <w:t>一、载有法定代表人、主管会计工作负责人和会计机构负责人签名并盖章的会</w:t>
      </w:r>
      <w:r>
        <w:rPr>
          <w:w w:val="99"/>
        </w:rPr>
        <w:t> </w:t>
      </w:r>
      <w:r>
        <w:rPr/>
        <w:t>计报表。</w:t>
      </w:r>
      <w:r>
        <w:rPr>
          <w:b w:val="0"/>
          <w:bCs w:val="0"/>
        </w:rPr>
      </w:r>
    </w:p>
    <w:p>
      <w:pPr>
        <w:spacing w:line="240" w:lineRule="auto" w:before="1"/>
        <w:rPr>
          <w:rFonts w:ascii="宋体" w:hAnsi="宋体" w:cs="宋体" w:eastAsia="宋体" w:hint="default"/>
          <w:b/>
          <w:bCs/>
          <w:sz w:val="23"/>
          <w:szCs w:val="23"/>
        </w:rPr>
      </w:pPr>
    </w:p>
    <w:p>
      <w:pPr>
        <w:pStyle w:val="Heading2"/>
        <w:spacing w:line="240" w:lineRule="auto"/>
        <w:ind w:right="1133"/>
        <w:jc w:val="left"/>
        <w:rPr>
          <w:b w:val="0"/>
          <w:bCs w:val="0"/>
        </w:rPr>
      </w:pPr>
      <w:r>
        <w:rPr/>
        <w:t>二、载有会计师事务所盖章、注册会计师签名并盖章的审计报告原件。</w:t>
      </w:r>
      <w:r>
        <w:rPr>
          <w:b w:val="0"/>
          <w:bCs w:val="0"/>
        </w:rPr>
      </w:r>
    </w:p>
    <w:p>
      <w:pPr>
        <w:spacing w:line="240" w:lineRule="auto" w:before="1"/>
        <w:rPr>
          <w:rFonts w:ascii="宋体" w:hAnsi="宋体" w:cs="宋体" w:eastAsia="宋体" w:hint="default"/>
          <w:b/>
          <w:bCs/>
          <w:sz w:val="38"/>
          <w:szCs w:val="38"/>
        </w:rPr>
      </w:pPr>
    </w:p>
    <w:p>
      <w:pPr>
        <w:pStyle w:val="Heading2"/>
        <w:spacing w:line="408" w:lineRule="auto"/>
        <w:ind w:right="1129"/>
        <w:jc w:val="left"/>
        <w:rPr>
          <w:b w:val="0"/>
          <w:bCs w:val="0"/>
        </w:rPr>
      </w:pPr>
      <w:r>
        <w:rPr>
          <w:spacing w:val="2"/>
        </w:rPr>
        <w:t>三、报告期内在中国证监会指定报纸上公开披露过的所有公司文件的正本及公</w:t>
      </w:r>
      <w:r>
        <w:rPr>
          <w:w w:val="99"/>
        </w:rPr>
        <w:t> </w:t>
      </w:r>
      <w:r>
        <w:rPr/>
        <w:t>告的原稿。</w:t>
      </w:r>
      <w:r>
        <w:rPr>
          <w:b w:val="0"/>
          <w:bCs w:val="0"/>
        </w:rPr>
      </w:r>
    </w:p>
    <w:p>
      <w:pPr>
        <w:spacing w:line="240" w:lineRule="auto" w:before="1"/>
        <w:rPr>
          <w:rFonts w:ascii="宋体" w:hAnsi="宋体" w:cs="宋体" w:eastAsia="宋体" w:hint="default"/>
          <w:b/>
          <w:bCs/>
          <w:sz w:val="23"/>
          <w:szCs w:val="23"/>
        </w:rPr>
      </w:pPr>
    </w:p>
    <w:p>
      <w:pPr>
        <w:pStyle w:val="Heading2"/>
        <w:spacing w:line="535" w:lineRule="auto"/>
        <w:ind w:right="4570"/>
        <w:jc w:val="left"/>
        <w:rPr>
          <w:b w:val="0"/>
          <w:bCs w:val="0"/>
        </w:rPr>
      </w:pPr>
      <w:r>
        <w:rPr/>
        <w:t>四、载有董事长签名的</w:t>
      </w:r>
      <w:r>
        <w:rPr>
          <w:rFonts w:ascii="Times New Roman" w:hAnsi="Times New Roman" w:cs="Times New Roman" w:eastAsia="Times New Roman" w:hint="default"/>
        </w:rPr>
        <w:t>2019</w:t>
      </w:r>
      <w:r>
        <w:rPr/>
        <w:t>年度报告文本原件。</w:t>
      </w:r>
      <w:r>
        <w:rPr>
          <w:w w:val="99"/>
        </w:rPr>
        <w:t> </w:t>
      </w:r>
      <w:r>
        <w:rPr/>
        <w:t>五、上述备查文件的备置地点：公司证券事务部。</w:t>
      </w:r>
      <w:r>
        <w:rPr>
          <w:b w:val="0"/>
          <w:bCs w:val="0"/>
        </w:rPr>
      </w:r>
    </w:p>
    <w:p>
      <w:pPr>
        <w:spacing w:after="0" w:line="535" w:lineRule="auto"/>
        <w:jc w:val="left"/>
        <w:sectPr>
          <w:pgSz w:w="11910" w:h="16840"/>
          <w:pgMar w:header="745" w:footer="979" w:top="1060" w:bottom="1160" w:left="980" w:right="0"/>
        </w:sectPr>
      </w:pPr>
    </w:p>
    <w:p>
      <w:pPr>
        <w:spacing w:line="240" w:lineRule="auto" w:before="5"/>
        <w:rPr>
          <w:rFonts w:ascii="Times New Roman" w:hAnsi="Times New Roman" w:cs="Times New Roman" w:eastAsia="Times New Roman" w:hint="default"/>
          <w:sz w:val="17"/>
          <w:szCs w:val="17"/>
        </w:rPr>
      </w:pPr>
      <w:r>
        <w:rPr/>
        <w:pict>
          <v:group style="position:absolute;margin-left:0pt;margin-top:.560pt;width:595pt;height:841.45pt;mso-position-horizontal-relative:page;mso-position-vertical-relative:page;z-index:1288" coordorigin="0,11" coordsize="11900,16829">
            <v:shape style="position:absolute;left:0;top:11;width:11900;height:16829" type="#_x0000_t75" stroked="false">
              <v:imagedata r:id="rId21" o:title=""/>
            </v:shape>
            <v:shape style="position:absolute;left:10710;top:16136;width:1190;height:536" type="#_x0000_t75" stroked="false">
              <v:imagedata r:id="rId22" o:title=""/>
            </v:shape>
            <w10:wrap type="none"/>
          </v:group>
        </w:pict>
      </w:r>
    </w:p>
    <w:sectPr>
      <w:headerReference w:type="default" r:id="rId19"/>
      <w:footerReference w:type="default" r:id="rId20"/>
      <w:pgSz w:w="11900" w:h="16840"/>
      <w:pgMar w:header="0" w:footer="0" w:top="160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S Gothic">
    <w:altName w:val="MS Gothic"/>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69544" type="#_x0000_t75" stroked="false">
          <v:imagedata r:id="rId1" o:title=""/>
        </v:shape>
      </w:pict>
    </w:r>
    <w:r>
      <w:rPr/>
      <w:pict>
        <v:shape style="position:absolute;margin-left:294.369995pt;margin-top:795.637939pt;width:6.5pt;height:11pt;mso-position-horizontal-relative:page;mso-position-vertical-relative:page;z-index:-96952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69496" type="#_x0000_t75" stroked="false">
          <v:imagedata r:id="rId1" o:title=""/>
        </v:shape>
      </w:pict>
    </w:r>
    <w:r>
      <w:rPr/>
      <w:pict>
        <v:shape style="position:absolute;margin-left:291.089996pt;margin-top:781.957947pt;width:13.15pt;height:11pt;mso-position-horizontal-relative:page;mso-position-vertical-relative:page;z-index:-9694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69448" type="#_x0000_t75" stroked="false">
          <v:imagedata r:id="rId1" o:title=""/>
        </v:shape>
      </w:pict>
    </w:r>
    <w:r>
      <w:rPr/>
      <w:pict>
        <v:shape style="position:absolute;margin-left:289.809998pt;margin-top:781.957947pt;width:15.7pt;height:11pt;mso-position-horizontal-relative:page;mso-position-vertical-relative:page;z-index:-96942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69400" type="#_x0000_t75" stroked="false">
          <v:imagedata r:id="rId1" o:title=""/>
        </v:shape>
      </w:pict>
    </w:r>
    <w:r>
      <w:rPr/>
      <w:pict>
        <v:shape style="position:absolute;margin-left:288.809998pt;margin-top:781.957947pt;width:17.7pt;height:11pt;mso-position-horizontal-relative:page;mso-position-vertical-relative:page;z-index:-9693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69352" type="#_x0000_t75" stroked="false">
          <v:imagedata r:id="rId1" o:title=""/>
        </v:shape>
      </w:pict>
    </w:r>
    <w:r>
      <w:rPr/>
      <w:pict>
        <v:shape style="position:absolute;margin-left:289.049988pt;margin-top:781.957947pt;width:17.3pt;height:11pt;mso-position-horizontal-relative:page;mso-position-vertical-relative:page;z-index:-9693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69304" type="#_x0000_t75" stroked="false">
          <v:imagedata r:id="rId1" o:title=""/>
        </v:shape>
      </w:pict>
    </w:r>
    <w:r>
      <w:rPr/>
      <w:pict>
        <v:shape style="position:absolute;margin-left:288.809998pt;margin-top:781.957947pt;width:17.7pt;height:11pt;mso-position-horizontal-relative:page;mso-position-vertical-relative:page;z-index:-9692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070007pt;margin-top:36.265610pt;width:195.75pt;height:11.5pt;mso-position-horizontal-relative:page;mso-position-vertical-relative:page;z-index:-9695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0"/>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22"/>
      <w:szCs w:val="22"/>
    </w:rPr>
  </w:style>
  <w:style w:styleId="Heading1" w:type="paragraph">
    <w:name w:val="Heading 1"/>
    <w:basedOn w:val="Normal"/>
    <w:uiPriority w:val="1"/>
    <w:qFormat/>
    <w:pPr>
      <w:ind w:left="2784"/>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8"/>
      <w:szCs w:val="28"/>
    </w:rPr>
  </w:style>
  <w:style w:styleId="Heading3" w:type="paragraph">
    <w:name w:val="Heading 3"/>
    <w:basedOn w:val="Normal"/>
    <w:uiPriority w:val="1"/>
    <w:qFormat/>
    <w:pPr>
      <w:ind w:left="152"/>
      <w:outlineLvl w:val="3"/>
    </w:pPr>
    <w:rPr>
      <w:rFonts w:ascii="宋体" w:hAnsi="宋体" w:eastAsia="宋体"/>
      <w:b/>
      <w:bCs/>
      <w:sz w:val="24"/>
      <w:szCs w:val="24"/>
    </w:rPr>
  </w:style>
  <w:style w:styleId="Heading4" w:type="paragraph">
    <w:name w:val="Heading 4"/>
    <w:basedOn w:val="Normal"/>
    <w:uiPriority w:val="1"/>
    <w:qFormat/>
    <w:pPr>
      <w:spacing w:before="62"/>
      <w:ind w:left="594"/>
      <w:outlineLvl w:val="4"/>
    </w:pPr>
    <w:rPr>
      <w:rFonts w:ascii="宋体" w:hAnsi="宋体" w:eastAsia="宋体"/>
      <w:b/>
      <w:bCs/>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tech.coscoshipping.com/" TargetMode="External"/><Relationship Id="rId10" Type="http://schemas.openxmlformats.org/officeDocument/2006/relationships/hyperlink" Target="mailto:ir.tech@coscoshipping.com" TargetMode="External"/><Relationship Id="rId11" Type="http://schemas.openxmlformats.org/officeDocument/2006/relationships/hyperlink" Target="mailto:dai.jing@coscoshipping.com" TargetMode="External"/><Relationship Id="rId12" Type="http://schemas.openxmlformats.org/officeDocument/2006/relationships/hyperlink" Target="mailto:ma.chi@coscoshipping.com" TargetMode="External"/><Relationship Id="rId13" Type="http://schemas.openxmlformats.org/officeDocument/2006/relationships/hyperlink" Target="http://www.cninfo.com.cn/" TargetMode="External"/><Relationship Id="rId14" Type="http://schemas.openxmlformats.org/officeDocument/2006/relationships/image" Target="media/image3.jpeg"/><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header" Target="header2.xml"/><Relationship Id="rId20" Type="http://schemas.openxmlformats.org/officeDocument/2006/relationships/footer" Target="footer7.xml"/><Relationship Id="rId21" Type="http://schemas.openxmlformats.org/officeDocument/2006/relationships/image" Target="media/image4.jpeg"/><Relationship Id="rId22" Type="http://schemas.openxmlformats.org/officeDocument/2006/relationships/image" Target="media/image1.jpe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中远海运科技股份有限公司</dc:creator>
  <dc:title>中远海运科技股份有限公司2019年年度报告全文</dc:title>
  <dcterms:created xsi:type="dcterms:W3CDTF">2020-05-19T01:22:11Z</dcterms:created>
  <dcterms:modified xsi:type="dcterms:W3CDTF">2020-05-19T01:22:11Z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2020-03-27T00:00:00Z</vt:filetime>
  </property>
  <property fmtid="{D5CDD505-2E9C-101B-9397-08002B2CF9AE}" pid="3" name="Creator">
    <vt:lpwstr>Microsoft® Word 2010</vt:lpwstr>
  </property>
  <property fmtid="{D5CDD505-2E9C-101B-9397-08002B2CF9AE}" pid="4" name="LastSaved">
    <vt:filetime>2020-05-18T00:00:00Z</vt:filetime>
  </property>
</Properties>
</file>