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footer3.xml" ContentType="application/vnd.openxmlformats-officedocument.wordprocessingml.footer+xml"/>
  <Default Extension="png" ContentType="image/png"/>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16"/>
          <w:szCs w:val="16"/>
        </w:rPr>
      </w:pPr>
    </w:p>
    <w:p>
      <w:pPr>
        <w:spacing w:line="580" w:lineRule="exact" w:before="0"/>
        <w:ind w:left="495" w:right="502" w:firstLine="0"/>
        <w:jc w:val="center"/>
        <w:rPr>
          <w:rFonts w:ascii="宋体" w:hAnsi="宋体" w:cs="宋体" w:eastAsia="宋体" w:hint="default"/>
          <w:sz w:val="48"/>
          <w:szCs w:val="48"/>
        </w:rPr>
      </w:pPr>
      <w:r>
        <w:rPr/>
        <w:pict>
          <v:group style="position:absolute;margin-left:55.200001pt;margin-top:-82.635002pt;width:484.9pt;height:.1pt;mso-position-horizontal-relative:page;mso-position-vertical-relative:paragraph;z-index:0" coordorigin="1104,-1653" coordsize="9698,2">
            <v:shape style="position:absolute;left:1104;top:-1653;width:9698;height:2" coordorigin="1104,-1653" coordsize="9698,0" path="m1104,-1653l10802,-1653e" filled="false" stroked="true" strokeweight=".72pt" strokecolor="#000000">
              <v:path arrowok="t"/>
            </v:shape>
            <w10:wrap type="none"/>
          </v:group>
        </w:pict>
      </w:r>
      <w:r>
        <w:rPr>
          <w:rFonts w:ascii="宋体" w:hAnsi="宋体" w:cs="宋体" w:eastAsia="宋体" w:hint="default"/>
          <w:b/>
          <w:bCs/>
          <w:sz w:val="48"/>
          <w:szCs w:val="48"/>
        </w:rPr>
        <w:t>北京四维图新科技股份有限公司</w:t>
      </w:r>
      <w:r>
        <w:rPr>
          <w:rFonts w:ascii="宋体" w:hAnsi="宋体" w:cs="宋体" w:eastAsia="宋体" w:hint="default"/>
          <w:sz w:val="48"/>
          <w:szCs w:val="48"/>
        </w:rPr>
      </w:r>
    </w:p>
    <w:p>
      <w:pPr>
        <w:spacing w:before="110"/>
        <w:ind w:left="495" w:right="500" w:firstLine="0"/>
        <w:jc w:val="center"/>
        <w:rPr>
          <w:rFonts w:ascii="Times New Roman" w:hAnsi="Times New Roman" w:cs="Times New Roman" w:eastAsia="Times New Roman" w:hint="default"/>
          <w:sz w:val="48"/>
          <w:szCs w:val="48"/>
        </w:rPr>
      </w:pPr>
      <w:r>
        <w:rPr>
          <w:rFonts w:ascii="Times New Roman"/>
          <w:b/>
          <w:sz w:val="48"/>
        </w:rPr>
        <w:t>NavInfo Co.,</w:t>
      </w:r>
      <w:r>
        <w:rPr>
          <w:rFonts w:ascii="Times New Roman"/>
          <w:b/>
          <w:spacing w:val="-1"/>
          <w:sz w:val="48"/>
        </w:rPr>
        <w:t> </w:t>
      </w:r>
      <w:r>
        <w:rPr>
          <w:rFonts w:ascii="Times New Roman"/>
          <w:b/>
          <w:sz w:val="48"/>
        </w:rPr>
        <w:t>Ltd.</w:t>
      </w:r>
      <w:r>
        <w:rPr>
          <w:rFonts w:ascii="Times New Roman"/>
          <w:sz w:val="48"/>
        </w:rPr>
      </w:r>
    </w:p>
    <w:p>
      <w:pPr>
        <w:spacing w:line="240" w:lineRule="auto" w:before="8"/>
        <w:rPr>
          <w:rFonts w:ascii="Times New Roman" w:hAnsi="Times New Roman" w:cs="Times New Roman" w:eastAsia="Times New Roman" w:hint="default"/>
          <w:b/>
          <w:bCs/>
          <w:sz w:val="3"/>
          <w:szCs w:val="3"/>
        </w:rPr>
      </w:pPr>
    </w:p>
    <w:p>
      <w:pPr>
        <w:spacing w:line="581" w:lineRule="exact"/>
        <w:ind w:left="341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drawing>
          <wp:inline distT="0" distB="0" distL="0" distR="0">
            <wp:extent cx="1971704" cy="369189"/>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1971704" cy="369189"/>
                    </a:xfrm>
                    <a:prstGeom prst="rect">
                      <a:avLst/>
                    </a:prstGeom>
                  </pic:spPr>
                </pic:pic>
              </a:graphicData>
            </a:graphic>
          </wp:inline>
        </w:drawing>
      </w:r>
      <w:r>
        <w:rPr>
          <w:rFonts w:ascii="Times New Roman" w:hAnsi="Times New Roman" w:cs="Times New Roman" w:eastAsia="Times New Roman" w:hint="default"/>
          <w:position w:val="-11"/>
          <w:sz w:val="20"/>
          <w:szCs w:val="20"/>
        </w:rPr>
      </w: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line="240" w:lineRule="auto" w:before="0"/>
        <w:rPr>
          <w:rFonts w:ascii="Times New Roman" w:hAnsi="Times New Roman" w:cs="Times New Roman" w:eastAsia="Times New Roman" w:hint="default"/>
          <w:b/>
          <w:bCs/>
          <w:sz w:val="48"/>
          <w:szCs w:val="48"/>
        </w:rPr>
      </w:pPr>
    </w:p>
    <w:p>
      <w:pPr>
        <w:spacing w:line="240" w:lineRule="auto" w:before="2"/>
        <w:rPr>
          <w:rFonts w:ascii="Times New Roman" w:hAnsi="Times New Roman" w:cs="Times New Roman" w:eastAsia="Times New Roman" w:hint="default"/>
          <w:b/>
          <w:bCs/>
          <w:sz w:val="67"/>
          <w:szCs w:val="67"/>
        </w:rPr>
      </w:pPr>
    </w:p>
    <w:p>
      <w:pPr>
        <w:spacing w:before="0"/>
        <w:ind w:left="495" w:right="500" w:firstLine="0"/>
        <w:jc w:val="center"/>
        <w:rPr>
          <w:rFonts w:ascii="宋体" w:hAnsi="宋体" w:cs="宋体" w:eastAsia="宋体" w:hint="default"/>
          <w:sz w:val="48"/>
          <w:szCs w:val="48"/>
        </w:rPr>
      </w:pPr>
      <w:r>
        <w:rPr>
          <w:rFonts w:ascii="宋体" w:hAnsi="宋体" w:cs="宋体" w:eastAsia="宋体" w:hint="default"/>
          <w:b/>
          <w:bCs/>
          <w:sz w:val="48"/>
          <w:szCs w:val="48"/>
        </w:rPr>
        <w:t>二○一七年年度报告</w:t>
      </w:r>
      <w:r>
        <w:rPr>
          <w:rFonts w:ascii="宋体" w:hAnsi="宋体" w:cs="宋体" w:eastAsia="宋体" w:hint="default"/>
          <w:sz w:val="48"/>
          <w:szCs w:val="48"/>
        </w:rPr>
      </w: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before="429"/>
        <w:ind w:left="495" w:right="498" w:firstLine="0"/>
        <w:jc w:val="center"/>
        <w:rPr>
          <w:rFonts w:ascii="宋体" w:hAnsi="宋体" w:cs="宋体" w:eastAsia="宋体" w:hint="default"/>
          <w:sz w:val="36"/>
          <w:szCs w:val="36"/>
        </w:rPr>
      </w:pPr>
      <w:r>
        <w:rPr>
          <w:rFonts w:ascii="宋体" w:hAnsi="宋体" w:cs="宋体" w:eastAsia="宋体" w:hint="default"/>
          <w:b/>
          <w:bCs/>
          <w:sz w:val="36"/>
          <w:szCs w:val="36"/>
        </w:rPr>
        <w:t>二○一八年四月</w:t>
      </w:r>
      <w:r>
        <w:rPr>
          <w:rFonts w:ascii="宋体" w:hAnsi="宋体" w:cs="宋体" w:eastAsia="宋体" w:hint="default"/>
          <w:sz w:val="36"/>
          <w:szCs w:val="36"/>
        </w:rPr>
      </w:r>
    </w:p>
    <w:p>
      <w:pPr>
        <w:spacing w:after="0"/>
        <w:jc w:val="center"/>
        <w:rPr>
          <w:rFonts w:ascii="宋体" w:hAnsi="宋体" w:cs="宋体" w:eastAsia="宋体" w:hint="default"/>
          <w:sz w:val="36"/>
          <w:szCs w:val="36"/>
        </w:rPr>
        <w:sectPr>
          <w:headerReference w:type="default" r:id="rId5"/>
          <w:footerReference w:type="default" r:id="rId6"/>
          <w:type w:val="continuous"/>
          <w:pgSz w:w="11910" w:h="16840"/>
          <w:pgMar w:header="745" w:footer="979" w:top="1060" w:bottom="1160" w:left="980" w:right="980"/>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2" w:right="102"/>
        <w:jc w:val="left"/>
        <w:rPr>
          <w:b w:val="0"/>
          <w:bCs w:val="0"/>
        </w:rPr>
      </w:pPr>
      <w:bookmarkStart w:name="_bookmark0" w:id="1"/>
      <w:bookmarkEnd w:id="1"/>
      <w:r>
        <w:rPr>
          <w:b w:val="0"/>
          <w:bCs w:val="0"/>
        </w:rPr>
      </w:r>
      <w:r>
        <w:rPr/>
        <w:t>第一节</w:t>
      </w:r>
      <w:r>
        <w:rPr>
          <w:spacing w:val="-5"/>
        </w:rPr>
        <w:t> </w:t>
      </w:r>
      <w:r>
        <w:rPr/>
        <w:t>重要提示、目录和释义</w:t>
      </w:r>
      <w:r>
        <w:rPr>
          <w:b w:val="0"/>
          <w:bCs w:val="0"/>
        </w:rPr>
      </w:r>
    </w:p>
    <w:p>
      <w:pPr>
        <w:spacing w:line="240" w:lineRule="auto" w:before="0"/>
        <w:rPr>
          <w:rFonts w:ascii="宋体" w:hAnsi="宋体" w:cs="宋体" w:eastAsia="宋体" w:hint="default"/>
          <w:b/>
          <w:bCs/>
          <w:sz w:val="32"/>
          <w:szCs w:val="32"/>
        </w:rPr>
      </w:pPr>
    </w:p>
    <w:p>
      <w:pPr>
        <w:pStyle w:val="Heading2"/>
        <w:spacing w:line="408" w:lineRule="auto" w:before="215"/>
        <w:ind w:right="256" w:firstLine="562"/>
        <w:jc w:val="both"/>
        <w:rPr>
          <w:b w:val="0"/>
          <w:bCs w:val="0"/>
        </w:rPr>
      </w:pPr>
      <w:r>
        <w:rPr>
          <w:spacing w:val="2"/>
        </w:rPr>
        <w:t>公司董事会、监事会及董事、监事、高级管理人员保证年度报告内容的真</w:t>
      </w:r>
      <w:r>
        <w:rPr>
          <w:w w:val="99"/>
        </w:rPr>
        <w:t> </w:t>
      </w:r>
      <w:r>
        <w:rPr>
          <w:spacing w:val="2"/>
        </w:rPr>
        <w:t>实、准确、完整，不存在虚假记载、误导性陈述或重大遗漏，并承担个别和连</w:t>
      </w:r>
      <w:r>
        <w:rPr>
          <w:w w:val="99"/>
        </w:rPr>
        <w:t> </w:t>
      </w:r>
      <w:r>
        <w:rPr/>
        <w:t>带的法律责任。</w:t>
      </w:r>
      <w:r>
        <w:rPr>
          <w:b w:val="0"/>
          <w:bCs w:val="0"/>
        </w:rPr>
      </w:r>
    </w:p>
    <w:p>
      <w:pPr>
        <w:pStyle w:val="Heading2"/>
        <w:spacing w:line="386" w:lineRule="auto" w:before="163"/>
        <w:ind w:right="251" w:firstLine="562"/>
        <w:jc w:val="both"/>
        <w:rPr>
          <w:b w:val="0"/>
          <w:bCs w:val="0"/>
        </w:rPr>
      </w:pPr>
      <w:r>
        <w:rPr>
          <w:w w:val="95"/>
        </w:rPr>
        <w:t>公司负责人吴劲风、主管会计工作负责人唐伟及会计机构负责人</w:t>
      </w:r>
      <w:r>
        <w:rPr>
          <w:rFonts w:ascii="Times New Roman" w:hAnsi="Times New Roman" w:cs="Times New Roman" w:eastAsia="Times New Roman" w:hint="default"/>
          <w:w w:val="95"/>
        </w:rPr>
        <w:t>(</w:t>
      </w:r>
      <w:r>
        <w:rPr>
          <w:w w:val="95"/>
        </w:rPr>
        <w:t>会计主管</w:t>
      </w:r>
      <w:r>
        <w:rPr>
          <w:w w:val="99"/>
        </w:rPr>
        <w:t> </w:t>
      </w:r>
      <w:r>
        <w:rPr/>
        <w:t>人员</w:t>
      </w:r>
      <w:r>
        <w:rPr>
          <w:rFonts w:ascii="Times New Roman" w:hAnsi="Times New Roman" w:cs="Times New Roman" w:eastAsia="Times New Roman" w:hint="default"/>
        </w:rPr>
        <w:t>)</w:t>
      </w:r>
      <w:r>
        <w:rPr/>
        <w:t>姜晓明声明：保证年度报告中财务报告的真实、准确、完整。</w:t>
      </w:r>
      <w:r>
        <w:rPr>
          <w:b w:val="0"/>
          <w:bCs w:val="0"/>
        </w:rPr>
      </w:r>
    </w:p>
    <w:p>
      <w:pPr>
        <w:pStyle w:val="Heading2"/>
        <w:spacing w:line="472" w:lineRule="auto" w:before="148"/>
        <w:ind w:left="714" w:right="102"/>
        <w:jc w:val="left"/>
        <w:rPr>
          <w:b w:val="0"/>
          <w:bCs w:val="0"/>
        </w:rPr>
      </w:pPr>
      <w:r>
        <w:rPr/>
        <w:t>所有董事均已出席了审议本报告的董事会会议。</w:t>
      </w:r>
      <w:r>
        <w:rPr>
          <w:w w:val="99"/>
        </w:rPr>
        <w:t> </w:t>
      </w:r>
      <w:r>
        <w:rPr>
          <w:spacing w:val="-2"/>
        </w:rPr>
        <w:t>本年度报告涉及未来计划等前瞻性陈述，不构成公司对投资者的实质承诺，</w:t>
      </w:r>
      <w:r>
        <w:rPr>
          <w:b w:val="0"/>
          <w:bCs w:val="0"/>
          <w:spacing w:val="-2"/>
        </w:rPr>
      </w:r>
    </w:p>
    <w:p>
      <w:pPr>
        <w:pStyle w:val="Heading2"/>
        <w:spacing w:line="475" w:lineRule="auto"/>
        <w:ind w:left="714" w:right="102" w:hanging="563"/>
        <w:jc w:val="left"/>
        <w:rPr>
          <w:b w:val="0"/>
          <w:bCs w:val="0"/>
        </w:rPr>
      </w:pPr>
      <w:r>
        <w:rPr/>
        <w:t>请投资者注意投资风险。</w:t>
      </w:r>
      <w:r>
        <w:rPr>
          <w:w w:val="99"/>
        </w:rPr>
        <w:t> </w:t>
      </w:r>
      <w:r>
        <w:rPr>
          <w:spacing w:val="2"/>
        </w:rPr>
        <w:t>公司经本次董事会审议通过的利润分配预案为：以权益分派实施股权登记</w:t>
      </w:r>
      <w:r>
        <w:rPr>
          <w:b w:val="0"/>
          <w:bCs w:val="0"/>
          <w:spacing w:val="2"/>
        </w:rPr>
      </w:r>
    </w:p>
    <w:p>
      <w:pPr>
        <w:pStyle w:val="Heading2"/>
        <w:spacing w:line="371" w:lineRule="exact"/>
        <w:ind w:right="102"/>
        <w:jc w:val="left"/>
        <w:rPr>
          <w:b w:val="0"/>
          <w:bCs w:val="0"/>
        </w:rPr>
      </w:pPr>
      <w:r>
        <w:rPr>
          <w:w w:val="99"/>
        </w:rPr>
        <w:t>日公</w:t>
      </w:r>
      <w:r>
        <w:rPr>
          <w:spacing w:val="2"/>
          <w:w w:val="99"/>
        </w:rPr>
        <w:t>司</w:t>
      </w:r>
      <w:r>
        <w:rPr>
          <w:w w:val="99"/>
        </w:rPr>
        <w:t>股份总数为基数</w:t>
      </w:r>
      <w:r>
        <w:rPr>
          <w:spacing w:val="3"/>
          <w:w w:val="99"/>
        </w:rPr>
        <w:t>，</w:t>
      </w:r>
      <w:r>
        <w:rPr>
          <w:w w:val="99"/>
        </w:rPr>
        <w:t>向全体股东每</w:t>
      </w:r>
      <w:r>
        <w:rPr>
          <w:spacing w:val="-67"/>
        </w:rPr>
        <w:t> </w:t>
      </w:r>
      <w:r>
        <w:rPr>
          <w:rFonts w:ascii="Times New Roman" w:hAnsi="Times New Roman" w:cs="Times New Roman" w:eastAsia="Times New Roman" w:hint="default"/>
          <w:spacing w:val="-2"/>
          <w:w w:val="100"/>
        </w:rPr>
        <w:t>1</w:t>
      </w:r>
      <w:r>
        <w:rPr>
          <w:rFonts w:ascii="Times New Roman" w:hAnsi="Times New Roman" w:cs="Times New Roman" w:eastAsia="Times New Roman" w:hint="default"/>
          <w:w w:val="100"/>
        </w:rPr>
        <w:t>0</w:t>
      </w:r>
      <w:r>
        <w:rPr>
          <w:rFonts w:ascii="Times New Roman" w:hAnsi="Times New Roman" w:cs="Times New Roman" w:eastAsia="Times New Roman" w:hint="default"/>
          <w:spacing w:val="3"/>
        </w:rPr>
        <w:t> </w:t>
      </w:r>
      <w:r>
        <w:rPr>
          <w:w w:val="99"/>
        </w:rPr>
        <w:t>股</w:t>
      </w:r>
      <w:r>
        <w:rPr>
          <w:spacing w:val="2"/>
          <w:w w:val="99"/>
        </w:rPr>
        <w:t>派</w:t>
      </w:r>
      <w:r>
        <w:rPr>
          <w:w w:val="99"/>
        </w:rPr>
        <w:t>发现金红利</w:t>
      </w:r>
      <w:r>
        <w:rPr>
          <w:spacing w:val="-67"/>
        </w:rPr>
        <w:t> </w:t>
      </w:r>
      <w:r>
        <w:rPr>
          <w:rFonts w:ascii="Times New Roman" w:hAnsi="Times New Roman" w:cs="Times New Roman" w:eastAsia="Times New Roman" w:hint="default"/>
          <w:w w:val="100"/>
        </w:rPr>
        <w:t>0.</w:t>
      </w:r>
      <w:r>
        <w:rPr>
          <w:rFonts w:ascii="Times New Roman" w:hAnsi="Times New Roman" w:cs="Times New Roman" w:eastAsia="Times New Roman" w:hint="default"/>
          <w:spacing w:val="-2"/>
          <w:w w:val="100"/>
        </w:rPr>
        <w:t>4</w:t>
      </w:r>
      <w:r>
        <w:rPr>
          <w:rFonts w:ascii="Times New Roman" w:hAnsi="Times New Roman" w:cs="Times New Roman" w:eastAsia="Times New Roman" w:hint="default"/>
          <w:w w:val="100"/>
        </w:rPr>
        <w:t>2</w:t>
      </w:r>
      <w:r>
        <w:rPr>
          <w:rFonts w:ascii="Times New Roman" w:hAnsi="Times New Roman" w:cs="Times New Roman" w:eastAsia="Times New Roman" w:hint="default"/>
          <w:spacing w:val="3"/>
        </w:rPr>
        <w:t> </w:t>
      </w:r>
      <w:r>
        <w:rPr>
          <w:w w:val="99"/>
        </w:rPr>
        <w:t>元（含</w:t>
      </w:r>
      <w:r>
        <w:rPr>
          <w:spacing w:val="2"/>
          <w:w w:val="99"/>
        </w:rPr>
        <w:t>税</w:t>
      </w:r>
      <w:r>
        <w:rPr>
          <w:spacing w:val="-142"/>
          <w:w w:val="99"/>
        </w:rPr>
        <w:t>）</w:t>
      </w:r>
      <w:r>
        <w:rPr>
          <w:w w:val="99"/>
        </w:rPr>
        <w:t>，送</w:t>
      </w:r>
      <w:r>
        <w:rPr>
          <w:b w:val="0"/>
          <w:bCs w:val="0"/>
        </w:rPr>
      </w:r>
    </w:p>
    <w:p>
      <w:pPr>
        <w:pStyle w:val="Heading2"/>
        <w:spacing w:line="240" w:lineRule="auto" w:before="236"/>
        <w:ind w:right="102"/>
        <w:jc w:val="left"/>
        <w:rPr>
          <w:b w:val="0"/>
          <w:bCs w:val="0"/>
        </w:rPr>
      </w:pPr>
      <w:r>
        <w:rPr>
          <w:spacing w:val="2"/>
          <w:w w:val="99"/>
        </w:rPr>
        <w:t>红</w:t>
      </w:r>
      <w:r>
        <w:rPr>
          <w:w w:val="99"/>
        </w:rPr>
        <w:t>股</w:t>
      </w:r>
      <w:r>
        <w:rPr>
          <w:spacing w:val="-71"/>
        </w:rPr>
        <w:t> </w:t>
      </w:r>
      <w:r>
        <w:rPr>
          <w:rFonts w:ascii="Times New Roman" w:hAnsi="Times New Roman" w:cs="Times New Roman" w:eastAsia="Times New Roman" w:hint="default"/>
          <w:w w:val="100"/>
        </w:rPr>
        <w:t>0</w:t>
      </w:r>
      <w:r>
        <w:rPr>
          <w:rFonts w:ascii="Times New Roman" w:hAnsi="Times New Roman" w:cs="Times New Roman" w:eastAsia="Times New Roman" w:hint="default"/>
          <w:spacing w:val="-2"/>
        </w:rPr>
        <w:t> </w:t>
      </w:r>
      <w:r>
        <w:rPr>
          <w:w w:val="99"/>
        </w:rPr>
        <w:t>股</w:t>
      </w:r>
      <w:r>
        <w:rPr>
          <w:spacing w:val="2"/>
          <w:w w:val="99"/>
        </w:rPr>
        <w:t>（</w:t>
      </w:r>
      <w:r>
        <w:rPr>
          <w:w w:val="99"/>
        </w:rPr>
        <w:t>含税</w:t>
      </w:r>
      <w:r>
        <w:rPr>
          <w:spacing w:val="-142"/>
          <w:w w:val="99"/>
        </w:rPr>
        <w:t>）</w:t>
      </w:r>
      <w:r>
        <w:rPr>
          <w:w w:val="99"/>
        </w:rPr>
        <w:t>，不以</w:t>
      </w:r>
      <w:r>
        <w:rPr>
          <w:spacing w:val="2"/>
          <w:w w:val="99"/>
        </w:rPr>
        <w:t>公</w:t>
      </w:r>
      <w:r>
        <w:rPr>
          <w:w w:val="99"/>
        </w:rPr>
        <w:t>积金转增股本。</w:t>
      </w:r>
      <w:r>
        <w:rPr>
          <w:b w:val="0"/>
          <w:bCs w:val="0"/>
        </w:rPr>
      </w:r>
    </w:p>
    <w:p>
      <w:pPr>
        <w:spacing w:after="0" w:line="240" w:lineRule="auto"/>
        <w:jc w:val="left"/>
        <w:sectPr>
          <w:footerReference w:type="default" r:id="rId8"/>
          <w:pgSz w:w="11910" w:h="16840"/>
          <w:pgMar w:footer="979" w:header="745" w:top="1060" w:bottom="1160" w:left="980" w:right="880"/>
          <w:pgNumType w:start="2"/>
        </w:sectPr>
      </w:pPr>
    </w:p>
    <w:p>
      <w:pPr>
        <w:spacing w:line="240" w:lineRule="auto" w:before="11"/>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spacing w:line="460" w:lineRule="exact" w:before="0"/>
        <w:ind w:left="495" w:right="495"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8"/>
        <w:rPr>
          <w:rFonts w:ascii="宋体" w:hAnsi="宋体" w:cs="宋体" w:eastAsia="宋体" w:hint="default"/>
          <w:b/>
          <w:bCs/>
          <w:sz w:val="51"/>
          <w:szCs w:val="51"/>
        </w:rPr>
      </w:pPr>
    </w:p>
    <w:sdt>
      <w:sdtPr>
        <w:docPartObj>
          <w:docPartGallery w:val="Table of Contents"/>
          <w:docPartUnique/>
        </w:docPartObj>
      </w:sdtPr>
      <w:sdtEndPr/>
      <w:sdtContent>
        <w:p>
          <w:pPr>
            <w:pStyle w:val="TOC1"/>
            <w:tabs>
              <w:tab w:pos="9784"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w:t>
            </w:r>
            <w:r>
              <w:rPr>
                <w:spacing w:val="-1"/>
              </w:rPr>
              <w:t> </w:t>
            </w:r>
            <w:r>
              <w:rPr/>
              <w:t>重要提示、目录和释义</w:t>
            </w:r>
            <w:r>
              <w:rPr>
                <w:rFonts w:ascii="Times New Roman" w:hAnsi="Times New Roman" w:cs="Times New Roman" w:eastAsia="Times New Roman" w:hint="default"/>
              </w:rPr>
              <w:tab/>
              <w:t>2</w:t>
            </w:r>
          </w:hyperlink>
        </w:p>
        <w:p>
          <w:pPr>
            <w:pStyle w:val="TOC1"/>
            <w:tabs>
              <w:tab w:pos="9784" w:val="right" w:leader="dot"/>
            </w:tabs>
            <w:spacing w:line="240" w:lineRule="auto"/>
            <w:ind w:right="0"/>
            <w:jc w:val="left"/>
            <w:rPr>
              <w:rFonts w:ascii="Times New Roman" w:hAnsi="Times New Roman" w:cs="Times New Roman" w:eastAsia="Times New Roman" w:hint="default"/>
            </w:rPr>
          </w:pPr>
          <w:hyperlink w:history="true" w:anchor="_bookmark1">
            <w:r>
              <w:rPr/>
              <w:t>第二节</w:t>
            </w:r>
            <w:r>
              <w:rPr>
                <w:spacing w:val="-1"/>
              </w:rPr>
              <w:t> </w:t>
            </w:r>
            <w:r>
              <w:rPr/>
              <w:t>公司简介和主要财务指标</w:t>
            </w:r>
            <w:r>
              <w:rPr>
                <w:rFonts w:ascii="Times New Roman" w:hAnsi="Times New Roman" w:cs="Times New Roman" w:eastAsia="Times New Roman" w:hint="default"/>
              </w:rPr>
              <w:tab/>
              <w:t>8</w:t>
            </w:r>
          </w:hyperlink>
        </w:p>
        <w:p>
          <w:pPr>
            <w:pStyle w:val="TOC1"/>
            <w:tabs>
              <w:tab w:pos="9785" w:val="right" w:leader="dot"/>
            </w:tabs>
            <w:spacing w:line="240" w:lineRule="auto" w:before="275"/>
            <w:ind w:right="0"/>
            <w:jc w:val="left"/>
            <w:rPr>
              <w:rFonts w:ascii="Times New Roman" w:hAnsi="Times New Roman" w:cs="Times New Roman" w:eastAsia="Times New Roman" w:hint="default"/>
            </w:rPr>
          </w:pPr>
          <w:hyperlink w:history="true" w:anchor="_bookmark2">
            <w:r>
              <w:rPr/>
              <w:t>第三节</w:t>
            </w:r>
            <w:r>
              <w:rPr>
                <w:spacing w:val="-1"/>
              </w:rPr>
              <w:t> </w:t>
            </w:r>
            <w:r>
              <w:rPr/>
              <w:t>公司业务概要</w:t>
            </w:r>
            <w:r>
              <w:rPr>
                <w:rFonts w:ascii="Times New Roman" w:hAnsi="Times New Roman" w:cs="Times New Roman" w:eastAsia="Times New Roman" w:hint="default"/>
              </w:rPr>
              <w:tab/>
              <w:t>13</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3">
            <w:r>
              <w:rPr/>
              <w:t>第四节</w:t>
            </w:r>
            <w:r>
              <w:rPr>
                <w:spacing w:val="-1"/>
              </w:rPr>
              <w:t> </w:t>
            </w:r>
            <w:r>
              <w:rPr/>
              <w:t>经营情况讨论与分析</w:t>
            </w:r>
            <w:r>
              <w:rPr>
                <w:rFonts w:ascii="Times New Roman" w:hAnsi="Times New Roman" w:cs="Times New Roman" w:eastAsia="Times New Roman" w:hint="default"/>
              </w:rPr>
              <w:tab/>
              <w:t>36</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4">
            <w:r>
              <w:rPr/>
              <w:t>第五节</w:t>
            </w:r>
            <w:r>
              <w:rPr>
                <w:spacing w:val="-1"/>
              </w:rPr>
              <w:t> </w:t>
            </w:r>
            <w:r>
              <w:rPr/>
              <w:t>重要事项</w:t>
            </w:r>
            <w:r>
              <w:rPr>
                <w:rFonts w:ascii="Times New Roman" w:hAnsi="Times New Roman" w:cs="Times New Roman" w:eastAsia="Times New Roman" w:hint="default"/>
              </w:rPr>
              <w:tab/>
              <w:t>60</w:t>
            </w:r>
          </w:hyperlink>
        </w:p>
        <w:p>
          <w:pPr>
            <w:pStyle w:val="TOC1"/>
            <w:tabs>
              <w:tab w:pos="9785" w:val="right" w:leader="dot"/>
            </w:tabs>
            <w:spacing w:line="240" w:lineRule="auto" w:before="275"/>
            <w:ind w:right="0"/>
            <w:jc w:val="left"/>
            <w:rPr>
              <w:rFonts w:ascii="Times New Roman" w:hAnsi="Times New Roman" w:cs="Times New Roman" w:eastAsia="Times New Roman" w:hint="default"/>
            </w:rPr>
          </w:pPr>
          <w:hyperlink w:history="true" w:anchor="_bookmark5">
            <w:r>
              <w:rPr/>
              <w:t>第六节</w:t>
            </w:r>
            <w:r>
              <w:rPr>
                <w:spacing w:val="-1"/>
              </w:rPr>
              <w:t> </w:t>
            </w:r>
            <w:r>
              <w:rPr/>
              <w:t>股份变动及股东情况</w:t>
            </w:r>
            <w:r>
              <w:rPr>
                <w:rFonts w:ascii="Times New Roman" w:hAnsi="Times New Roman" w:cs="Times New Roman" w:eastAsia="Times New Roman" w:hint="default"/>
              </w:rPr>
              <w:tab/>
              <w:t>71</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6">
            <w:r>
              <w:rPr/>
              <w:t>第七节</w:t>
            </w:r>
            <w:r>
              <w:rPr>
                <w:spacing w:val="-1"/>
              </w:rPr>
              <w:t> </w:t>
            </w:r>
            <w:r>
              <w:rPr/>
              <w:t>优先股相关情况</w:t>
            </w:r>
            <w:r>
              <w:rPr>
                <w:rFonts w:ascii="Times New Roman" w:hAnsi="Times New Roman" w:cs="Times New Roman" w:eastAsia="Times New Roman" w:hint="default"/>
              </w:rPr>
              <w:tab/>
              <w:t>78</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7">
            <w:r>
              <w:rPr/>
              <w:t>第八节</w:t>
            </w:r>
            <w:r>
              <w:rPr>
                <w:spacing w:val="-1"/>
              </w:rPr>
              <w:t> </w:t>
            </w:r>
            <w:r>
              <w:rPr/>
              <w:t>董事、监事、高级管理人员和员工情况</w:t>
            </w:r>
            <w:r>
              <w:rPr>
                <w:rFonts w:ascii="Times New Roman" w:hAnsi="Times New Roman" w:cs="Times New Roman" w:eastAsia="Times New Roman" w:hint="default"/>
              </w:rPr>
              <w:tab/>
              <w:t>79</w:t>
            </w:r>
          </w:hyperlink>
        </w:p>
        <w:p>
          <w:pPr>
            <w:pStyle w:val="TOC1"/>
            <w:tabs>
              <w:tab w:pos="9785" w:val="right" w:leader="dot"/>
            </w:tabs>
            <w:spacing w:line="240" w:lineRule="auto" w:before="275"/>
            <w:ind w:right="0"/>
            <w:jc w:val="left"/>
            <w:rPr>
              <w:rFonts w:ascii="Times New Roman" w:hAnsi="Times New Roman" w:cs="Times New Roman" w:eastAsia="Times New Roman" w:hint="default"/>
            </w:rPr>
          </w:pPr>
          <w:hyperlink w:history="true" w:anchor="_bookmark8">
            <w:r>
              <w:rPr/>
              <w:t>第九节</w:t>
            </w:r>
            <w:r>
              <w:rPr>
                <w:spacing w:val="-1"/>
              </w:rPr>
              <w:t> </w:t>
            </w:r>
            <w:r>
              <w:rPr/>
              <w:t>公司治理</w:t>
            </w:r>
            <w:r>
              <w:rPr>
                <w:rFonts w:ascii="Times New Roman" w:hAnsi="Times New Roman" w:cs="Times New Roman" w:eastAsia="Times New Roman" w:hint="default"/>
              </w:rPr>
              <w:tab/>
              <w:t>90</w:t>
            </w:r>
          </w:hyperlink>
        </w:p>
        <w:p>
          <w:pPr>
            <w:pStyle w:val="TOC1"/>
            <w:tabs>
              <w:tab w:pos="9785" w:val="right" w:leader="dot"/>
            </w:tabs>
            <w:spacing w:line="240" w:lineRule="auto"/>
            <w:ind w:right="0"/>
            <w:jc w:val="left"/>
            <w:rPr>
              <w:rFonts w:ascii="Times New Roman" w:hAnsi="Times New Roman" w:cs="Times New Roman" w:eastAsia="Times New Roman" w:hint="default"/>
            </w:rPr>
          </w:pPr>
          <w:hyperlink w:history="true" w:anchor="_bookmark9">
            <w:r>
              <w:rPr/>
              <w:t>第十节</w:t>
            </w:r>
            <w:r>
              <w:rPr>
                <w:spacing w:val="-1"/>
              </w:rPr>
              <w:t> </w:t>
            </w:r>
            <w:r>
              <w:rPr/>
              <w:t>公司债券相关情况</w:t>
            </w:r>
            <w:r>
              <w:rPr>
                <w:rFonts w:ascii="Times New Roman" w:hAnsi="Times New Roman" w:cs="Times New Roman" w:eastAsia="Times New Roman" w:hint="default"/>
              </w:rPr>
              <w:tab/>
              <w:t>96</w:t>
            </w:r>
          </w:hyperlink>
        </w:p>
        <w:p>
          <w:pPr>
            <w:pStyle w:val="TOC1"/>
            <w:tabs>
              <w:tab w:pos="9784" w:val="right" w:leader="dot"/>
            </w:tabs>
            <w:spacing w:line="240" w:lineRule="auto"/>
            <w:ind w:right="0"/>
            <w:jc w:val="left"/>
            <w:rPr>
              <w:rFonts w:ascii="Times New Roman" w:hAnsi="Times New Roman" w:cs="Times New Roman" w:eastAsia="Times New Roman" w:hint="default"/>
            </w:rPr>
          </w:pPr>
          <w:hyperlink w:history="true" w:anchor="_bookmark10">
            <w:r>
              <w:rPr/>
              <w:t>第十一节</w:t>
            </w:r>
            <w:r>
              <w:rPr>
                <w:spacing w:val="-1"/>
              </w:rPr>
              <w:t> </w:t>
            </w:r>
            <w:r>
              <w:rPr/>
              <w:t>财务报告</w:t>
            </w:r>
            <w:r>
              <w:rPr>
                <w:rFonts w:ascii="Times New Roman" w:hAnsi="Times New Roman" w:cs="Times New Roman" w:eastAsia="Times New Roman" w:hint="default"/>
              </w:rPr>
              <w:tab/>
              <w:t>100</w:t>
            </w:r>
          </w:hyperlink>
        </w:p>
        <w:p>
          <w:pPr>
            <w:pStyle w:val="TOC1"/>
            <w:tabs>
              <w:tab w:pos="9784" w:val="right" w:leader="dot"/>
            </w:tabs>
            <w:spacing w:line="240" w:lineRule="auto" w:before="275"/>
            <w:ind w:right="0"/>
            <w:jc w:val="left"/>
            <w:rPr>
              <w:rFonts w:ascii="Times New Roman" w:hAnsi="Times New Roman" w:cs="Times New Roman" w:eastAsia="Times New Roman" w:hint="default"/>
            </w:rPr>
          </w:pPr>
          <w:hyperlink w:history="true" w:anchor="_bookmark11">
            <w:r>
              <w:rPr/>
              <w:t>第十二节</w:t>
            </w:r>
            <w:r>
              <w:rPr>
                <w:spacing w:val="-1"/>
              </w:rPr>
              <w:t> </w:t>
            </w:r>
            <w:r>
              <w:rPr/>
              <w:t>备查文件目录</w:t>
            </w:r>
            <w:r>
              <w:rPr>
                <w:rFonts w:ascii="Times New Roman" w:hAnsi="Times New Roman" w:cs="Times New Roman" w:eastAsia="Times New Roman" w:hint="default"/>
              </w:rPr>
              <w:tab/>
              <w:t>221</w:t>
            </w:r>
          </w:hyperlink>
        </w:p>
        <w:p>
          <w:pPr/>
          <w:r>
            <w:fldChar w:fldCharType="end"/>
          </w:r>
        </w:p>
      </w:sdtContent>
    </w:sdt>
    <w:p>
      <w:pPr>
        <w:spacing w:after="0"/>
        <w:sectPr>
          <w:pgSz w:w="11910" w:h="16840"/>
          <w:pgMar w:header="745" w:footer="979" w:top="1060" w:bottom="1160" w:left="980" w:right="980"/>
        </w:sectPr>
      </w:pPr>
    </w:p>
    <w:p>
      <w:pPr>
        <w:spacing w:before="945"/>
        <w:ind w:left="495" w:right="495"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606"/>
        <w:gridCol w:w="614"/>
        <w:gridCol w:w="5351"/>
      </w:tblGrid>
      <w:tr>
        <w:trPr>
          <w:trHeight w:val="398" w:hRule="exact"/>
        </w:trPr>
        <w:tc>
          <w:tcPr>
            <w:tcW w:w="36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6"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四维图新、公司、本公司</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北京四维图新科技股份有限公司</w:t>
            </w:r>
          </w:p>
        </w:tc>
      </w:tr>
      <w:tr>
        <w:trPr>
          <w:trHeight w:val="403"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中国证监会、证监会</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404"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杰发科技</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r>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联发科</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联发科技股份有限公司</w:t>
            </w:r>
          </w:p>
        </w:tc>
      </w:tr>
      <w:tr>
        <w:trPr>
          <w:trHeight w:val="403"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现势性</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地理空间信息要尽可能地反映当前最新的情况。</w:t>
            </w:r>
          </w:p>
        </w:tc>
      </w:tr>
      <w:tr>
        <w:trPr>
          <w:trHeight w:val="1025"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互联网地图服务</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6"/>
              <w:jc w:val="both"/>
              <w:rPr>
                <w:rFonts w:ascii="宋体" w:hAnsi="宋体" w:cs="宋体" w:eastAsia="宋体" w:hint="default"/>
                <w:sz w:val="18"/>
                <w:szCs w:val="18"/>
              </w:rPr>
            </w:pPr>
            <w:r>
              <w:rPr>
                <w:rFonts w:ascii="宋体" w:hAnsi="宋体" w:cs="宋体" w:eastAsia="宋体" w:hint="default"/>
                <w:sz w:val="18"/>
                <w:szCs w:val="18"/>
              </w:rPr>
              <w:t>地图服务方根据用户提出的地理信息需求，通过自动搜索、人工查 询、在线交流等方式为用户提供方便、快捷、准确的地图信息、周 边景物场所信息及出行交通指引资讯的在线信息服务。</w:t>
            </w:r>
          </w:p>
        </w:tc>
      </w:tr>
      <w:tr>
        <w:trPr>
          <w:trHeight w:val="1027"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动态交通信息服务</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94"/>
              <w:jc w:val="both"/>
              <w:rPr>
                <w:rFonts w:ascii="宋体" w:hAnsi="宋体" w:cs="宋体" w:eastAsia="宋体" w:hint="default"/>
                <w:sz w:val="18"/>
                <w:szCs w:val="18"/>
              </w:rPr>
            </w:pPr>
            <w:r>
              <w:rPr>
                <w:rFonts w:ascii="宋体" w:hAnsi="宋体" w:cs="宋体" w:eastAsia="宋体" w:hint="default"/>
                <w:sz w:val="18"/>
                <w:szCs w:val="18"/>
              </w:rPr>
              <w:t>在对交通信息的采集、融合、处理基础上，通过有线网络和无线网 络向互联网、呼叫中心、手机、</w:t>
            </w:r>
            <w:r>
              <w:rPr>
                <w:rFonts w:ascii="Times New Roman" w:hAnsi="Times New Roman" w:cs="Times New Roman" w:eastAsia="Times New Roman" w:hint="default"/>
                <w:sz w:val="18"/>
                <w:szCs w:val="18"/>
              </w:rPr>
              <w:t>PDA</w:t>
            </w:r>
            <w:r>
              <w:rPr>
                <w:rFonts w:ascii="宋体" w:hAnsi="宋体" w:cs="宋体" w:eastAsia="宋体" w:hint="default"/>
                <w:sz w:val="18"/>
                <w:szCs w:val="18"/>
              </w:rPr>
              <w:t>、车载终端等发布实时交通信 息，为出行者提供较为完善的出行信息服务。</w:t>
            </w:r>
          </w:p>
        </w:tc>
      </w:tr>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GIS</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Geographical Information System</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的缩写，地理信息系统。</w:t>
            </w:r>
          </w:p>
        </w:tc>
      </w:tr>
      <w:tr>
        <w:trPr>
          <w:trHeight w:val="1340"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数字城市</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19"/>
              <w:jc w:val="left"/>
              <w:rPr>
                <w:rFonts w:ascii="宋体" w:hAnsi="宋体" w:cs="宋体" w:eastAsia="宋体" w:hint="default"/>
                <w:sz w:val="18"/>
                <w:szCs w:val="18"/>
              </w:rPr>
            </w:pPr>
            <w:r>
              <w:rPr>
                <w:rFonts w:ascii="宋体" w:hAnsi="宋体" w:cs="宋体" w:eastAsia="宋体" w:hint="default"/>
                <w:spacing w:val="-17"/>
                <w:w w:val="99"/>
                <w:sz w:val="18"/>
                <w:szCs w:val="18"/>
              </w:rPr>
              <w:t>是基于地理信息系统（</w:t>
            </w:r>
            <w:r>
              <w:rPr>
                <w:rFonts w:ascii="Times New Roman" w:hAnsi="Times New Roman" w:cs="Times New Roman" w:eastAsia="Times New Roman" w:hint="default"/>
                <w:spacing w:val="-17"/>
                <w:w w:val="99"/>
                <w:sz w:val="18"/>
                <w:szCs w:val="18"/>
              </w:rPr>
              <w:t>GIS</w:t>
            </w:r>
            <w:r>
              <w:rPr>
                <w:rFonts w:ascii="宋体" w:hAnsi="宋体" w:cs="宋体" w:eastAsia="宋体" w:hint="default"/>
                <w:spacing w:val="-17"/>
                <w:w w:val="99"/>
                <w:sz w:val="18"/>
                <w:szCs w:val="18"/>
              </w:rPr>
              <w:t>）、全球定位系统（</w:t>
            </w:r>
            <w:r>
              <w:rPr>
                <w:rFonts w:ascii="Times New Roman" w:hAnsi="Times New Roman" w:cs="Times New Roman" w:eastAsia="Times New Roman" w:hint="default"/>
                <w:spacing w:val="-17"/>
                <w:w w:val="99"/>
                <w:sz w:val="18"/>
                <w:szCs w:val="18"/>
              </w:rPr>
              <w:t>GPS</w:t>
            </w:r>
            <w:r>
              <w:rPr>
                <w:rFonts w:ascii="宋体" w:hAnsi="宋体" w:cs="宋体" w:eastAsia="宋体" w:hint="default"/>
                <w:spacing w:val="-17"/>
                <w:w w:val="99"/>
                <w:sz w:val="18"/>
                <w:szCs w:val="18"/>
              </w:rPr>
              <w:t>）、遥感系统（</w:t>
            </w:r>
            <w:r>
              <w:rPr>
                <w:rFonts w:ascii="Times New Roman" w:hAnsi="Times New Roman" w:cs="Times New Roman" w:eastAsia="Times New Roman" w:hint="default"/>
                <w:spacing w:val="-17"/>
                <w:w w:val="99"/>
                <w:sz w:val="18"/>
                <w:szCs w:val="18"/>
              </w:rPr>
              <w:t>RS</w:t>
            </w:r>
            <w:r>
              <w:rPr>
                <w:rFonts w:ascii="宋体" w:hAnsi="宋体" w:cs="宋体" w:eastAsia="宋体" w:hint="default"/>
                <w:spacing w:val="-17"/>
                <w:w w:val="99"/>
                <w:sz w:val="18"/>
                <w:szCs w:val="18"/>
              </w:rPr>
              <w:t>）、</w:t>
            </w:r>
            <w:r>
              <w:rPr>
                <w:rFonts w:ascii="宋体" w:hAnsi="宋体" w:cs="宋体" w:eastAsia="宋体" w:hint="default"/>
                <w:spacing w:val="-73"/>
                <w:w w:val="99"/>
                <w:sz w:val="18"/>
                <w:szCs w:val="18"/>
              </w:rPr>
              <w:t> </w:t>
            </w:r>
            <w:r>
              <w:rPr>
                <w:rFonts w:ascii="宋体" w:hAnsi="宋体" w:cs="宋体" w:eastAsia="宋体" w:hint="default"/>
                <w:sz w:val="18"/>
                <w:szCs w:val="18"/>
              </w:rPr>
              <w:t>虚拟仿真等技术构建的一个信息平台，将某一城市或地区的经济、</w:t>
            </w:r>
            <w:r>
              <w:rPr>
                <w:rFonts w:ascii="宋体" w:hAnsi="宋体" w:cs="宋体" w:eastAsia="宋体" w:hint="default"/>
                <w:sz w:val="18"/>
                <w:szCs w:val="18"/>
              </w:rPr>
              <w:t> 服务等信息资源加载上去，加以整合和利用，实现对城市的高效规 划和利用。</w:t>
            </w:r>
          </w:p>
        </w:tc>
      </w:tr>
      <w:tr>
        <w:trPr>
          <w:trHeight w:val="1337"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6"/>
              <w:jc w:val="both"/>
              <w:rPr>
                <w:rFonts w:ascii="宋体" w:hAnsi="宋体" w:cs="宋体" w:eastAsia="宋体" w:hint="default"/>
                <w:sz w:val="18"/>
                <w:szCs w:val="18"/>
              </w:rPr>
            </w:pPr>
            <w:r>
              <w:rPr>
                <w:rFonts w:ascii="宋体" w:hAnsi="宋体" w:cs="宋体" w:eastAsia="宋体" w:hint="default"/>
                <w:sz w:val="18"/>
                <w:szCs w:val="18"/>
              </w:rPr>
              <w:t>指装载在车辆上的电子标签通过无线射频等识别技术，实现在信息 网络平台上对所有车辆的属性信息和静、动信息进行提取和有效利 用，并根据不同的功能需求对所有车辆的运行状态进行有效的监管 和提供综合信息服务。</w:t>
            </w:r>
          </w:p>
        </w:tc>
      </w:tr>
      <w:tr>
        <w:trPr>
          <w:trHeight w:val="403"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地图编译</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指将电子地图由一般数据库格式转换成物理格式的过程。</w:t>
            </w:r>
          </w:p>
        </w:tc>
      </w:tr>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NDS</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Navigation Data Standard</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的简称，电子地图导航数据标准。</w:t>
            </w:r>
          </w:p>
        </w:tc>
      </w:tr>
      <w:tr>
        <w:trPr>
          <w:trHeight w:val="716"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在线服务</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6"/>
              <w:jc w:val="left"/>
              <w:rPr>
                <w:rFonts w:ascii="宋体" w:hAnsi="宋体" w:cs="宋体" w:eastAsia="宋体" w:hint="default"/>
                <w:sz w:val="18"/>
                <w:szCs w:val="18"/>
              </w:rPr>
            </w:pPr>
            <w:r>
              <w:rPr>
                <w:rFonts w:ascii="宋体" w:hAnsi="宋体" w:cs="宋体" w:eastAsia="宋体" w:hint="default"/>
                <w:sz w:val="18"/>
                <w:szCs w:val="18"/>
              </w:rPr>
              <w:t>是指利用互联网技术，向用户提供线上导航电子地图及动态交通信 息等服务的方式。</w:t>
            </w:r>
          </w:p>
        </w:tc>
      </w:tr>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行业应用</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指技术、设备、制度等在某个行业内得到广泛使用。</w:t>
            </w:r>
          </w:p>
        </w:tc>
      </w:tr>
      <w:tr>
        <w:trPr>
          <w:trHeight w:val="165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ADAS</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96"/>
              <w:jc w:val="both"/>
              <w:rPr>
                <w:rFonts w:ascii="宋体" w:hAnsi="宋体" w:cs="宋体" w:eastAsia="宋体" w:hint="default"/>
                <w:sz w:val="18"/>
                <w:szCs w:val="18"/>
              </w:rPr>
            </w:pPr>
            <w:r>
              <w:rPr>
                <w:rFonts w:ascii="宋体" w:hAnsi="宋体" w:cs="宋体" w:eastAsia="宋体" w:hint="default"/>
                <w:sz w:val="18"/>
                <w:szCs w:val="18"/>
              </w:rPr>
              <w:t>即高级驾驶辅助系统，是利用安装在车上的各式各样传感器，在汽 车行驶过程中随时感应周围的环境，收集数据，进行静态、动态物 体的辨识、侦测与追踪，并结合导航仪地图数据进行系统的运算与 分析，从而预先让驾驶者察觉到可能发生的危险，有效增加汽车驾 驶的舒适性与安全性。</w:t>
            </w:r>
          </w:p>
        </w:tc>
      </w:tr>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HAD</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Highly-Automated Driving</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的缩写</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606"/>
        <w:gridCol w:w="614"/>
        <w:gridCol w:w="5351"/>
      </w:tblGrid>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V2X</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Vehicle </w:t>
            </w:r>
            <w:r>
              <w:rPr>
                <w:rFonts w:ascii="Times New Roman" w:hAnsi="Times New Roman" w:cs="Times New Roman" w:eastAsia="Times New Roman" w:hint="default"/>
                <w:sz w:val="18"/>
                <w:szCs w:val="18"/>
              </w:rPr>
              <w:t>to X </w:t>
            </w:r>
            <w:r>
              <w:rPr>
                <w:rFonts w:ascii="宋体" w:hAnsi="宋体" w:cs="宋体" w:eastAsia="宋体" w:hint="default"/>
                <w:sz w:val="18"/>
                <w:szCs w:val="18"/>
              </w:rPr>
              <w:t>的缩写，车与外界信息交互</w:t>
            </w:r>
          </w:p>
        </w:tc>
      </w:tr>
      <w:tr>
        <w:trPr>
          <w:trHeight w:val="403"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V2V</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Vehicle </w:t>
            </w:r>
            <w:r>
              <w:rPr>
                <w:rFonts w:ascii="Times New Roman" w:hAnsi="Times New Roman" w:cs="Times New Roman" w:eastAsia="Times New Roman" w:hint="default"/>
                <w:sz w:val="18"/>
                <w:szCs w:val="18"/>
              </w:rPr>
              <w:t>to </w:t>
            </w:r>
            <w:r>
              <w:rPr>
                <w:rFonts w:ascii="Times New Roman" w:hAnsi="Times New Roman" w:cs="Times New Roman" w:eastAsia="Times New Roman" w:hint="default"/>
                <w:spacing w:val="-3"/>
                <w:sz w:val="18"/>
                <w:szCs w:val="18"/>
              </w:rPr>
              <w:t>Vehicle </w:t>
            </w:r>
            <w:r>
              <w:rPr>
                <w:rFonts w:ascii="宋体" w:hAnsi="宋体" w:cs="宋体" w:eastAsia="宋体" w:hint="default"/>
                <w:sz w:val="18"/>
                <w:szCs w:val="18"/>
              </w:rPr>
              <w:t>的缩写</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车对车的</w:t>
            </w:r>
            <w:hyperlink r:id="rId9">
              <w:r>
                <w:rPr>
                  <w:rFonts w:ascii="宋体" w:hAnsi="宋体" w:cs="宋体" w:eastAsia="宋体" w:hint="default"/>
                  <w:sz w:val="18"/>
                  <w:szCs w:val="18"/>
                </w:rPr>
                <w:t>信息</w:t>
              </w:r>
            </w:hyperlink>
            <w:r>
              <w:rPr>
                <w:rFonts w:ascii="宋体" w:hAnsi="宋体" w:cs="宋体" w:eastAsia="宋体" w:hint="default"/>
                <w:sz w:val="18"/>
                <w:szCs w:val="18"/>
              </w:rPr>
              <w:t>交换</w:t>
            </w:r>
          </w:p>
        </w:tc>
      </w:tr>
      <w:tr>
        <w:trPr>
          <w:trHeight w:val="401"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V2I</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Vehicle </w:t>
            </w:r>
            <w:r>
              <w:rPr>
                <w:rFonts w:ascii="Times New Roman" w:hAnsi="Times New Roman" w:cs="Times New Roman" w:eastAsia="Times New Roman" w:hint="default"/>
                <w:sz w:val="18"/>
                <w:szCs w:val="18"/>
              </w:rPr>
              <w:t>to Instruction</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的缩写，车与基础设施、互联网之间的通信</w:t>
            </w:r>
          </w:p>
        </w:tc>
      </w:tr>
      <w:tr>
        <w:trPr>
          <w:trHeight w:val="403" w:hRule="exact"/>
        </w:trPr>
        <w:tc>
          <w:tcPr>
            <w:tcW w:w="3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POI</w:t>
            </w:r>
          </w:p>
        </w:tc>
        <w:tc>
          <w:tcPr>
            <w:tcW w:w="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Point of Information</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的缩写，信息点</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8"/>
          <w:szCs w:val="28"/>
        </w:rPr>
      </w:pPr>
    </w:p>
    <w:p>
      <w:pPr>
        <w:spacing w:before="0"/>
        <w:ind w:left="168" w:right="226" w:firstLine="0"/>
        <w:jc w:val="center"/>
        <w:rPr>
          <w:rFonts w:ascii="宋体" w:hAnsi="宋体" w:cs="宋体" w:eastAsia="宋体" w:hint="default"/>
          <w:sz w:val="32"/>
          <w:szCs w:val="32"/>
        </w:rPr>
      </w:pPr>
      <w:r>
        <w:rPr>
          <w:rFonts w:ascii="宋体" w:hAnsi="宋体" w:cs="宋体" w:eastAsia="宋体" w:hint="default"/>
          <w:b/>
          <w:bCs/>
          <w:sz w:val="32"/>
          <w:szCs w:val="32"/>
        </w:rPr>
        <w:t>风险提示</w:t>
      </w:r>
      <w:r>
        <w:rPr>
          <w:rFonts w:ascii="宋体" w:hAnsi="宋体" w:cs="宋体" w:eastAsia="宋体" w:hint="default"/>
          <w:sz w:val="32"/>
          <w:szCs w:val="32"/>
        </w:rPr>
      </w:r>
    </w:p>
    <w:p>
      <w:pPr>
        <w:spacing w:line="240" w:lineRule="auto" w:before="13"/>
        <w:rPr>
          <w:rFonts w:ascii="宋体" w:hAnsi="宋体" w:cs="宋体" w:eastAsia="宋体" w:hint="default"/>
          <w:b/>
          <w:bCs/>
          <w:sz w:val="46"/>
          <w:szCs w:val="46"/>
        </w:rPr>
      </w:pPr>
    </w:p>
    <w:p>
      <w:pPr>
        <w:pStyle w:val="Heading5"/>
        <w:spacing w:line="408" w:lineRule="auto"/>
        <w:ind w:right="0" w:firstLine="422"/>
        <w:jc w:val="left"/>
        <w:rPr>
          <w:rFonts w:ascii="宋体" w:hAnsi="宋体" w:cs="宋体" w:eastAsia="宋体" w:hint="default"/>
          <w:b w:val="0"/>
          <w:bCs w:val="0"/>
        </w:rPr>
      </w:pPr>
      <w:r>
        <w:rPr>
          <w:rFonts w:ascii="宋体" w:hAnsi="宋体" w:cs="宋体" w:eastAsia="宋体" w:hint="default"/>
        </w:rPr>
        <w:t>1</w:t>
      </w:r>
      <w:r>
        <w:rPr/>
        <w:t>、市场对于智能网联一体化产品需求快速增加，产品形态发生根本性变化，导航电子地图传统商业</w:t>
      </w:r>
      <w:r>
        <w:rPr>
          <w:w w:val="100"/>
        </w:rPr>
        <w:t> </w:t>
      </w:r>
      <w:r>
        <w:rPr/>
        <w:t>模式盈利能力下降的风险</w:t>
      </w:r>
      <w:r>
        <w:rPr>
          <w:rFonts w:ascii="宋体" w:hAnsi="宋体" w:cs="宋体" w:eastAsia="宋体" w:hint="default"/>
          <w:w w:val="99"/>
        </w:rPr>
        <w:t> </w:t>
      </w:r>
      <w:r>
        <w:rPr>
          <w:rFonts w:ascii="宋体" w:hAnsi="宋体" w:cs="宋体" w:eastAsia="宋体" w:hint="default"/>
          <w:b w:val="0"/>
          <w:bCs w:val="0"/>
        </w:rPr>
      </w:r>
    </w:p>
    <w:p>
      <w:pPr>
        <w:pStyle w:val="Heading6"/>
        <w:spacing w:line="408" w:lineRule="auto"/>
        <w:ind w:right="0"/>
        <w:jc w:val="left"/>
        <w:rPr>
          <w:rFonts w:ascii="宋体" w:hAnsi="宋体" w:cs="宋体" w:eastAsia="宋体" w:hint="default"/>
        </w:rPr>
      </w:pPr>
      <w:r>
        <w:rPr>
          <w:spacing w:val="-2"/>
        </w:rPr>
        <w:t>国内互联网企业利用手机导航免费策略抢占市场份额，并明显冲击国内导航市场原有竞争格局，国内</w:t>
      </w:r>
      <w:r>
        <w:rPr>
          <w:w w:val="100"/>
        </w:rPr>
        <w:t> </w:t>
      </w:r>
      <w:r>
        <w:rPr/>
        <w:t>导航电子地图产品价格下行压力增大。市场竞争形态的快速变化，对公司导航电子地图业务形成威胁。</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作为应对，公司积极提升产品品质和差异化，聚焦高级地图数据属性及应用产品的研发，积极实现其</w:t>
      </w:r>
      <w:r>
        <w:rPr>
          <w:w w:val="100"/>
        </w:rPr>
        <w:t> </w:t>
      </w:r>
      <w:r>
        <w:rPr/>
        <w:t>在地图市场的溢价。公司积极调整市场应对策略，从传统的导航数据提供商向向一体化服务提供商转型。</w:t>
      </w:r>
      <w:r>
        <w:rPr>
          <w:spacing w:val="-24"/>
        </w:rPr>
        <w:t> </w:t>
      </w:r>
      <w:r>
        <w:rPr>
          <w:spacing w:val="-24"/>
        </w:rPr>
      </w:r>
      <w:r>
        <w:rPr/>
        <w:t>公司通过投资等多源方式，积极调整主营业务结构，增加其他收入来源。</w:t>
      </w:r>
      <w:r>
        <w:rPr>
          <w:rFonts w:ascii="宋体" w:hAnsi="宋体" w:cs="宋体" w:eastAsia="宋体" w:hint="default"/>
        </w:rPr>
        <w:t> </w:t>
      </w:r>
    </w:p>
    <w:p>
      <w:pPr>
        <w:spacing w:line="240" w:lineRule="auto" w:before="11"/>
        <w:rPr>
          <w:rFonts w:ascii="宋体" w:hAnsi="宋体" w:cs="宋体" w:eastAsia="宋体" w:hint="default"/>
          <w:sz w:val="21"/>
          <w:szCs w:val="21"/>
        </w:rPr>
      </w:pPr>
    </w:p>
    <w:p>
      <w:pPr>
        <w:pStyle w:val="Heading5"/>
        <w:spacing w:line="408" w:lineRule="auto"/>
        <w:ind w:right="0" w:firstLine="422"/>
        <w:jc w:val="left"/>
        <w:rPr>
          <w:rFonts w:ascii="宋体" w:hAnsi="宋体" w:cs="宋体" w:eastAsia="宋体" w:hint="default"/>
          <w:b w:val="0"/>
          <w:bCs w:val="0"/>
        </w:rPr>
      </w:pPr>
      <w:r>
        <w:rPr>
          <w:rFonts w:ascii="宋体" w:hAnsi="宋体" w:cs="宋体" w:eastAsia="宋体" w:hint="default"/>
        </w:rPr>
        <w:t>2</w:t>
      </w:r>
      <w:r>
        <w:rPr/>
        <w:t>、新业务的投入会相应增加公司经营成本，且新业务的经济产出的市场培育期可能会长于预期时间</w:t>
      </w:r>
      <w:r>
        <w:rPr>
          <w:w w:val="100"/>
        </w:rPr>
        <w:t> </w:t>
      </w:r>
      <w:r>
        <w:rPr/>
        <w:t>的风险</w:t>
      </w:r>
      <w:r>
        <w:rPr>
          <w:rFonts w:ascii="宋体" w:hAnsi="宋体" w:cs="宋体" w:eastAsia="宋体" w:hint="default"/>
          <w:w w:val="99"/>
        </w:rPr>
        <w:t> </w:t>
      </w:r>
      <w:r>
        <w:rPr>
          <w:rFonts w:ascii="宋体" w:hAnsi="宋体" w:cs="宋体" w:eastAsia="宋体" w:hint="default"/>
          <w:b w:val="0"/>
          <w:bCs w:val="0"/>
        </w:rPr>
      </w:r>
    </w:p>
    <w:p>
      <w:pPr>
        <w:pStyle w:val="Heading6"/>
        <w:spacing w:line="408" w:lineRule="auto"/>
        <w:ind w:right="206"/>
        <w:jc w:val="both"/>
        <w:rPr>
          <w:rFonts w:ascii="宋体" w:hAnsi="宋体" w:cs="宋体" w:eastAsia="宋体" w:hint="default"/>
        </w:rPr>
      </w:pPr>
      <w:r>
        <w:rPr>
          <w:spacing w:val="-7"/>
        </w:rPr>
        <w:t>公司为推进未来发展战略，将继续保持对车联网、高精度地图、高精度定位、自动驾驶、车规级芯片、</w:t>
      </w:r>
      <w:r>
        <w:rPr>
          <w:w w:val="100"/>
        </w:rPr>
        <w:t> </w:t>
      </w:r>
      <w:r>
        <w:rPr>
          <w:spacing w:val="-2"/>
        </w:rPr>
        <w:t>位置大数据等车相关领域及业务的投入力度。新业务的投入会相应增加公司经营成本，新业务的经济产出</w:t>
      </w:r>
      <w:r>
        <w:rPr>
          <w:spacing w:val="-42"/>
        </w:rPr>
        <w:t> </w:t>
      </w:r>
      <w:r>
        <w:rPr>
          <w:spacing w:val="-42"/>
        </w:rPr>
      </w:r>
      <w:r>
        <w:rPr>
          <w:spacing w:val="-2"/>
        </w:rPr>
        <w:t>需要一定的市场培育期，甚至会长于预期时间。新业务及产品是否能被市场认可和接受，也将面临巨大的</w:t>
      </w:r>
      <w:r>
        <w:rPr>
          <w:spacing w:val="-43"/>
        </w:rPr>
        <w:t> </w:t>
      </w:r>
      <w:r>
        <w:rPr>
          <w:spacing w:val="-43"/>
        </w:rPr>
      </w:r>
      <w:r>
        <w:rPr/>
        <w:t>风险。</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公司将通过跟踪新业务市场发展趋势、定期进行新业务研讨、审慎研判新业务投入等措施提高新业务</w:t>
      </w:r>
      <w:r>
        <w:rPr>
          <w:w w:val="100"/>
        </w:rPr>
        <w:t> </w:t>
      </w:r>
      <w:r>
        <w:rPr>
          <w:spacing w:val="-2"/>
        </w:rPr>
        <w:t>开展的预见性。通过在内部建立类似风险投资的项目评估机制，以及加强对早期项目的风险把控，降低由</w:t>
      </w:r>
      <w:r>
        <w:rPr>
          <w:spacing w:val="-44"/>
        </w:rPr>
        <w:t> </w:t>
      </w:r>
      <w:r>
        <w:rPr>
          <w:spacing w:val="-44"/>
        </w:rPr>
      </w:r>
      <w:r>
        <w:rPr>
          <w:spacing w:val="-2"/>
        </w:rPr>
        <w:t>此带来的经营风险。主导建立产业基金，积极探索与外部战略合作者或投资机构风险与收益共担的产业投</w:t>
      </w:r>
      <w:r>
        <w:rPr>
          <w:spacing w:val="-42"/>
        </w:rPr>
        <w:t> </w:t>
      </w:r>
      <w:r>
        <w:rPr>
          <w:spacing w:val="-42"/>
        </w:rPr>
      </w:r>
      <w:r>
        <w:rPr>
          <w:spacing w:val="-7"/>
        </w:rPr>
        <w:t>资和发展模式。在美国硅谷、荷兰、新加坡建立分支机构，从全球视角洞察行业发展动态，紧密联系车厂、</w:t>
      </w:r>
      <w:r>
        <w:rPr>
          <w:spacing w:val="-22"/>
        </w:rPr>
        <w:t> </w:t>
      </w:r>
      <w:r>
        <w:rPr>
          <w:spacing w:val="-22"/>
        </w:rPr>
      </w:r>
      <w:r>
        <w:rPr/>
        <w:t>互联网及行业客户，并与优秀企业建立可持续的战略合作关系。积极参与国家平台建设及国家标准制定，</w:t>
      </w:r>
      <w:r>
        <w:rPr>
          <w:spacing w:val="-24"/>
        </w:rPr>
        <w:t> </w:t>
      </w:r>
      <w:r>
        <w:rPr>
          <w:spacing w:val="-24"/>
        </w:rPr>
      </w:r>
      <w:r>
        <w:rPr/>
        <w:t>掌握行业发展话语权。</w:t>
      </w:r>
      <w:r>
        <w:rPr>
          <w:rFonts w:ascii="宋体" w:hAnsi="宋体" w:cs="宋体" w:eastAsia="宋体" w:hint="default"/>
        </w:rPr>
        <w:t> </w:t>
      </w:r>
    </w:p>
    <w:p>
      <w:pPr>
        <w:spacing w:line="240" w:lineRule="auto" w:before="12"/>
        <w:rPr>
          <w:rFonts w:ascii="宋体" w:hAnsi="宋体" w:cs="宋体" w:eastAsia="宋体" w:hint="default"/>
          <w:sz w:val="21"/>
          <w:szCs w:val="21"/>
        </w:rPr>
      </w:pPr>
    </w:p>
    <w:p>
      <w:pPr>
        <w:spacing w:line="408" w:lineRule="auto" w:before="0"/>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、公司知识产权被侵犯的风险</w:t>
      </w:r>
      <w:r>
        <w:rPr>
          <w:rFonts w:ascii="宋体" w:hAnsi="宋体" w:cs="宋体" w:eastAsia="宋体" w:hint="default"/>
          <w:b/>
          <w:bCs/>
          <w:w w:val="99"/>
          <w:sz w:val="21"/>
          <w:szCs w:val="21"/>
        </w:rPr>
        <w:t> </w:t>
      </w:r>
      <w:r>
        <w:rPr>
          <w:rFonts w:ascii="宋体" w:hAnsi="宋体" w:cs="宋体" w:eastAsia="宋体" w:hint="default"/>
          <w:spacing w:val="-2"/>
          <w:sz w:val="21"/>
          <w:szCs w:val="21"/>
        </w:rPr>
        <w:t>伴随互联网技术的快速发展，低成本获取电子数据资源的渠道和方式更加多样化、便捷化，新型电子</w:t>
      </w:r>
    </w:p>
    <w:p>
      <w:pPr>
        <w:pStyle w:val="Heading6"/>
        <w:spacing w:line="408" w:lineRule="auto"/>
        <w:ind w:left="573" w:right="0" w:hanging="421"/>
        <w:jc w:val="left"/>
      </w:pPr>
      <w:r>
        <w:rPr/>
        <w:t>地图版权侵权案件时有发生，对于公司电子地图业务及软件产品的经济收入造成巨大威胁。</w:t>
      </w:r>
      <w:r>
        <w:rPr>
          <w:rFonts w:ascii="宋体" w:hAnsi="宋体" w:cs="宋体" w:eastAsia="宋体" w:hint="default"/>
          <w:w w:val="100"/>
        </w:rPr>
        <w:t> </w:t>
      </w:r>
      <w:r>
        <w:rPr>
          <w:spacing w:val="-2"/>
        </w:rPr>
        <w:t>公司在自动驾驶、智能网联、新能源汽车等领域不断加大新技术及产品研发力度和对外交流合作，在</w:t>
      </w:r>
    </w:p>
    <w:p>
      <w:pPr>
        <w:pStyle w:val="Heading6"/>
        <w:spacing w:line="408" w:lineRule="auto"/>
        <w:ind w:left="172" w:right="226" w:firstLine="0"/>
        <w:jc w:val="center"/>
        <w:rPr>
          <w:rFonts w:ascii="宋体" w:hAnsi="宋体" w:cs="宋体" w:eastAsia="宋体" w:hint="default"/>
        </w:rPr>
      </w:pPr>
      <w:r>
        <w:rPr>
          <w:spacing w:val="-2"/>
        </w:rPr>
        <w:t>研发工具及基础协议的调取和使用、研发成果的保护和二次开发利用、掌握核心技术的关键人员的流动和</w:t>
      </w:r>
      <w:r>
        <w:rPr>
          <w:spacing w:val="-52"/>
        </w:rPr>
        <w:t> </w:t>
      </w:r>
      <w:r>
        <w:rPr>
          <w:spacing w:val="-52"/>
        </w:rPr>
      </w:r>
      <w:r>
        <w:rPr/>
        <w:t>转岗等过程中，将面临软件著作权、专利权、商标权、商业秘密等权益未被合理保护及被侵犯的风险。</w:t>
      </w:r>
      <w:r>
        <w:rPr>
          <w:rFonts w:ascii="宋体" w:hAnsi="宋体" w:cs="宋体" w:eastAsia="宋体" w:hint="default"/>
        </w:rPr>
        <w:t> </w:t>
      </w:r>
    </w:p>
    <w:p>
      <w:pPr>
        <w:spacing w:after="0" w:line="408" w:lineRule="auto"/>
        <w:jc w:val="center"/>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105"/>
        <w:jc w:val="both"/>
        <w:rPr>
          <w:rFonts w:ascii="宋体" w:hAnsi="宋体" w:cs="宋体" w:eastAsia="宋体" w:hint="default"/>
        </w:rPr>
      </w:pPr>
      <w:r>
        <w:rPr>
          <w:spacing w:val="-2"/>
        </w:rPr>
        <w:t>公司将加大知识产权保护力度，针对侵权行为，及时采取法律行动，维护公司合法权益。同时，完善</w:t>
      </w:r>
      <w:r>
        <w:rPr>
          <w:w w:val="100"/>
        </w:rPr>
        <w:t> </w:t>
      </w:r>
      <w:r>
        <w:rPr>
          <w:spacing w:val="-2"/>
        </w:rPr>
        <w:t>公司知识产权战略布局、实施策略及管理流程，将知识权利风险防御及保护机制嵌入运用到技术创新、产</w:t>
      </w:r>
      <w:r>
        <w:rPr>
          <w:spacing w:val="-43"/>
        </w:rPr>
        <w:t> </w:t>
      </w:r>
      <w:r>
        <w:rPr>
          <w:spacing w:val="-43"/>
        </w:rPr>
      </w:r>
      <w:r>
        <w:rPr>
          <w:spacing w:val="-2"/>
          <w:w w:val="100"/>
        </w:rPr>
        <w:t>品创新、组织创新和商业模式创新当中，从源头即建立起有效措施，防止权利被侵害所带来的经济损失。</w:t>
      </w:r>
      <w:r>
        <w:rPr>
          <w:rFonts w:ascii="宋体" w:hAnsi="宋体" w:cs="宋体" w:eastAsia="宋体" w:hint="default"/>
          <w:w w:val="100"/>
        </w:rPr>
        <w:t> </w:t>
      </w:r>
    </w:p>
    <w:p>
      <w:pPr>
        <w:spacing w:line="240" w:lineRule="auto" w:before="11"/>
        <w:rPr>
          <w:rFonts w:ascii="宋体" w:hAnsi="宋体" w:cs="宋体" w:eastAsia="宋体" w:hint="default"/>
          <w:sz w:val="21"/>
          <w:szCs w:val="21"/>
        </w:rPr>
      </w:pPr>
    </w:p>
    <w:p>
      <w:pPr>
        <w:pStyle w:val="Heading6"/>
        <w:spacing w:line="240" w:lineRule="auto" w:before="0"/>
        <w:ind w:left="573" w:right="0" w:firstLine="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sz w:val="20"/>
          <w:szCs w:val="20"/>
        </w:rPr>
      </w:pPr>
      <w:r>
        <w:rPr/>
        <w:pict>
          <v:shape style="position:absolute;margin-left:138pt;margin-top:257.78598pt;width:396.95pt;height:19.6pt;mso-position-horizontal-relative:page;mso-position-vertical-relative:page;z-index:-1265848" type="#_x0000_t202" filled="false" stroked="false">
            <v:textbox inset="0,0,0,0">
              <w:txbxContent>
                <w:p>
                  <w:pPr>
                    <w:pStyle w:val="BodyText"/>
                    <w:spacing w:line="240" w:lineRule="auto" w:before="49"/>
                    <w:ind w:left="0" w:right="0"/>
                    <w:jc w:val="left"/>
                  </w:pPr>
                  <w:r>
                    <w:rPr/>
                    <w:t>（如有）</w:t>
                  </w:r>
                </w:p>
              </w:txbxContent>
            </v:textbox>
            <w10:wrap type="none"/>
          </v:shape>
        </w:pict>
      </w:r>
    </w:p>
    <w:p>
      <w:pPr>
        <w:spacing w:line="240" w:lineRule="auto" w:before="2"/>
        <w:rPr>
          <w:rFonts w:ascii="宋体" w:hAnsi="宋体" w:cs="宋体" w:eastAsia="宋体" w:hint="default"/>
          <w:sz w:val="17"/>
          <w:szCs w:val="17"/>
        </w:rPr>
      </w:pPr>
    </w:p>
    <w:p>
      <w:pPr>
        <w:pStyle w:val="Heading1"/>
        <w:spacing w:line="240" w:lineRule="auto"/>
        <w:ind w:left="2642" w:right="0"/>
        <w:jc w:val="left"/>
        <w:rPr>
          <w:b w:val="0"/>
          <w:bCs w:val="0"/>
        </w:rPr>
      </w:pPr>
      <w:bookmarkStart w:name="_bookmark1" w:id="2"/>
      <w:bookmarkEnd w:id="2"/>
      <w:r>
        <w:rPr>
          <w:b w:val="0"/>
          <w:bCs w:val="0"/>
        </w:rPr>
      </w:r>
      <w:r>
        <w:rPr/>
        <w:t>第二节</w:t>
      </w:r>
      <w:r>
        <w:rPr>
          <w:spacing w:val="-5"/>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3"/>
        <w:spacing w:line="240" w:lineRule="auto" w:before="26"/>
        <w:ind w:right="0"/>
        <w:jc w:val="left"/>
        <w:rPr>
          <w:b w:val="0"/>
          <w:bCs w:val="0"/>
        </w:rPr>
      </w:pP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285"/>
        <w:gridCol w:w="2954"/>
        <w:gridCol w:w="2154"/>
        <w:gridCol w:w="2177"/>
      </w:tblGrid>
      <w:tr>
        <w:trPr>
          <w:trHeight w:val="408"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w:t>
            </w:r>
          </w:p>
        </w:tc>
        <w:tc>
          <w:tcPr>
            <w:tcW w:w="21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002405</w:t>
            </w:r>
          </w:p>
        </w:tc>
      </w:tr>
      <w:tr>
        <w:trPr>
          <w:trHeight w:val="396"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股票上市证券交易所</w:t>
            </w:r>
          </w:p>
        </w:tc>
        <w:tc>
          <w:tcPr>
            <w:tcW w:w="728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北京四维图新科技股份有限公司</w:t>
            </w:r>
          </w:p>
        </w:tc>
      </w:tr>
      <w:tr>
        <w:trPr>
          <w:trHeight w:val="401"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w:t>
            </w:r>
          </w:p>
        </w:tc>
      </w:tr>
      <w:tr>
        <w:trPr>
          <w:trHeight w:val="403"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NavInfo Co.,</w:t>
            </w:r>
            <w:r>
              <w:rPr>
                <w:rFonts w:ascii="Times New Roman"/>
                <w:spacing w:val="-6"/>
                <w:sz w:val="18"/>
              </w:rPr>
              <w:t> </w:t>
            </w:r>
            <w:r>
              <w:rPr>
                <w:rFonts w:ascii="Times New Roman"/>
                <w:sz w:val="18"/>
              </w:rPr>
              <w:t>Ltd.</w:t>
            </w:r>
          </w:p>
        </w:tc>
      </w:tr>
      <w:tr>
        <w:trPr>
          <w:trHeight w:val="401" w:hRule="exact"/>
        </w:trPr>
        <w:tc>
          <w:tcPr>
            <w:tcW w:w="2285"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公司的外文名称缩写</w:t>
            </w:r>
          </w:p>
        </w:tc>
        <w:tc>
          <w:tcPr>
            <w:tcW w:w="7286" w:type="dxa"/>
            <w:gridSpan w:val="3"/>
            <w:tcBorders>
              <w:top w:val="single" w:sz="4" w:space="0" w:color="000000"/>
              <w:left w:val="single" w:sz="13" w:space="0" w:color="FFFFFF"/>
              <w:bottom w:val="single" w:sz="4" w:space="0" w:color="000000"/>
              <w:right w:val="single" w:sz="13" w:space="0" w:color="FFFFFF"/>
            </w:tcBorders>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NavInfo</w:t>
            </w:r>
          </w:p>
        </w:tc>
      </w:tr>
      <w:tr>
        <w:trPr>
          <w:trHeight w:val="403"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吴劲风</w:t>
            </w:r>
          </w:p>
        </w:tc>
      </w:tr>
      <w:tr>
        <w:trPr>
          <w:trHeight w:val="401"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北京市海淀区学院路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号弘彧大厦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层</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1002A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室</w:t>
            </w:r>
          </w:p>
        </w:tc>
      </w:tr>
      <w:tr>
        <w:trPr>
          <w:trHeight w:val="403"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100083</w:t>
            </w:r>
          </w:p>
        </w:tc>
      </w:tr>
      <w:tr>
        <w:trPr>
          <w:trHeight w:val="713"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97" w:lineRule="auto" w:before="49"/>
              <w:ind w:left="24" w:right="178"/>
              <w:jc w:val="left"/>
              <w:rPr>
                <w:rFonts w:ascii="宋体" w:hAnsi="宋体" w:cs="宋体" w:eastAsia="宋体" w:hint="default"/>
                <w:sz w:val="18"/>
                <w:szCs w:val="18"/>
              </w:rPr>
            </w:pPr>
            <w:r>
              <w:rPr>
                <w:rFonts w:ascii="宋体" w:hAnsi="宋体" w:cs="宋体" w:eastAsia="宋体" w:hint="default"/>
                <w:sz w:val="18"/>
                <w:szCs w:val="18"/>
              </w:rPr>
              <w:t>北京市海淀区永丰路与北清路交汇处东南角四维图新大厦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北京市海淀区丰豪东路四维图 新大厦</w:t>
            </w:r>
          </w:p>
        </w:tc>
      </w:tr>
      <w:tr>
        <w:trPr>
          <w:trHeight w:val="403"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100094</w:t>
            </w:r>
          </w:p>
        </w:tc>
      </w:tr>
      <w:tr>
        <w:trPr>
          <w:trHeight w:val="401"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公司网址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hyperlink r:id="rId10">
              <w:r>
                <w:rPr>
                  <w:rFonts w:ascii="Times New Roman"/>
                  <w:sz w:val="18"/>
                </w:rPr>
                <w:t>www.navinfo.com</w:t>
              </w:r>
            </w:hyperlink>
          </w:p>
        </w:tc>
      </w:tr>
      <w:tr>
        <w:trPr>
          <w:trHeight w:val="404" w:hRule="exact"/>
        </w:trPr>
        <w:tc>
          <w:tcPr>
            <w:tcW w:w="22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hyperlink r:id="rId11">
              <w:r>
                <w:rPr>
                  <w:rFonts w:ascii="Times New Roman"/>
                  <w:sz w:val="18"/>
                </w:rPr>
                <w:t>info2405@navinfo.com</w:t>
              </w:r>
            </w:hyperlink>
          </w:p>
        </w:tc>
      </w:tr>
    </w:tbl>
    <w:p>
      <w:pPr>
        <w:spacing w:line="240" w:lineRule="auto" w:before="1"/>
        <w:rPr>
          <w:rFonts w:ascii="宋体" w:hAnsi="宋体" w:cs="宋体" w:eastAsia="宋体" w:hint="default"/>
          <w:b/>
          <w:bCs/>
          <w:sz w:val="18"/>
          <w:szCs w:val="18"/>
        </w:rPr>
      </w:pPr>
    </w:p>
    <w:p>
      <w:pPr>
        <w:pStyle w:val="Heading3"/>
        <w:spacing w:line="240" w:lineRule="auto" w:before="26"/>
        <w:ind w:right="0"/>
        <w:jc w:val="left"/>
        <w:rPr>
          <w:b w:val="0"/>
          <w:bCs w:val="0"/>
        </w:rPr>
      </w:pP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秦芳</w:t>
            </w:r>
          </w:p>
        </w:tc>
      </w:tr>
      <w:tr>
        <w:trPr>
          <w:trHeight w:val="317"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4" w:space="0" w:color="000000"/>
              <w:right w:val="single" w:sz="4" w:space="0" w:color="000000"/>
            </w:tcBorders>
          </w:tcPr>
          <w:p>
            <w:pPr>
              <w:pStyle w:val="TableParagraph"/>
              <w:spacing w:line="309" w:lineRule="auto" w:before="49"/>
              <w:ind w:left="23" w:right="43"/>
              <w:jc w:val="both"/>
              <w:rPr>
                <w:rFonts w:ascii="宋体" w:hAnsi="宋体" w:cs="宋体" w:eastAsia="宋体" w:hint="default"/>
                <w:sz w:val="18"/>
                <w:szCs w:val="18"/>
              </w:rPr>
            </w:pPr>
            <w:r>
              <w:rPr>
                <w:rFonts w:ascii="宋体" w:hAnsi="宋体" w:cs="宋体" w:eastAsia="宋体" w:hint="default"/>
                <w:sz w:val="18"/>
                <w:szCs w:val="18"/>
              </w:rPr>
              <w:t>北京市海淀区永丰路与北清路交汇处东 南角四维图新大厦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北京市海淀区丰豪 东路四维图新大厦</w:t>
            </w:r>
          </w:p>
        </w:tc>
        <w:tc>
          <w:tcPr>
            <w:tcW w:w="3190" w:type="dxa"/>
            <w:vMerge w:val="restart"/>
            <w:tcBorders>
              <w:top w:val="single" w:sz="4" w:space="0" w:color="000000"/>
              <w:left w:val="single" w:sz="4" w:space="0" w:color="000000"/>
              <w:right w:val="single" w:sz="4" w:space="0" w:color="000000"/>
            </w:tcBorders>
          </w:tcPr>
          <w:p>
            <w:pPr>
              <w:pStyle w:val="TableParagraph"/>
              <w:spacing w:line="309" w:lineRule="auto" w:before="49"/>
              <w:ind w:left="23" w:right="43"/>
              <w:jc w:val="both"/>
              <w:rPr>
                <w:rFonts w:ascii="宋体" w:hAnsi="宋体" w:cs="宋体" w:eastAsia="宋体" w:hint="default"/>
                <w:sz w:val="18"/>
                <w:szCs w:val="18"/>
              </w:rPr>
            </w:pPr>
            <w:r>
              <w:rPr>
                <w:rFonts w:ascii="宋体" w:hAnsi="宋体" w:cs="宋体" w:eastAsia="宋体" w:hint="default"/>
                <w:sz w:val="18"/>
                <w:szCs w:val="18"/>
              </w:rPr>
              <w:t>北京市海淀区永丰路与北清路交汇处东 南角四维图新大厦 </w:t>
            </w:r>
            <w:r>
              <w:rPr>
                <w:rFonts w:ascii="Times New Roman" w:hAnsi="Times New Roman" w:cs="Times New Roman" w:eastAsia="Times New Roman" w:hint="default"/>
                <w:sz w:val="18"/>
                <w:szCs w:val="18"/>
              </w:rPr>
              <w:t>/ </w:t>
            </w:r>
            <w:r>
              <w:rPr>
                <w:rFonts w:ascii="宋体" w:hAnsi="宋体" w:cs="宋体" w:eastAsia="宋体" w:hint="default"/>
                <w:sz w:val="18"/>
                <w:szCs w:val="18"/>
              </w:rPr>
              <w:t>北京市海淀区丰豪 东路四维图新大厦</w:t>
            </w:r>
          </w:p>
        </w:tc>
      </w:tr>
      <w:tr>
        <w:trPr>
          <w:trHeight w:val="394"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vMerge/>
            <w:tcBorders>
              <w:left w:val="single" w:sz="4" w:space="0" w:color="000000"/>
              <w:right w:val="single" w:sz="4" w:space="0" w:color="000000"/>
            </w:tcBorders>
          </w:tcPr>
          <w:p>
            <w:pPr/>
          </w:p>
        </w:tc>
        <w:tc>
          <w:tcPr>
            <w:tcW w:w="3190" w:type="dxa"/>
            <w:vMerge/>
            <w:tcBorders>
              <w:left w:val="single" w:sz="4" w:space="0" w:color="000000"/>
              <w:right w:val="single" w:sz="4" w:space="0" w:color="000000"/>
            </w:tcBorders>
          </w:tcPr>
          <w:p>
            <w:pPr/>
          </w:p>
        </w:tc>
      </w:tr>
      <w:tr>
        <w:trPr>
          <w:trHeight w:val="317"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4" w:space="0" w:color="000000"/>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161"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010-82306399</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010-82306399</w:t>
            </w:r>
            <w:r>
              <w:rPr>
                <w:rFonts w:ascii="宋体" w:hAnsi="宋体" w:cs="宋体" w:eastAsia="宋体" w:hint="default"/>
                <w:sz w:val="18"/>
                <w:szCs w:val="18"/>
              </w:rPr>
              <w:t>（公司总机）</w:t>
            </w:r>
            <w:r>
              <w:rPr>
                <w:rFonts w:ascii="Times New Roman" w:hAnsi="Times New Roman" w:cs="Times New Roman" w:eastAsia="Times New Roman" w:hint="default"/>
                <w:sz w:val="18"/>
                <w:szCs w:val="18"/>
              </w:rPr>
              <w:t>;</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010-84554886</w:t>
            </w:r>
            <w:r>
              <w:rPr>
                <w:rFonts w:ascii="宋体" w:hAnsi="宋体" w:cs="宋体" w:eastAsia="宋体" w:hint="default"/>
                <w:sz w:val="18"/>
                <w:szCs w:val="18"/>
              </w:rPr>
              <w:t>（投资者关系直线电话）</w:t>
            </w:r>
          </w:p>
        </w:tc>
      </w:tr>
      <w:tr>
        <w:trPr>
          <w:trHeight w:val="391" w:hRule="exact"/>
        </w:trPr>
        <w:tc>
          <w:tcPr>
            <w:tcW w:w="319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vMerge/>
            <w:tcBorders>
              <w:left w:val="single" w:sz="4" w:space="0" w:color="000000"/>
              <w:right w:val="single" w:sz="4" w:space="0" w:color="000000"/>
            </w:tcBorders>
          </w:tcPr>
          <w:p>
            <w:pPr/>
          </w:p>
        </w:tc>
        <w:tc>
          <w:tcPr>
            <w:tcW w:w="3190" w:type="dxa"/>
            <w:vMerge/>
            <w:tcBorders>
              <w:left w:val="single" w:sz="4" w:space="0" w:color="000000"/>
              <w:right w:val="single" w:sz="4" w:space="0" w:color="000000"/>
            </w:tcBorders>
          </w:tcPr>
          <w:p>
            <w:pPr/>
          </w:p>
        </w:tc>
      </w:tr>
      <w:tr>
        <w:trPr>
          <w:trHeight w:val="161"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4" w:space="0" w:color="000000"/>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010-82306909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010-82306909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2">
              <w:r>
                <w:rPr>
                  <w:rFonts w:ascii="Times New Roman"/>
                  <w:sz w:val="18"/>
                </w:rPr>
                <w:t>dongmi@navinfo.com</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3">
              <w:r>
                <w:rPr>
                  <w:rFonts w:ascii="Times New Roman"/>
                  <w:sz w:val="18"/>
                </w:rPr>
                <w:t>qinfang@navinfo.com</w:t>
              </w:r>
            </w:hyperlink>
          </w:p>
        </w:tc>
      </w:tr>
    </w:tbl>
    <w:p>
      <w:pPr>
        <w:spacing w:line="240" w:lineRule="auto" w:before="1"/>
        <w:rPr>
          <w:rFonts w:ascii="宋体" w:hAnsi="宋体" w:cs="宋体" w:eastAsia="宋体" w:hint="default"/>
          <w:b/>
          <w:bCs/>
          <w:sz w:val="18"/>
          <w:szCs w:val="18"/>
        </w:rPr>
      </w:pPr>
    </w:p>
    <w:p>
      <w:pPr>
        <w:pStyle w:val="Heading3"/>
        <w:spacing w:line="240" w:lineRule="auto" w:before="26"/>
        <w:ind w:right="0"/>
        <w:jc w:val="left"/>
        <w:rPr>
          <w:b w:val="0"/>
          <w:bCs w:val="0"/>
        </w:rPr>
      </w:pPr>
      <w:r>
        <w:rPr/>
        <w:t>三、信息披露及备置地点</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1"/>
        <w:gridCol w:w="5579"/>
      </w:tblGrid>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《中国证券报</w:t>
            </w:r>
            <w:r>
              <w:rPr>
                <w:rFonts w:ascii="宋体" w:hAnsi="宋体" w:cs="宋体" w:eastAsia="宋体" w:hint="default"/>
                <w:spacing w:val="-92"/>
                <w:sz w:val="18"/>
                <w:szCs w:val="18"/>
              </w:rPr>
              <w:t>》、</w:t>
            </w:r>
            <w:r>
              <w:rPr>
                <w:rFonts w:ascii="宋体" w:hAnsi="宋体" w:cs="宋体" w:eastAsia="宋体" w:hint="default"/>
                <w:sz w:val="18"/>
                <w:szCs w:val="18"/>
              </w:rPr>
              <w:t>《证券时报》</w:t>
            </w:r>
          </w:p>
        </w:tc>
      </w:tr>
      <w:tr>
        <w:trPr>
          <w:trHeight w:val="401"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hyperlink r:id="rId14">
              <w:r>
                <w:rPr>
                  <w:rFonts w:ascii="Times New Roman"/>
                  <w:sz w:val="18"/>
                </w:rPr>
                <w:t>www.cninfo.com.cn</w:t>
              </w:r>
            </w:hyperlink>
          </w:p>
        </w:tc>
      </w:tr>
      <w:tr>
        <w:trPr>
          <w:trHeight w:val="403" w:hRule="exact"/>
        </w:trPr>
        <w:tc>
          <w:tcPr>
            <w:tcW w:w="3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公司董事会办公室</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8"/>
        <w:rPr>
          <w:rFonts w:ascii="宋体" w:hAnsi="宋体" w:cs="宋体" w:eastAsia="宋体" w:hint="default"/>
          <w:b/>
          <w:bCs/>
          <w:sz w:val="23"/>
          <w:szCs w:val="23"/>
        </w:rPr>
      </w:pPr>
    </w:p>
    <w:p>
      <w:pPr>
        <w:pStyle w:val="Heading3"/>
        <w:spacing w:line="240" w:lineRule="auto" w:before="26"/>
        <w:ind w:right="0"/>
        <w:jc w:val="left"/>
        <w:rPr>
          <w:b w:val="0"/>
          <w:bCs w:val="0"/>
        </w:rPr>
      </w:pPr>
      <w:r>
        <w:rPr/>
        <w:t>四、注册变更情况</w:t>
      </w:r>
      <w:r>
        <w:rPr>
          <w:b w:val="0"/>
          <w:bCs w:val="0"/>
        </w:rPr>
      </w:r>
    </w:p>
    <w:p>
      <w:pPr>
        <w:spacing w:line="240" w:lineRule="auto" w:before="12"/>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89"/>
        <w:gridCol w:w="638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统一社会信用代码：</w:t>
            </w:r>
            <w:r>
              <w:rPr>
                <w:rFonts w:ascii="Times New Roman" w:hAnsi="Times New Roman" w:cs="Times New Roman" w:eastAsia="Times New Roman" w:hint="default"/>
                <w:sz w:val="18"/>
                <w:szCs w:val="18"/>
              </w:rPr>
              <w:t>91110000745467123H</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公司上市以来主营业务的变化情况（如 有）</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历次控股股东的变更情况（如有）</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无变更</w:t>
            </w:r>
          </w:p>
        </w:tc>
      </w:tr>
    </w:tbl>
    <w:p>
      <w:pPr>
        <w:spacing w:line="240" w:lineRule="auto" w:before="1"/>
        <w:rPr>
          <w:rFonts w:ascii="宋体" w:hAnsi="宋体" w:cs="宋体" w:eastAsia="宋体" w:hint="default"/>
          <w:b/>
          <w:bCs/>
          <w:sz w:val="18"/>
          <w:szCs w:val="18"/>
        </w:rPr>
      </w:pPr>
    </w:p>
    <w:p>
      <w:pPr>
        <w:pStyle w:val="Heading3"/>
        <w:spacing w:line="240" w:lineRule="auto" w:before="26"/>
        <w:ind w:right="0"/>
        <w:jc w:val="left"/>
        <w:rPr>
          <w:b w:val="0"/>
          <w:bCs w:val="0"/>
        </w:rPr>
      </w:pPr>
      <w:r>
        <w:rPr/>
        <w:t>五、其他有关资料</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4"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信永中和会计师事务所</w:t>
            </w:r>
            <w:r>
              <w:rPr>
                <w:rFonts w:ascii="Times New Roman" w:hAnsi="Times New Roman" w:cs="Times New Roman" w:eastAsia="Times New Roman" w:hint="default"/>
                <w:sz w:val="18"/>
                <w:szCs w:val="18"/>
              </w:rPr>
              <w:t>(</w:t>
            </w:r>
            <w:r>
              <w:rPr>
                <w:rFonts w:ascii="宋体" w:hAnsi="宋体" w:cs="宋体" w:eastAsia="宋体" w:hint="default"/>
                <w:sz w:val="18"/>
                <w:szCs w:val="18"/>
              </w:rPr>
              <w:t>特殊普通合伙</w:t>
            </w:r>
            <w:r>
              <w:rPr>
                <w:rFonts w:ascii="Times New Roman" w:hAnsi="Times New Roman" w:cs="Times New Roman" w:eastAsia="Times New Roman" w:hint="default"/>
                <w:sz w:val="18"/>
                <w:szCs w:val="18"/>
              </w:rPr>
              <w:t>)</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北京市东城区朝阳门北大街</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号富华大厦</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季晟、彭旭</w:t>
            </w:r>
          </w:p>
        </w:tc>
      </w:tr>
    </w:tbl>
    <w:p>
      <w:pPr>
        <w:pStyle w:val="BodyText"/>
        <w:spacing w:line="240" w:lineRule="auto" w:before="49"/>
        <w:ind w:right="0"/>
        <w:jc w:val="left"/>
      </w:pPr>
      <w:r>
        <w:rPr/>
        <w:t>公司聘请的报告期内履行持续督导职责的保荐机构</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1"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中信建投证券股份有限公司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北京市东城区朝阳门内大街</w:t>
            </w:r>
          </w:p>
          <w:p>
            <w:pPr>
              <w:pStyle w:val="TableParagraph"/>
              <w:spacing w:line="240" w:lineRule="auto" w:before="74"/>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188 </w:t>
            </w:r>
            <w:r>
              <w:rPr>
                <w:rFonts w:ascii="宋体" w:hAnsi="宋体" w:cs="宋体" w:eastAsia="宋体" w:hint="default"/>
                <w:sz w:val="18"/>
                <w:szCs w:val="18"/>
              </w:rPr>
              <w:t>号</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刘乃生、翟程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63"/>
                <w:sz w:val="18"/>
                <w:szCs w:val="18"/>
              </w:rPr>
              <w:t> </w:t>
            </w:r>
            <w:r>
              <w:rPr>
                <w:rFonts w:ascii="Times New Roman" w:hAnsi="Times New Roman" w:cs="Times New Roman" w:eastAsia="Times New Roman" w:hint="default"/>
                <w:sz w:val="18"/>
                <w:szCs w:val="18"/>
              </w:rPr>
              <w:t>18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65"/>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pStyle w:val="BodyText"/>
        <w:spacing w:line="240" w:lineRule="auto" w:before="49"/>
        <w:ind w:right="0"/>
        <w:jc w:val="left"/>
      </w:pPr>
      <w:r>
        <w:rPr/>
        <w:t>公司聘请的报告期内履行持续督导职责的财务顾问</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财务顾问名称</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70" w:right="0"/>
              <w:jc w:val="left"/>
              <w:rPr>
                <w:rFonts w:ascii="宋体" w:hAnsi="宋体" w:cs="宋体" w:eastAsia="宋体" w:hint="default"/>
                <w:sz w:val="18"/>
                <w:szCs w:val="18"/>
              </w:rPr>
            </w:pPr>
            <w:r>
              <w:rPr>
                <w:rFonts w:ascii="宋体" w:hAnsi="宋体" w:cs="宋体" w:eastAsia="宋体" w:hint="default"/>
                <w:sz w:val="18"/>
                <w:szCs w:val="18"/>
              </w:rPr>
              <w:t>财务顾问办公地址</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财务顾问主办人姓名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中信建投证券股份有限公司</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北京市东城区朝阳门内大街</w:t>
            </w:r>
          </w:p>
          <w:p>
            <w:pPr>
              <w:pStyle w:val="TableParagraph"/>
              <w:spacing w:line="240" w:lineRule="auto" w:before="7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188 </w:t>
            </w:r>
            <w:r>
              <w:rPr>
                <w:rFonts w:ascii="宋体" w:hAnsi="宋体" w:cs="宋体" w:eastAsia="宋体" w:hint="default"/>
                <w:sz w:val="18"/>
                <w:szCs w:val="18"/>
              </w:rPr>
              <w:t>号</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苏丽萍、顾中杰</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tc>
      </w:tr>
    </w:tbl>
    <w:p>
      <w:pPr>
        <w:spacing w:line="240" w:lineRule="auto" w:before="1"/>
        <w:rPr>
          <w:rFonts w:ascii="宋体" w:hAnsi="宋体" w:cs="宋体" w:eastAsia="宋体" w:hint="default"/>
          <w:sz w:val="18"/>
          <w:szCs w:val="18"/>
        </w:rPr>
      </w:pPr>
    </w:p>
    <w:p>
      <w:pPr>
        <w:pStyle w:val="Heading3"/>
        <w:spacing w:line="240" w:lineRule="auto" w:before="26"/>
        <w:ind w:right="0"/>
        <w:jc w:val="left"/>
        <w:rPr>
          <w:b w:val="0"/>
          <w:bCs w:val="0"/>
        </w:rPr>
      </w:pPr>
      <w:r>
        <w:rPr/>
        <w:t>六、主要会计数据和财务指标</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公司是否需追溯调整或重述以前年度会计数据</w:t>
      </w:r>
    </w:p>
    <w:p>
      <w:pPr>
        <w:pStyle w:val="BodyText"/>
        <w:spacing w:line="240" w:lineRule="auto" w:before="11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621"/>
        <w:gridCol w:w="1738"/>
        <w:gridCol w:w="1738"/>
        <w:gridCol w:w="1738"/>
        <w:gridCol w:w="1736"/>
      </w:tblGrid>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2,156,487,774.85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1,585,306,335.51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36.03%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1,506,153,411.37</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265,199,610.30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156,569,086.39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69.38%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130,160,648.82</w:t>
            </w:r>
          </w:p>
        </w:tc>
      </w:tr>
      <w:tr>
        <w:trPr>
          <w:trHeight w:val="71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3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219,571,124.27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144,653,472.69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51.79%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101,943,066.93</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390,314,073.58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398,617,134.62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296,482,797.13</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0.2186</w:t>
            </w:r>
            <w:r>
              <w:rPr>
                <w:rFonts w:ascii="Times New Roman"/>
                <w:sz w:val="18"/>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0.1502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45.54%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0.1252</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0.2171</w:t>
            </w:r>
            <w:r>
              <w:rPr>
                <w:rFonts w:ascii="Times New Roman"/>
                <w:sz w:val="18"/>
              </w:rPr>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0.1491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45.61%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0.1248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621"/>
        <w:gridCol w:w="1738"/>
        <w:gridCol w:w="1738"/>
        <w:gridCol w:w="1738"/>
        <w:gridCol w:w="1736"/>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5.19%</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总资产（元）</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9,798,917,104.82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4,122,242,723.69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137.71%</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3,728,219,001.03</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3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6,636,154,615.91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2,793,417,545.71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137.56%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2,541,873,601.37</w:t>
            </w:r>
          </w:p>
        </w:tc>
      </w:tr>
    </w:tbl>
    <w:p>
      <w:pPr>
        <w:spacing w:line="240" w:lineRule="auto" w:before="2"/>
        <w:rPr>
          <w:rFonts w:ascii="宋体" w:hAnsi="宋体" w:cs="宋体" w:eastAsia="宋体" w:hint="default"/>
          <w:sz w:val="27"/>
          <w:szCs w:val="27"/>
        </w:rPr>
      </w:pPr>
    </w:p>
    <w:p>
      <w:pPr>
        <w:pStyle w:val="BodyText"/>
        <w:spacing w:line="240" w:lineRule="auto" w:before="44"/>
        <w:ind w:right="0"/>
        <w:jc w:val="left"/>
      </w:pPr>
      <w:r>
        <w:rPr/>
        <w:t>截止披露前一交易日的公司总股本：</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524"/>
        <w:gridCol w:w="5046"/>
      </w:tblGrid>
      <w:tr>
        <w:trPr>
          <w:trHeight w:val="403"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截止披露前一交易日的公司总股本（股）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1,282,615,013</w:t>
            </w:r>
          </w:p>
        </w:tc>
      </w:tr>
      <w:tr>
        <w:trPr>
          <w:trHeight w:val="401" w:hRule="exact"/>
        </w:trPr>
        <w:tc>
          <w:tcPr>
            <w:tcW w:w="4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用最新股本计算的全面摊薄每股收益（元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5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0.2068</w:t>
            </w:r>
          </w:p>
        </w:tc>
      </w:tr>
    </w:tbl>
    <w:p>
      <w:pPr>
        <w:pStyle w:val="BodyText"/>
        <w:spacing w:line="240" w:lineRule="auto" w:before="49"/>
        <w:ind w:right="0"/>
        <w:jc w:val="left"/>
      </w:pPr>
      <w:r>
        <w:rPr/>
        <w:t>是否存在公司债</w:t>
      </w:r>
    </w:p>
    <w:p>
      <w:pPr>
        <w:pStyle w:val="BodyText"/>
        <w:spacing w:line="338" w:lineRule="auto" w:before="117"/>
        <w:ind w:right="671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公司是否存在最近两年连续亏损的情形</w:t>
      </w:r>
    </w:p>
    <w:p>
      <w:pPr>
        <w:pStyle w:val="BodyText"/>
        <w:spacing w:line="240" w:lineRule="auto" w:before="43"/>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t>否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3"/>
        <w:rPr>
          <w:rFonts w:ascii="宋体" w:hAnsi="宋体" w:cs="宋体" w:eastAsia="宋体" w:hint="default"/>
          <w:sz w:val="24"/>
          <w:szCs w:val="24"/>
        </w:rPr>
      </w:pPr>
    </w:p>
    <w:p>
      <w:pPr>
        <w:spacing w:line="506" w:lineRule="auto" w:before="0"/>
        <w:ind w:left="152" w:right="0" w:firstLine="0"/>
        <w:jc w:val="left"/>
        <w:rPr>
          <w:rFonts w:ascii="宋体" w:hAnsi="宋体" w:cs="宋体" w:eastAsia="宋体" w:hint="default"/>
          <w:sz w:val="18"/>
          <w:szCs w:val="18"/>
        </w:rPr>
      </w:pPr>
      <w:r>
        <w:rPr>
          <w:rFonts w:ascii="宋体" w:hAnsi="宋体" w:cs="宋体" w:eastAsia="宋体" w:hint="default"/>
          <w:b/>
          <w:bCs/>
          <w:sz w:val="24"/>
          <w:szCs w:val="24"/>
        </w:rPr>
        <w:t>七、境内外会计准则下会计数据差异</w:t>
      </w:r>
      <w:r>
        <w:rPr>
          <w:rFonts w:ascii="宋体" w:hAnsi="宋体" w:cs="宋体" w:eastAsia="宋体" w:hint="default"/>
          <w:b/>
          <w:bCs/>
          <w:w w:val="99"/>
          <w:sz w:val="24"/>
          <w:szCs w:val="24"/>
        </w:rPr>
        <w:t> </w:t>
      </w:r>
      <w:r>
        <w:rPr>
          <w:rFonts w:ascii="Times New Roman" w:hAnsi="Times New Roman" w:cs="Times New Roman" w:eastAsia="Times New Roman" w:hint="default"/>
          <w:b/>
          <w:bCs/>
          <w:spacing w:val="-1"/>
          <w:sz w:val="21"/>
          <w:szCs w:val="21"/>
        </w:rPr>
        <w:t>1</w:t>
      </w:r>
      <w:r>
        <w:rPr>
          <w:rFonts w:ascii="宋体" w:hAnsi="宋体" w:cs="宋体" w:eastAsia="宋体" w:hint="default"/>
          <w:b/>
          <w:bCs/>
          <w:spacing w:val="-1"/>
          <w:sz w:val="21"/>
          <w:szCs w:val="21"/>
        </w:rPr>
        <w:t>、同时按照国际会计准则与按照中国会计准则披露的财务报告中净利润和净资产差异情况</w:t>
      </w:r>
      <w:r>
        <w:rPr>
          <w:rFonts w:ascii="宋体" w:hAnsi="宋体" w:cs="宋体" w:eastAsia="宋体" w:hint="default"/>
          <w:b/>
          <w:bCs/>
          <w:spacing w:val="-69"/>
          <w:sz w:val="21"/>
          <w:szCs w:val="21"/>
        </w:rPr>
        <w:t> </w:t>
      </w:r>
      <w:r>
        <w:rPr>
          <w:rFonts w:ascii="宋体" w:hAnsi="宋体" w:cs="宋体" w:eastAsia="宋体" w:hint="default"/>
          <w:b/>
          <w:bCs/>
          <w:spacing w:val="-69"/>
          <w:sz w:val="21"/>
          <w:szCs w:val="21"/>
        </w:rPr>
      </w:r>
      <w:r>
        <w:rPr>
          <w:rFonts w:ascii="宋体" w:hAnsi="宋体" w:cs="宋体" w:eastAsia="宋体" w:hint="default"/>
          <w:sz w:val="18"/>
          <w:szCs w:val="18"/>
        </w:rPr>
        <w:t>公司报告期不存在按照国际会计准则与按照中国会计准则披露的财务报告中净利润和净资产差异情况。</w:t>
      </w:r>
    </w:p>
    <w:p>
      <w:pPr>
        <w:pStyle w:val="Heading5"/>
        <w:spacing w:line="240" w:lineRule="auto" w:before="156"/>
        <w:ind w:right="0"/>
        <w:jc w:val="left"/>
        <w:rPr>
          <w:b w:val="0"/>
          <w:bCs w:val="0"/>
        </w:rPr>
      </w:pP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公司报告期不存在按照境外会计准则与按照中国会计准则披露的财务报告中净利润和净资产差异情况。</w:t>
      </w:r>
    </w:p>
    <w:p>
      <w:pPr>
        <w:spacing w:line="240" w:lineRule="auto" w:before="1"/>
        <w:rPr>
          <w:rFonts w:ascii="宋体" w:hAnsi="宋体" w:cs="宋体" w:eastAsia="宋体" w:hint="default"/>
          <w:sz w:val="25"/>
          <w:szCs w:val="25"/>
        </w:rPr>
      </w:pPr>
    </w:p>
    <w:p>
      <w:pPr>
        <w:pStyle w:val="Heading3"/>
        <w:spacing w:line="240" w:lineRule="auto"/>
        <w:ind w:right="0"/>
        <w:jc w:val="left"/>
        <w:rPr>
          <w:b w:val="0"/>
          <w:bCs w:val="0"/>
        </w:rPr>
      </w:pPr>
      <w:r>
        <w:rPr/>
        <w:t>八、分季度主要财务指标</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21"/>
        <w:gridCol w:w="1741"/>
        <w:gridCol w:w="1740"/>
        <w:gridCol w:w="1738"/>
        <w:gridCol w:w="1731"/>
      </w:tblGrid>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367,118,198.69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466,703,023.71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491,331,674.78</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831,334,877.67</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50,125,679.26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71,211,155.51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37,073,420.06</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106,789,355.47</w:t>
            </w:r>
          </w:p>
        </w:tc>
      </w:tr>
      <w:tr>
        <w:trPr>
          <w:trHeight w:val="716"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49,107,367.54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65,047,615.84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35,527,504.44</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69,888,636.45</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-12,102,874.84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30,302,507.96</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121,165,954.13</w:t>
            </w:r>
          </w:p>
        </w:tc>
        <w:tc>
          <w:tcPr>
            <w:tcW w:w="1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250,948,486.33</w:t>
            </w:r>
          </w:p>
        </w:tc>
      </w:tr>
    </w:tbl>
    <w:p>
      <w:pPr>
        <w:pStyle w:val="BodyText"/>
        <w:spacing w:line="240" w:lineRule="auto" w:before="49"/>
        <w:ind w:right="0"/>
        <w:jc w:val="left"/>
      </w:pPr>
      <w:r>
        <w:rPr/>
        <w:t>上述财务指标或其加总数是否与公司已披露季度报告、半年度报告相关财务指标存在重大差异</w:t>
      </w:r>
    </w:p>
    <w:p>
      <w:pPr>
        <w:pStyle w:val="BodyText"/>
        <w:spacing w:line="240" w:lineRule="auto" w:before="11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0"/>
        <w:rPr>
          <w:rFonts w:ascii="宋体" w:hAnsi="宋体" w:cs="宋体" w:eastAsia="宋体" w:hint="default"/>
          <w:sz w:val="24"/>
          <w:szCs w:val="24"/>
        </w:rPr>
      </w:pPr>
    </w:p>
    <w:p>
      <w:pPr>
        <w:pStyle w:val="Heading3"/>
        <w:spacing w:line="240" w:lineRule="auto"/>
        <w:ind w:right="0"/>
        <w:jc w:val="left"/>
        <w:rPr>
          <w:b w:val="0"/>
          <w:bCs w:val="0"/>
        </w:rPr>
      </w:pPr>
      <w:r>
        <w:rPr/>
        <w:t>九、非经常性损益项目及金额</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51"/>
        <w:jc w:val="right"/>
      </w:pPr>
      <w:r>
        <w:rPr/>
        <w:t>单位：元</w:t>
      </w:r>
    </w:p>
    <w:p>
      <w:pPr>
        <w:spacing w:after="0" w:line="240" w:lineRule="auto"/>
        <w:jc w:val="right"/>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296"/>
        <w:gridCol w:w="1522"/>
        <w:gridCol w:w="1520"/>
        <w:gridCol w:w="1522"/>
        <w:gridCol w:w="1712"/>
      </w:tblGrid>
      <w:tr>
        <w:trPr>
          <w:trHeight w:val="401"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年金额</w:t>
            </w:r>
          </w:p>
        </w:tc>
        <w:tc>
          <w:tcPr>
            <w:tcW w:w="1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5"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1,939,833.49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437,037.50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-10,639,493.63</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 减免</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319" w:hRule="exact"/>
        </w:trPr>
        <w:tc>
          <w:tcPr>
            <w:tcW w:w="32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52,164,892.67</w:t>
            </w:r>
          </w:p>
        </w:tc>
        <w:tc>
          <w:tcPr>
            <w:tcW w:w="152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13,064,021.49</w:t>
            </w:r>
          </w:p>
        </w:tc>
        <w:tc>
          <w:tcPr>
            <w:tcW w:w="152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455" w:right="0"/>
              <w:jc w:val="left"/>
              <w:rPr>
                <w:rFonts w:ascii="Times New Roman" w:hAnsi="Times New Roman" w:cs="Times New Roman" w:eastAsia="Times New Roman" w:hint="default"/>
                <w:sz w:val="18"/>
                <w:szCs w:val="18"/>
              </w:rPr>
            </w:pPr>
            <w:r>
              <w:rPr>
                <w:rFonts w:ascii="Times New Roman"/>
                <w:sz w:val="18"/>
              </w:rPr>
              <w:t>30,263,206.51</w:t>
            </w:r>
          </w:p>
        </w:tc>
        <w:tc>
          <w:tcPr>
            <w:tcW w:w="1712" w:type="dxa"/>
            <w:vMerge w:val="restart"/>
            <w:tcBorders>
              <w:top w:val="single" w:sz="4" w:space="0" w:color="000000"/>
              <w:left w:val="single" w:sz="4" w:space="0" w:color="000000"/>
              <w:right w:val="single" w:sz="4" w:space="0" w:color="000000"/>
            </w:tcBorders>
          </w:tcPr>
          <w:p>
            <w:pPr>
              <w:pStyle w:val="TableParagraph"/>
              <w:spacing w:line="316" w:lineRule="auto" w:before="51"/>
              <w:ind w:left="23" w:right="55"/>
              <w:jc w:val="both"/>
              <w:rPr>
                <w:rFonts w:ascii="宋体" w:hAnsi="宋体" w:cs="宋体" w:eastAsia="宋体" w:hint="default"/>
                <w:sz w:val="18"/>
                <w:szCs w:val="18"/>
              </w:rPr>
            </w:pPr>
            <w:r>
              <w:rPr>
                <w:rFonts w:ascii="宋体" w:hAnsi="宋体" w:cs="宋体" w:eastAsia="宋体" w:hint="default"/>
                <w:sz w:val="18"/>
                <w:szCs w:val="18"/>
              </w:rPr>
              <w:t>公司及子公司收到政 府项目资助，并在本 期结转递延收益确认 其他收益或营业外收 入</w:t>
            </w:r>
          </w:p>
        </w:tc>
      </w:tr>
      <w:tr>
        <w:trPr>
          <w:trHeight w:val="1015" w:hRule="exact"/>
        </w:trPr>
        <w:tc>
          <w:tcPr>
            <w:tcW w:w="32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49"/>
              <w:ind w:left="24" w:right="20"/>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22" w:type="dxa"/>
            <w:vMerge/>
            <w:tcBorders>
              <w:left w:val="single" w:sz="4" w:space="0" w:color="000000"/>
              <w:right w:val="single" w:sz="4" w:space="0" w:color="000000"/>
            </w:tcBorders>
          </w:tcPr>
          <w:p>
            <w:pPr/>
          </w:p>
        </w:tc>
        <w:tc>
          <w:tcPr>
            <w:tcW w:w="1520" w:type="dxa"/>
            <w:vMerge/>
            <w:tcBorders>
              <w:left w:val="single" w:sz="4" w:space="0" w:color="000000"/>
              <w:right w:val="single" w:sz="4" w:space="0" w:color="000000"/>
            </w:tcBorders>
          </w:tcPr>
          <w:p>
            <w:pPr/>
          </w:p>
        </w:tc>
        <w:tc>
          <w:tcPr>
            <w:tcW w:w="1522" w:type="dxa"/>
            <w:vMerge/>
            <w:tcBorders>
              <w:left w:val="single" w:sz="4" w:space="0" w:color="000000"/>
              <w:right w:val="single" w:sz="4" w:space="0" w:color="000000"/>
            </w:tcBorders>
          </w:tcPr>
          <w:p>
            <w:pPr/>
          </w:p>
        </w:tc>
        <w:tc>
          <w:tcPr>
            <w:tcW w:w="1712" w:type="dxa"/>
            <w:vMerge/>
            <w:tcBorders>
              <w:left w:val="single" w:sz="4" w:space="0" w:color="000000"/>
              <w:right w:val="single" w:sz="4" w:space="0" w:color="000000"/>
            </w:tcBorders>
          </w:tcPr>
          <w:p>
            <w:pPr/>
          </w:p>
        </w:tc>
      </w:tr>
      <w:tr>
        <w:trPr>
          <w:trHeight w:val="317" w:hRule="exact"/>
        </w:trPr>
        <w:tc>
          <w:tcPr>
            <w:tcW w:w="32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22" w:type="dxa"/>
            <w:vMerge/>
            <w:tcBorders>
              <w:left w:val="single" w:sz="4" w:space="0" w:color="000000"/>
              <w:bottom w:val="single" w:sz="4" w:space="0" w:color="000000"/>
              <w:right w:val="single" w:sz="4" w:space="0" w:color="000000"/>
            </w:tcBorders>
          </w:tcPr>
          <w:p>
            <w:pPr/>
          </w:p>
        </w:tc>
        <w:tc>
          <w:tcPr>
            <w:tcW w:w="1520" w:type="dxa"/>
            <w:vMerge/>
            <w:tcBorders>
              <w:left w:val="single" w:sz="4" w:space="0" w:color="000000"/>
              <w:bottom w:val="single" w:sz="4" w:space="0" w:color="000000"/>
              <w:right w:val="single" w:sz="4" w:space="0" w:color="000000"/>
            </w:tcBorders>
          </w:tcPr>
          <w:p>
            <w:pPr/>
          </w:p>
        </w:tc>
        <w:tc>
          <w:tcPr>
            <w:tcW w:w="1522" w:type="dxa"/>
            <w:vMerge/>
            <w:tcBorders>
              <w:left w:val="single" w:sz="4" w:space="0" w:color="000000"/>
              <w:bottom w:val="single" w:sz="4" w:space="0" w:color="000000"/>
              <w:right w:val="single" w:sz="4" w:space="0" w:color="000000"/>
            </w:tcBorders>
          </w:tcPr>
          <w:p>
            <w:pPr/>
          </w:p>
        </w:tc>
        <w:tc>
          <w:tcPr>
            <w:tcW w:w="1712" w:type="dxa"/>
            <w:vMerge/>
            <w:tcBorders>
              <w:left w:val="single" w:sz="4" w:space="0" w:color="000000"/>
              <w:bottom w:val="single" w:sz="4" w:space="0" w:color="000000"/>
              <w:right w:val="single" w:sz="4" w:space="0" w:color="000000"/>
            </w:tcBorders>
          </w:tcPr>
          <w:p>
            <w:pPr/>
          </w:p>
        </w:tc>
      </w:tr>
      <w:tr>
        <w:trPr>
          <w:trHeight w:val="71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 占用费</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20"/>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 投资成本小于取得投资时应享有被投资单 位可辨认净资产公允价值产生的收益</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7,556,839.13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2,745,205.47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16,176,000.00</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银行理财收益</w:t>
            </w:r>
          </w:p>
        </w:tc>
      </w:tr>
      <w:tr>
        <w:trPr>
          <w:trHeight w:val="71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 的各项资产减值准备</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-488,871.60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 费用等</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 价值部分的损益</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 合并日的当期净损益</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 的损益</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1649"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2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8,472,084.00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3"/>
              <w:ind w:left="23" w:right="56"/>
              <w:jc w:val="left"/>
              <w:rPr>
                <w:rFonts w:ascii="宋体" w:hAnsi="宋体" w:cs="宋体" w:eastAsia="宋体" w:hint="default"/>
                <w:sz w:val="18"/>
                <w:szCs w:val="18"/>
              </w:rPr>
            </w:pPr>
            <w:r>
              <w:rPr>
                <w:rFonts w:ascii="宋体" w:hAnsi="宋体" w:cs="宋体" w:eastAsia="宋体" w:hint="default"/>
                <w:sz w:val="18"/>
                <w:szCs w:val="18"/>
              </w:rPr>
              <w:t>处置可供出售金融资 产取得的投资收益</w:t>
            </w:r>
          </w:p>
        </w:tc>
      </w:tr>
      <w:tr>
        <w:trPr>
          <w:trHeight w:val="715"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 回</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2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 房地产公允价值变动产生的损益</w:t>
            </w:r>
          </w:p>
        </w:tc>
        <w:tc>
          <w:tcPr>
            <w:tcW w:w="1522"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295"/>
        <w:gridCol w:w="1522"/>
        <w:gridCol w:w="1520"/>
        <w:gridCol w:w="1522"/>
        <w:gridCol w:w="1712"/>
      </w:tblGrid>
      <w:tr>
        <w:trPr>
          <w:trHeight w:val="36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期损益进行一次性调整对当期损益的影响</w:t>
            </w:r>
          </w:p>
        </w:tc>
        <w:tc>
          <w:tcPr>
            <w:tcW w:w="1522"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-1,904,730.47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575,633.04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-1,033,062.96</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4,092,023.56</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2,030,175.01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5,096,409.44</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少数股东权益影响额（税后）</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18,019,537.63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2,876,108.79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1,452,658.59</w:t>
            </w:r>
          </w:p>
        </w:tc>
        <w:tc>
          <w:tcPr>
            <w:tcW w:w="1712"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45,628,486.03</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11,915,613.70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28,217,581.89</w:t>
            </w:r>
          </w:p>
        </w:tc>
        <w:tc>
          <w:tcPr>
            <w:tcW w:w="17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3"/>
        <w:ind w:right="13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0"/>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pStyle w:val="BodyText"/>
        <w:spacing w:line="300" w:lineRule="auto" w:before="103"/>
        <w:ind w:right="137"/>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pStyle w:val="BodyText"/>
        <w:spacing w:line="316" w:lineRule="auto" w:before="72"/>
        <w:ind w:right="0"/>
        <w:jc w:val="left"/>
      </w:pPr>
      <w:r>
        <w:rPr>
          <w:spacing w:val="-2"/>
        </w:rPr>
        <w:t>本报告期计入当期损益的政府补助大幅增长，主要是本期公司收到国家发改委、财政部拨付的基于北斗的公共物流云位置综</w:t>
      </w:r>
      <w:r>
        <w:rPr>
          <w:spacing w:val="-65"/>
        </w:rPr>
        <w:t> </w:t>
      </w:r>
      <w:r>
        <w:rPr>
          <w:spacing w:val="-65"/>
        </w:rPr>
      </w:r>
      <w:r>
        <w:rPr/>
        <w:t>合服务平台研发应用示范系统建设项目补助款，以及合并杰发科技报表的影响。</w:t>
      </w:r>
    </w:p>
    <w:p>
      <w:pPr>
        <w:spacing w:after="0" w:line="316"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429" w:right="3810"/>
        <w:jc w:val="center"/>
        <w:rPr>
          <w:b w:val="0"/>
          <w:bCs w:val="0"/>
        </w:rPr>
      </w:pPr>
      <w:bookmarkStart w:name="_bookmark2" w:id="3"/>
      <w:bookmarkEnd w:id="3"/>
      <w:r>
        <w:rPr>
          <w:b w:val="0"/>
          <w:bCs w:val="0"/>
        </w:rPr>
      </w:r>
      <w:r>
        <w:rPr/>
        <w:t>第三节</w:t>
      </w:r>
      <w:r>
        <w:rPr>
          <w:spacing w:val="-6"/>
        </w:rPr>
        <w:t> </w:t>
      </w:r>
      <w:r>
        <w:rPr/>
        <w:t>公司业务概要</w:t>
      </w:r>
      <w:r>
        <w:rPr>
          <w:b w:val="0"/>
          <w:bCs w:val="0"/>
        </w:rPr>
      </w:r>
    </w:p>
    <w:p>
      <w:pPr>
        <w:spacing w:line="240" w:lineRule="auto" w:before="2"/>
        <w:rPr>
          <w:rFonts w:ascii="宋体" w:hAnsi="宋体" w:cs="宋体" w:eastAsia="宋体" w:hint="default"/>
          <w:b/>
          <w:bCs/>
          <w:sz w:val="39"/>
          <w:szCs w:val="39"/>
        </w:rPr>
      </w:pPr>
    </w:p>
    <w:p>
      <w:pPr>
        <w:pStyle w:val="Heading3"/>
        <w:spacing w:line="240" w:lineRule="auto"/>
        <w:ind w:right="0"/>
        <w:jc w:val="both"/>
        <w:rPr>
          <w:b w:val="0"/>
          <w:bCs w:val="0"/>
        </w:rPr>
      </w:pPr>
      <w:r>
        <w:rPr/>
        <w:t>一、报告期内公司从事的主要业务</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7094"/>
        <w:jc w:val="left"/>
      </w:pPr>
      <w:r>
        <w:rPr/>
        <w:t>公司是否需要遵守特殊行业的披露要求 否</w:t>
      </w:r>
    </w:p>
    <w:p>
      <w:pPr>
        <w:spacing w:line="240" w:lineRule="auto" w:before="2"/>
        <w:rPr>
          <w:rFonts w:ascii="宋体" w:hAnsi="宋体" w:cs="宋体" w:eastAsia="宋体" w:hint="default"/>
          <w:sz w:val="15"/>
          <w:szCs w:val="15"/>
        </w:rPr>
      </w:pPr>
    </w:p>
    <w:p>
      <w:pPr>
        <w:pStyle w:val="Heading6"/>
        <w:spacing w:line="408" w:lineRule="auto" w:before="0"/>
        <w:ind w:left="573" w:right="0" w:firstLine="2"/>
        <w:jc w:val="left"/>
      </w:pPr>
      <w:r>
        <w:rPr>
          <w:rFonts w:ascii="宋体" w:hAnsi="宋体" w:cs="宋体" w:eastAsia="宋体" w:hint="default"/>
          <w:b/>
          <w:bCs/>
        </w:rPr>
        <w:t>（一）公司业务概况</w:t>
      </w:r>
      <w:r>
        <w:rPr>
          <w:rFonts w:ascii="宋体" w:hAnsi="宋体" w:cs="宋体" w:eastAsia="宋体" w:hint="default"/>
          <w:b/>
          <w:bCs/>
          <w:w w:val="99"/>
        </w:rPr>
        <w:t> </w:t>
      </w:r>
      <w:r>
        <w:rPr>
          <w:spacing w:val="-3"/>
        </w:rPr>
        <w:t>经十余年的创新发展，四维图新已成为导航地图、导航软件、动态交通信息、乘用车和商用车车联网</w:t>
      </w:r>
    </w:p>
    <w:p>
      <w:pPr>
        <w:pStyle w:val="Heading6"/>
        <w:spacing w:line="408" w:lineRule="auto"/>
        <w:ind w:right="526" w:firstLine="0"/>
        <w:jc w:val="both"/>
        <w:rPr>
          <w:rFonts w:ascii="宋体" w:hAnsi="宋体" w:cs="宋体" w:eastAsia="宋体" w:hint="default"/>
        </w:rPr>
      </w:pPr>
      <w:r>
        <w:rPr/>
        <w:t>解决方案以及位置大数据服务领域的领导者。为了迎接自动驾驶时代的来临，公司</w:t>
      </w:r>
      <w:r>
        <w:rPr>
          <w:spacing w:val="-58"/>
        </w:rPr>
        <w:t> </w:t>
      </w:r>
      <w:r>
        <w:rPr>
          <w:rFonts w:ascii="宋体" w:hAnsi="宋体" w:cs="宋体" w:eastAsia="宋体" w:hint="default"/>
        </w:rPr>
        <w:t>2017</w:t>
      </w:r>
      <w:r>
        <w:rPr>
          <w:rFonts w:ascii="宋体" w:hAnsi="宋体" w:cs="宋体" w:eastAsia="宋体" w:hint="default"/>
          <w:spacing w:val="-57"/>
        </w:rPr>
        <w:t> </w:t>
      </w:r>
      <w:r>
        <w:rPr/>
        <w:t>年明确提出</w:t>
      </w:r>
      <w:r>
        <w:rPr>
          <w:spacing w:val="-18"/>
        </w:rPr>
        <w:t> </w:t>
      </w:r>
      <w:r>
        <w:rPr>
          <w:rFonts w:ascii="宋体" w:hAnsi="宋体" w:cs="宋体" w:eastAsia="宋体" w:hint="default"/>
          <w:spacing w:val="-18"/>
        </w:rPr>
      </w:r>
      <w:r>
        <w:rPr>
          <w:spacing w:val="-3"/>
        </w:rPr>
        <w:t>“智</w:t>
      </w:r>
      <w:r>
        <w:rPr>
          <w:spacing w:val="-3"/>
          <w:w w:val="100"/>
        </w:rPr>
        <w:t> </w:t>
      </w:r>
      <w:r>
        <w:rPr>
          <w:spacing w:val="-2"/>
        </w:rPr>
        <w:t>能汽车大脑”的战略愿景，致力于成为中国市场乃至全球最值得信赖的自动驾驶解决方案提供商，围绕高</w:t>
      </w:r>
      <w:r>
        <w:rPr>
          <w:spacing w:val="-44"/>
        </w:rPr>
        <w:t> </w:t>
      </w:r>
      <w:r>
        <w:rPr>
          <w:spacing w:val="-44"/>
        </w:rPr>
      </w:r>
      <w:r>
        <w:rPr/>
        <w:t>精度地图、高精度定位以及应用于</w:t>
      </w:r>
      <w:r>
        <w:rPr>
          <w:spacing w:val="-55"/>
        </w:rPr>
        <w:t> </w:t>
      </w:r>
      <w:r>
        <w:rPr>
          <w:rFonts w:ascii="宋体" w:hAnsi="宋体" w:cs="宋体" w:eastAsia="宋体" w:hint="default"/>
        </w:rPr>
        <w:t>ADAS</w:t>
      </w:r>
      <w:r>
        <w:rPr>
          <w:rFonts w:ascii="宋体" w:hAnsi="宋体" w:cs="宋体" w:eastAsia="宋体" w:hint="default"/>
          <w:spacing w:val="-58"/>
        </w:rPr>
        <w:t> </w:t>
      </w:r>
      <w:r>
        <w:rPr/>
        <w:t>和自动驾驶的车规级芯片等方向积极布局。</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报告期内，公司的导航地图业务、车联网业务、自动驾驶业务、位置大数据服务业务健康发展。通过</w:t>
      </w:r>
      <w:r>
        <w:rPr>
          <w:w w:val="100"/>
        </w:rPr>
        <w:t> </w:t>
      </w:r>
      <w:r>
        <w:rPr/>
        <w:t>收购杰发科技，完成了面向车载芯片领域的战略布局。公司按业务板块划分的具体业务情况如下：</w:t>
      </w:r>
      <w:r>
        <w:rPr>
          <w:rFonts w:ascii="宋体" w:hAnsi="宋体" w:cs="宋体" w:eastAsia="宋体" w:hint="default"/>
        </w:rPr>
        <w:t> </w:t>
      </w:r>
    </w:p>
    <w:p>
      <w:pPr>
        <w:pStyle w:val="Heading6"/>
        <w:spacing w:line="408" w:lineRule="auto"/>
        <w:ind w:right="529" w:firstLine="422"/>
        <w:jc w:val="both"/>
        <w:rPr>
          <w:rFonts w:ascii="宋体" w:hAnsi="宋体" w:cs="宋体" w:eastAsia="宋体" w:hint="default"/>
        </w:rPr>
      </w:pPr>
      <w:r>
        <w:rPr>
          <w:rFonts w:ascii="宋体" w:hAnsi="宋体" w:cs="宋体" w:eastAsia="宋体" w:hint="default"/>
          <w:b/>
          <w:bCs/>
          <w:spacing w:val="-3"/>
        </w:rPr>
        <w:t>导航业务</w:t>
      </w:r>
      <w:r>
        <w:rPr>
          <w:spacing w:val="-3"/>
        </w:rPr>
        <w:t>：主要包括地图数据、数据编译以及导航软件。其中地图数据产品主要有：高精鲜地图、三</w:t>
      </w:r>
      <w:r>
        <w:rPr>
          <w:w w:val="100"/>
        </w:rPr>
        <w:t> </w:t>
      </w:r>
      <w:r>
        <w:rPr>
          <w:spacing w:val="-2"/>
        </w:rPr>
        <w:t>维地图、卡车地图等重要产品；高速收费、限行限号、桩家等在线服务型产品；行人导航、停车场、室内</w:t>
      </w:r>
      <w:r>
        <w:rPr>
          <w:spacing w:val="-46"/>
        </w:rPr>
        <w:t> </w:t>
      </w:r>
      <w:r>
        <w:rPr>
          <w:spacing w:val="-46"/>
        </w:rPr>
      </w:r>
      <w:r>
        <w:rPr/>
        <w:t>地图、核心公交等多模态导航数据；以及包含点要素和道路要素的基础地图产品。</w:t>
      </w:r>
      <w:r>
        <w:rPr>
          <w:rFonts w:ascii="宋体" w:hAnsi="宋体" w:cs="宋体" w:eastAsia="宋体" w:hint="default"/>
        </w:rPr>
        <w:t> </w:t>
      </w:r>
    </w:p>
    <w:p>
      <w:pPr>
        <w:spacing w:line="4296" w:lineRule="exact"/>
        <w:ind w:left="574"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6096858" cy="2728341"/>
            <wp:effectExtent l="0" t="0" r="0" b="0"/>
            <wp:docPr id="3" name="image2.jpeg" descr=""/>
            <wp:cNvGraphicFramePr>
              <a:graphicFrameLocks noChangeAspect="1"/>
            </wp:cNvGraphicFramePr>
            <a:graphic>
              <a:graphicData uri="http://schemas.openxmlformats.org/drawingml/2006/picture">
                <pic:pic>
                  <pic:nvPicPr>
                    <pic:cNvPr id="4" name="image2.jpeg"/>
                    <pic:cNvPicPr/>
                  </pic:nvPicPr>
                  <pic:blipFill>
                    <a:blip r:embed="rId15" cstate="print"/>
                    <a:stretch>
                      <a:fillRect/>
                    </a:stretch>
                  </pic:blipFill>
                  <pic:spPr>
                    <a:xfrm>
                      <a:off x="0" y="0"/>
                      <a:ext cx="6096858" cy="2728341"/>
                    </a:xfrm>
                    <a:prstGeom prst="rect">
                      <a:avLst/>
                    </a:prstGeom>
                  </pic:spPr>
                </pic:pic>
              </a:graphicData>
            </a:graphic>
          </wp:inline>
        </w:drawing>
      </w:r>
      <w:r>
        <w:rPr>
          <w:rFonts w:ascii="宋体" w:hAnsi="宋体" w:cs="宋体" w:eastAsia="宋体" w:hint="default"/>
          <w:position w:val="-85"/>
          <w:sz w:val="20"/>
          <w:szCs w:val="20"/>
        </w:rPr>
      </w:r>
    </w:p>
    <w:p>
      <w:pPr>
        <w:pStyle w:val="Heading6"/>
        <w:spacing w:line="240" w:lineRule="auto" w:before="94"/>
        <w:ind w:left="3429" w:right="3807" w:firstLine="0"/>
        <w:jc w:val="center"/>
        <w:rPr>
          <w:rFonts w:ascii="华文中宋" w:hAnsi="华文中宋" w:cs="华文中宋" w:eastAsia="华文中宋" w:hint="default"/>
        </w:rPr>
      </w:pPr>
      <w:r>
        <w:rPr>
          <w:rFonts w:ascii="华文中宋" w:hAnsi="华文中宋" w:cs="华文中宋" w:eastAsia="华文中宋" w:hint="default"/>
        </w:rPr>
        <w:t>地图数据产品</w:t>
      </w:r>
    </w:p>
    <w:p>
      <w:pPr>
        <w:spacing w:line="240" w:lineRule="auto" w:before="2"/>
        <w:rPr>
          <w:rFonts w:ascii="华文中宋" w:hAnsi="华文中宋" w:cs="华文中宋" w:eastAsia="华文中宋" w:hint="default"/>
          <w:sz w:val="12"/>
          <w:szCs w:val="12"/>
        </w:rPr>
      </w:pPr>
    </w:p>
    <w:p>
      <w:pPr>
        <w:pStyle w:val="Heading6"/>
        <w:spacing w:line="408" w:lineRule="auto" w:before="0"/>
        <w:ind w:right="0"/>
        <w:jc w:val="left"/>
        <w:rPr>
          <w:rFonts w:ascii="宋体" w:hAnsi="宋体" w:cs="宋体" w:eastAsia="宋体" w:hint="default"/>
        </w:rPr>
      </w:pPr>
      <w:r>
        <w:rPr/>
        <w:t>数据编译服务方面</w:t>
      </w:r>
      <w:r>
        <w:rPr>
          <w:rFonts w:ascii="宋体" w:hAnsi="宋体" w:cs="宋体" w:eastAsia="宋体" w:hint="default"/>
        </w:rPr>
        <w:t>,</w:t>
      </w:r>
      <w:r>
        <w:rPr/>
        <w:t>作为</w:t>
      </w:r>
      <w:r>
        <w:rPr>
          <w:spacing w:val="-57"/>
        </w:rPr>
        <w:t> </w:t>
      </w:r>
      <w:r>
        <w:rPr>
          <w:rFonts w:ascii="宋体" w:hAnsi="宋体" w:cs="宋体" w:eastAsia="宋体" w:hint="default"/>
        </w:rPr>
        <w:t>NDS</w:t>
      </w:r>
      <w:r>
        <w:rPr>
          <w:rFonts w:ascii="宋体" w:hAnsi="宋体" w:cs="宋体" w:eastAsia="宋体" w:hint="default"/>
          <w:spacing w:val="-54"/>
        </w:rPr>
        <w:t> </w:t>
      </w:r>
      <w:r>
        <w:rPr/>
        <w:t>协会指导委员会主席单位及中国最早开展</w:t>
      </w:r>
      <w:r>
        <w:rPr>
          <w:spacing w:val="-55"/>
        </w:rPr>
        <w:t> </w:t>
      </w:r>
      <w:r>
        <w:rPr>
          <w:rFonts w:ascii="宋体" w:hAnsi="宋体" w:cs="宋体" w:eastAsia="宋体" w:hint="default"/>
        </w:rPr>
        <w:t>NDS</w:t>
      </w:r>
      <w:r>
        <w:rPr>
          <w:rFonts w:ascii="宋体" w:hAnsi="宋体" w:cs="宋体" w:eastAsia="宋体" w:hint="default"/>
          <w:spacing w:val="-55"/>
        </w:rPr>
        <w:t> </w:t>
      </w:r>
      <w:r>
        <w:rPr/>
        <w:t>数据标准开发的公司，我</w:t>
      </w:r>
      <w:r>
        <w:rPr>
          <w:w w:val="100"/>
        </w:rPr>
        <w:t> </w:t>
      </w:r>
      <w:r>
        <w:rPr/>
        <w:t>们建立了一套完善的</w:t>
      </w:r>
      <w:r>
        <w:rPr>
          <w:spacing w:val="-45"/>
        </w:rPr>
        <w:t> </w:t>
      </w:r>
      <w:r>
        <w:rPr>
          <w:rFonts w:ascii="宋体" w:hAnsi="宋体" w:cs="宋体" w:eastAsia="宋体" w:hint="default"/>
        </w:rPr>
        <w:t>NDS</w:t>
      </w:r>
      <w:r>
        <w:rPr>
          <w:rFonts w:ascii="宋体" w:hAnsi="宋体" w:cs="宋体" w:eastAsia="宋体" w:hint="default"/>
          <w:spacing w:val="-47"/>
        </w:rPr>
        <w:t> </w:t>
      </w:r>
      <w:r>
        <w:rPr>
          <w:spacing w:val="-3"/>
        </w:rPr>
        <w:t>编译、测试和出品流程，以中间数据库格式</w:t>
      </w:r>
      <w:r>
        <w:rPr>
          <w:spacing w:val="-44"/>
        </w:rPr>
        <w:t> </w:t>
      </w:r>
      <w:r>
        <w:rPr>
          <w:rFonts w:ascii="宋体" w:hAnsi="宋体" w:cs="宋体" w:eastAsia="宋体" w:hint="default"/>
        </w:rPr>
        <w:t>d-Hive</w:t>
      </w:r>
      <w:r>
        <w:rPr>
          <w:rFonts w:ascii="宋体" w:hAnsi="宋体" w:cs="宋体" w:eastAsia="宋体" w:hint="default"/>
          <w:spacing w:val="-47"/>
        </w:rPr>
        <w:t> </w:t>
      </w:r>
      <w:r>
        <w:rPr>
          <w:spacing w:val="-4"/>
        </w:rPr>
        <w:t>为中心，实现</w:t>
      </w:r>
      <w:r>
        <w:rPr>
          <w:spacing w:val="-46"/>
        </w:rPr>
        <w:t> </w:t>
      </w:r>
      <w:r>
        <w:rPr>
          <w:rFonts w:ascii="宋体" w:hAnsi="宋体" w:cs="宋体" w:eastAsia="宋体" w:hint="default"/>
          <w:spacing w:val="-4"/>
        </w:rPr>
        <w:t>NDS</w:t>
      </w:r>
      <w:r>
        <w:rPr>
          <w:spacing w:val="-4"/>
        </w:rPr>
        <w:t>、</w:t>
      </w:r>
      <w:r>
        <w:rPr>
          <w:rFonts w:ascii="宋体" w:hAnsi="宋体" w:cs="宋体" w:eastAsia="宋体" w:hint="default"/>
          <w:spacing w:val="-4"/>
        </w:rPr>
        <w:t>RDF</w:t>
      </w:r>
      <w:r>
        <w:rPr>
          <w:spacing w:val="-4"/>
        </w:rPr>
        <w:t>、</w:t>
      </w:r>
      <w:r>
        <w:rPr>
          <w:rFonts w:ascii="宋体" w:hAnsi="宋体" w:cs="宋体" w:eastAsia="宋体" w:hint="default"/>
          <w:spacing w:val="-4"/>
        </w:rPr>
        <w:t>GDF</w:t>
      </w:r>
      <w:r>
        <w:rPr>
          <w:rFonts w:ascii="宋体" w:hAnsi="宋体" w:cs="宋体" w:eastAsia="宋体" w:hint="default"/>
          <w:spacing w:val="-102"/>
        </w:rPr>
        <w:t> </w:t>
      </w:r>
      <w:r>
        <w:rPr>
          <w:rFonts w:ascii="宋体" w:hAnsi="宋体" w:cs="宋体" w:eastAsia="宋体" w:hint="default"/>
          <w:spacing w:val="-102"/>
        </w:rPr>
      </w:r>
      <w:r>
        <w:rPr/>
        <w:t>等各种数据格式的编译转换，并面向海外客户如宝马、戴姆勒等提供全球</w:t>
      </w:r>
      <w:r>
        <w:rPr>
          <w:spacing w:val="-58"/>
        </w:rPr>
        <w:t> </w:t>
      </w:r>
      <w:r>
        <w:rPr>
          <w:rFonts w:ascii="宋体" w:hAnsi="宋体" w:cs="宋体" w:eastAsia="宋体" w:hint="default"/>
        </w:rPr>
        <w:t>NDS</w:t>
      </w:r>
      <w:r>
        <w:rPr>
          <w:rFonts w:ascii="宋体" w:hAnsi="宋体" w:cs="宋体" w:eastAsia="宋体" w:hint="default"/>
          <w:spacing w:val="-59"/>
        </w:rPr>
        <w:t> </w:t>
      </w:r>
      <w:r>
        <w:rPr/>
        <w:t>数据编译服务。</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600"/>
        </w:sectPr>
      </w:pPr>
    </w:p>
    <w:p>
      <w:pPr>
        <w:spacing w:line="240" w:lineRule="auto" w:before="0"/>
        <w:rPr>
          <w:rFonts w:ascii="宋体" w:hAnsi="宋体" w:cs="宋体" w:eastAsia="宋体" w:hint="default"/>
          <w:sz w:val="20"/>
          <w:szCs w:val="20"/>
        </w:rPr>
      </w:pPr>
    </w:p>
    <w:p>
      <w:pPr>
        <w:pStyle w:val="Heading6"/>
        <w:spacing w:line="408" w:lineRule="auto" w:before="176"/>
        <w:ind w:right="206"/>
        <w:jc w:val="both"/>
        <w:rPr>
          <w:rFonts w:ascii="宋体" w:hAnsi="宋体" w:cs="宋体" w:eastAsia="宋体" w:hint="default"/>
        </w:rPr>
      </w:pPr>
      <w:r>
        <w:rPr>
          <w:spacing w:val="-2"/>
        </w:rPr>
        <w:t>导航软件及服务主要有：提供导航引擎软件及服务，支持混合导航、大数据智能动态路径规划、基于</w:t>
      </w:r>
      <w:r>
        <w:rPr>
          <w:w w:val="100"/>
        </w:rPr>
        <w:t> </w:t>
      </w:r>
      <w:r>
        <w:rPr>
          <w:spacing w:val="-2"/>
        </w:rPr>
        <w:t>多种传感器的高精度混合定位、导航数据增量更新及日更新、自然引导的语音播报、基于人工智能技术的</w:t>
      </w:r>
      <w:r>
        <w:rPr>
          <w:spacing w:val="-44"/>
        </w:rPr>
        <w:t> </w:t>
      </w:r>
      <w:r>
        <w:rPr>
          <w:spacing w:val="-44"/>
        </w:rPr>
      </w:r>
      <w:r>
        <w:rPr>
          <w:spacing w:val="-2"/>
        </w:rPr>
        <w:t>语音控制及语音智能搜索等功能，可满足国际、国内主流车厂以及移动出行服务商的深度定制化需求和从</w:t>
      </w:r>
      <w:r>
        <w:rPr>
          <w:spacing w:val="-43"/>
        </w:rPr>
        <w:t> </w:t>
      </w:r>
      <w:r>
        <w:rPr>
          <w:spacing w:val="-43"/>
        </w:rPr>
      </w:r>
      <w:r>
        <w:rPr/>
        <w:t>云到端的一体化场景应用需求。</w:t>
      </w:r>
      <w:r>
        <w:rPr>
          <w:rFonts w:ascii="宋体" w:hAnsi="宋体" w:cs="宋体" w:eastAsia="宋体" w:hint="default"/>
        </w:rPr>
        <w:t> </w:t>
      </w:r>
    </w:p>
    <w:p>
      <w:pPr>
        <w:spacing w:line="240" w:lineRule="auto" w:before="8"/>
        <w:rPr>
          <w:rFonts w:ascii="宋体" w:hAnsi="宋体" w:cs="宋体" w:eastAsia="宋体" w:hint="default"/>
          <w:sz w:val="9"/>
          <w:szCs w:val="9"/>
        </w:rPr>
      </w:pPr>
    </w:p>
    <w:p>
      <w:pPr>
        <w:spacing w:line="5010" w:lineRule="exact"/>
        <w:ind w:left="1120" w:right="0" w:firstLine="0"/>
        <w:rPr>
          <w:rFonts w:ascii="宋体" w:hAnsi="宋体" w:cs="宋体" w:eastAsia="宋体" w:hint="default"/>
          <w:sz w:val="20"/>
          <w:szCs w:val="20"/>
        </w:rPr>
      </w:pPr>
      <w:r>
        <w:rPr>
          <w:rFonts w:ascii="宋体" w:hAnsi="宋体" w:cs="宋体" w:eastAsia="宋体" w:hint="default"/>
          <w:position w:val="-99"/>
          <w:sz w:val="20"/>
          <w:szCs w:val="20"/>
        </w:rPr>
        <w:drawing>
          <wp:inline distT="0" distB="0" distL="0" distR="0">
            <wp:extent cx="5067558" cy="3181350"/>
            <wp:effectExtent l="0" t="0" r="0" b="0"/>
            <wp:docPr id="5" name="image3.jpeg" descr=""/>
            <wp:cNvGraphicFramePr>
              <a:graphicFrameLocks noChangeAspect="1"/>
            </wp:cNvGraphicFramePr>
            <a:graphic>
              <a:graphicData uri="http://schemas.openxmlformats.org/drawingml/2006/picture">
                <pic:pic>
                  <pic:nvPicPr>
                    <pic:cNvPr id="6" name="image3.jpeg"/>
                    <pic:cNvPicPr/>
                  </pic:nvPicPr>
                  <pic:blipFill>
                    <a:blip r:embed="rId16" cstate="print"/>
                    <a:stretch>
                      <a:fillRect/>
                    </a:stretch>
                  </pic:blipFill>
                  <pic:spPr>
                    <a:xfrm>
                      <a:off x="0" y="0"/>
                      <a:ext cx="5067558" cy="3181350"/>
                    </a:xfrm>
                    <a:prstGeom prst="rect">
                      <a:avLst/>
                    </a:prstGeom>
                  </pic:spPr>
                </pic:pic>
              </a:graphicData>
            </a:graphic>
          </wp:inline>
        </w:drawing>
      </w:r>
      <w:r>
        <w:rPr>
          <w:rFonts w:ascii="宋体" w:hAnsi="宋体" w:cs="宋体" w:eastAsia="宋体" w:hint="default"/>
          <w:position w:val="-99"/>
          <w:sz w:val="20"/>
          <w:szCs w:val="20"/>
        </w:rPr>
      </w:r>
    </w:p>
    <w:p>
      <w:pPr>
        <w:pStyle w:val="Heading6"/>
        <w:spacing w:line="393" w:lineRule="auto" w:before="35"/>
        <w:ind w:left="573" w:right="0" w:firstLine="3768"/>
        <w:jc w:val="left"/>
        <w:rPr>
          <w:rFonts w:ascii="宋体" w:hAnsi="宋体" w:cs="宋体" w:eastAsia="宋体" w:hint="default"/>
        </w:rPr>
      </w:pPr>
      <w:r>
        <w:rPr>
          <w:rFonts w:ascii="华文中宋" w:hAnsi="华文中宋" w:cs="华文中宋" w:eastAsia="华文中宋" w:hint="default"/>
        </w:rPr>
        <w:t>混合导航产品</w:t>
      </w:r>
      <w:r>
        <w:rPr>
          <w:rFonts w:ascii="华文中宋" w:hAnsi="华文中宋" w:cs="华文中宋" w:eastAsia="华文中宋" w:hint="default"/>
          <w:w w:val="100"/>
        </w:rPr>
        <w:t> </w:t>
      </w:r>
      <w:r>
        <w:rPr/>
        <w:t>车联网业务：主要包括乘用车车联网、商用车车联网及动态交通信息产品及服务。</w:t>
      </w:r>
      <w:r>
        <w:rPr>
          <w:rFonts w:ascii="宋体" w:hAnsi="宋体" w:cs="宋体" w:eastAsia="宋体" w:hint="default"/>
          <w:w w:val="100"/>
        </w:rPr>
        <w:t> </w:t>
      </w:r>
      <w:r>
        <w:rPr>
          <w:spacing w:val="-8"/>
          <w:w w:val="100"/>
        </w:rPr>
        <w:t>其中，乘用车车联网产品及服务主要有</w:t>
      </w:r>
      <w:r>
        <w:rPr>
          <w:spacing w:val="-71"/>
          <w:w w:val="100"/>
        </w:rPr>
        <w:t> </w:t>
      </w:r>
      <w:r>
        <w:rPr>
          <w:rFonts w:ascii="宋体" w:hAnsi="宋体" w:cs="宋体" w:eastAsia="宋体" w:hint="default"/>
          <w:spacing w:val="-1"/>
          <w:w w:val="100"/>
        </w:rPr>
        <w:t>Welink</w:t>
      </w:r>
      <w:r>
        <w:rPr>
          <w:rFonts w:ascii="宋体" w:hAnsi="宋体" w:cs="宋体" w:eastAsia="宋体" w:hint="default"/>
          <w:spacing w:val="-71"/>
          <w:w w:val="100"/>
        </w:rPr>
        <w:t> </w:t>
      </w:r>
      <w:r>
        <w:rPr>
          <w:spacing w:val="-8"/>
          <w:w w:val="100"/>
        </w:rPr>
        <w:t>手机车机互联方案、</w:t>
      </w:r>
      <w:r>
        <w:rPr>
          <w:rFonts w:ascii="宋体" w:hAnsi="宋体" w:cs="宋体" w:eastAsia="宋体" w:hint="default"/>
          <w:spacing w:val="-8"/>
          <w:w w:val="100"/>
        </w:rPr>
        <w:t>WeCloud</w:t>
      </w:r>
      <w:r>
        <w:rPr>
          <w:rFonts w:ascii="宋体" w:hAnsi="宋体" w:cs="宋体" w:eastAsia="宋体" w:hint="default"/>
          <w:spacing w:val="-71"/>
          <w:w w:val="100"/>
        </w:rPr>
        <w:t> </w:t>
      </w:r>
      <w:r>
        <w:rPr>
          <w:spacing w:val="-9"/>
          <w:w w:val="100"/>
        </w:rPr>
        <w:t>应用平台及解决方案、</w:t>
      </w:r>
      <w:r>
        <w:rPr>
          <w:rFonts w:ascii="宋体" w:hAnsi="宋体" w:cs="宋体" w:eastAsia="宋体" w:hint="default"/>
          <w:spacing w:val="-9"/>
          <w:w w:val="100"/>
        </w:rPr>
        <w:t>V.U.I</w:t>
      </w:r>
    </w:p>
    <w:p>
      <w:pPr>
        <w:pStyle w:val="Heading6"/>
        <w:spacing w:line="408" w:lineRule="auto" w:before="58"/>
        <w:ind w:right="206" w:firstLine="0"/>
        <w:jc w:val="both"/>
        <w:rPr>
          <w:rFonts w:ascii="宋体" w:hAnsi="宋体" w:cs="宋体" w:eastAsia="宋体" w:hint="default"/>
        </w:rPr>
      </w:pPr>
      <w:r>
        <w:rPr/>
        <w:t>应用及解决方案、智能网联操作系统、</w:t>
      </w:r>
      <w:r>
        <w:rPr>
          <w:rFonts w:ascii="宋体" w:hAnsi="宋体" w:cs="宋体" w:eastAsia="宋体" w:hint="default"/>
        </w:rPr>
        <w:t>Call-Center</w:t>
      </w:r>
      <w:r>
        <w:rPr>
          <w:rFonts w:ascii="宋体" w:hAnsi="宋体" w:cs="宋体" w:eastAsia="宋体" w:hint="default"/>
          <w:spacing w:val="-54"/>
        </w:rPr>
        <w:t> </w:t>
      </w:r>
      <w:r>
        <w:rPr/>
        <w:t>系统及云服务、车载硬件。包容了海量</w:t>
      </w:r>
      <w:r>
        <w:rPr>
          <w:spacing w:val="-53"/>
        </w:rPr>
        <w:t> </w:t>
      </w:r>
      <w:r>
        <w:rPr>
          <w:rFonts w:ascii="宋体" w:hAnsi="宋体" w:cs="宋体" w:eastAsia="宋体" w:hint="default"/>
        </w:rPr>
        <w:t>APP</w:t>
      </w:r>
      <w:r>
        <w:rPr>
          <w:rFonts w:ascii="宋体" w:hAnsi="宋体" w:cs="宋体" w:eastAsia="宋体" w:hint="default"/>
          <w:spacing w:val="-56"/>
        </w:rPr>
        <w:t> </w:t>
      </w:r>
      <w:r>
        <w:rPr/>
        <w:t>的信息聚</w:t>
      </w:r>
      <w:r>
        <w:rPr>
          <w:w w:val="100"/>
        </w:rPr>
        <w:t> </w:t>
      </w:r>
      <w:r>
        <w:rPr/>
        <w:t>合服务，云后台整体解决方案则涵盖从后台内容、动态信息、云端到操作系统的趣驾</w:t>
      </w:r>
      <w:r>
        <w:rPr>
          <w:spacing w:val="-66"/>
        </w:rPr>
        <w:t> </w:t>
      </w:r>
      <w:r>
        <w:rPr>
          <w:rFonts w:ascii="宋体" w:hAnsi="宋体" w:cs="宋体" w:eastAsia="宋体" w:hint="default"/>
        </w:rPr>
        <w:t>WeDrive</w:t>
      </w:r>
      <w:r>
        <w:rPr>
          <w:rFonts w:ascii="宋体" w:hAnsi="宋体" w:cs="宋体" w:eastAsia="宋体" w:hint="default"/>
          <w:spacing w:val="-65"/>
        </w:rPr>
        <w:t> </w:t>
      </w:r>
      <w:r>
        <w:rPr/>
        <w:t>全生态车联</w:t>
      </w:r>
      <w:r>
        <w:rPr>
          <w:w w:val="100"/>
        </w:rPr>
        <w:t> </w:t>
      </w:r>
      <w:r>
        <w:rPr>
          <w:spacing w:val="-2"/>
        </w:rPr>
        <w:t>网服务解决方案。另外还有支持基于人工智能的自然语言理解和口语化的人机交互，呼叫中心等。实现人</w:t>
      </w:r>
      <w:r>
        <w:rPr>
          <w:spacing w:val="-43"/>
        </w:rPr>
        <w:t> </w:t>
      </w:r>
      <w:r>
        <w:rPr>
          <w:spacing w:val="-43"/>
        </w:rPr>
      </w:r>
      <w:r>
        <w:rPr/>
        <w:t>与车、车与车之间的智慧连接，为车主提供安全、高效和便捷的智能出行服务。</w:t>
      </w:r>
      <w:r>
        <w:rPr>
          <w:rFonts w:ascii="宋体" w:hAnsi="宋体" w:cs="宋体" w:eastAsia="宋体" w:hint="default"/>
        </w:rPr>
        <w:t> </w:t>
      </w:r>
    </w:p>
    <w:p>
      <w:pPr>
        <w:pStyle w:val="Heading6"/>
        <w:spacing w:line="240" w:lineRule="auto"/>
        <w:ind w:left="573" w:right="0" w:firstLine="0"/>
        <w:jc w:val="left"/>
      </w:pPr>
      <w:r>
        <w:rPr/>
        <w:t>商用车车联网产品及服务主要为面向商用车领域，在位置大数据平台基础上，融合全球卫星定位系统</w:t>
      </w:r>
    </w:p>
    <w:p>
      <w:pPr>
        <w:spacing w:line="240" w:lineRule="auto" w:before="11"/>
        <w:rPr>
          <w:rFonts w:ascii="宋体" w:hAnsi="宋体" w:cs="宋体" w:eastAsia="宋体" w:hint="default"/>
          <w:sz w:val="14"/>
          <w:szCs w:val="14"/>
        </w:rPr>
      </w:pPr>
    </w:p>
    <w:p>
      <w:pPr>
        <w:pStyle w:val="Heading6"/>
        <w:spacing w:line="408" w:lineRule="auto" w:before="0"/>
        <w:ind w:right="0" w:firstLine="0"/>
        <w:jc w:val="left"/>
      </w:pPr>
      <w:r>
        <w:rPr/>
        <w:t>（北斗</w:t>
      </w:r>
      <w:r>
        <w:rPr>
          <w:rFonts w:ascii="宋体" w:hAnsi="宋体" w:cs="宋体" w:eastAsia="宋体" w:hint="default"/>
        </w:rPr>
        <w:t>/GPS</w:t>
      </w:r>
      <w:r>
        <w:rPr/>
        <w:t>）、地理信息系统（</w:t>
      </w:r>
      <w:r>
        <w:rPr>
          <w:rFonts w:ascii="宋体" w:hAnsi="宋体" w:cs="宋体" w:eastAsia="宋体" w:hint="default"/>
        </w:rPr>
        <w:t>GIS</w:t>
      </w:r>
      <w:r>
        <w:rPr/>
        <w:t>）及大数据处理技术，以芯片、传感器算法等软硬件能力为核心，提</w:t>
      </w:r>
      <w:r>
        <w:rPr>
          <w:w w:val="100"/>
        </w:rPr>
        <w:t> </w:t>
      </w:r>
      <w:r>
        <w:rPr>
          <w:spacing w:val="-2"/>
        </w:rPr>
        <w:t>供可以同时面向前装、后装市场的智能车联网终端设备、车联网运营系统及大数据平台、移动端应用产品</w:t>
      </w:r>
      <w:r>
        <w:rPr>
          <w:spacing w:val="-44"/>
        </w:rPr>
        <w:t> </w:t>
      </w:r>
      <w:r>
        <w:rPr>
          <w:spacing w:val="-44"/>
        </w:rPr>
      </w:r>
      <w:r>
        <w:rPr>
          <w:spacing w:val="-2"/>
        </w:rPr>
        <w:t>及一体化解决方案。面向“两客一危”、物流等行业需求，构建“卡车人”综合服务平台，提供定制化解</w:t>
      </w:r>
      <w:r>
        <w:rPr>
          <w:spacing w:val="-49"/>
        </w:rPr>
        <w:t> </w:t>
      </w:r>
      <w:r>
        <w:rPr>
          <w:spacing w:val="-49"/>
        </w:rPr>
      </w:r>
      <w:r>
        <w:rPr>
          <w:spacing w:val="-5"/>
        </w:rPr>
        <w:t>决方案。面向汽车后服务市场，基于位置大数据的商业应用价值与客户共同探索新型业务模式及发展空间， </w:t>
      </w:r>
      <w:r>
        <w:rPr>
          <w:spacing w:val="-5"/>
        </w:rPr>
      </w:r>
      <w:r>
        <w:rPr/>
        <w:t>为行业赋能。</w:t>
      </w:r>
    </w:p>
    <w:p>
      <w:pPr>
        <w:spacing w:after="0" w:line="408" w:lineRule="auto"/>
        <w:jc w:val="left"/>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1"/>
          <w:szCs w:val="11"/>
        </w:rPr>
      </w:pPr>
    </w:p>
    <w:p>
      <w:pPr>
        <w:spacing w:line="4285" w:lineRule="exact"/>
        <w:ind w:left="968"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337733" cy="2721197"/>
            <wp:effectExtent l="0" t="0" r="0" b="0"/>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7" cstate="print"/>
                    <a:stretch>
                      <a:fillRect/>
                    </a:stretch>
                  </pic:blipFill>
                  <pic:spPr>
                    <a:xfrm>
                      <a:off x="0" y="0"/>
                      <a:ext cx="5337733" cy="2721197"/>
                    </a:xfrm>
                    <a:prstGeom prst="rect">
                      <a:avLst/>
                    </a:prstGeom>
                  </pic:spPr>
                </pic:pic>
              </a:graphicData>
            </a:graphic>
          </wp:inline>
        </w:drawing>
      </w:r>
      <w:r>
        <w:rPr>
          <w:rFonts w:ascii="宋体" w:hAnsi="宋体" w:cs="宋体" w:eastAsia="宋体" w:hint="default"/>
          <w:position w:val="-85"/>
          <w:sz w:val="20"/>
          <w:szCs w:val="20"/>
        </w:rPr>
      </w:r>
    </w:p>
    <w:p>
      <w:pPr>
        <w:spacing w:line="240" w:lineRule="auto" w:before="11"/>
        <w:rPr>
          <w:rFonts w:ascii="宋体" w:hAnsi="宋体" w:cs="宋体" w:eastAsia="宋体" w:hint="default"/>
          <w:sz w:val="6"/>
          <w:szCs w:val="6"/>
        </w:rPr>
      </w:pPr>
    </w:p>
    <w:p>
      <w:pPr>
        <w:pStyle w:val="Heading6"/>
        <w:spacing w:line="308" w:lineRule="exact" w:before="0"/>
        <w:ind w:left="171" w:right="226" w:firstLine="0"/>
        <w:jc w:val="center"/>
        <w:rPr>
          <w:rFonts w:ascii="华文中宋" w:hAnsi="华文中宋" w:cs="华文中宋" w:eastAsia="华文中宋" w:hint="default"/>
        </w:rPr>
      </w:pPr>
      <w:r>
        <w:rPr>
          <w:rFonts w:ascii="华文中宋" w:hAnsi="华文中宋" w:cs="华文中宋" w:eastAsia="华文中宋" w:hint="default"/>
        </w:rPr>
        <w:t>车联网服务生态体系</w:t>
      </w:r>
    </w:p>
    <w:p>
      <w:pPr>
        <w:spacing w:line="240" w:lineRule="auto" w:before="2"/>
        <w:rPr>
          <w:rFonts w:ascii="华文中宋" w:hAnsi="华文中宋" w:cs="华文中宋" w:eastAsia="华文中宋" w:hint="default"/>
          <w:sz w:val="12"/>
          <w:szCs w:val="12"/>
        </w:rPr>
      </w:pPr>
    </w:p>
    <w:p>
      <w:pPr>
        <w:pStyle w:val="Heading6"/>
        <w:spacing w:line="408" w:lineRule="auto" w:before="0"/>
        <w:ind w:right="0"/>
        <w:jc w:val="left"/>
        <w:rPr>
          <w:rFonts w:ascii="宋体" w:hAnsi="宋体" w:cs="宋体" w:eastAsia="宋体" w:hint="default"/>
        </w:rPr>
      </w:pPr>
      <w:r>
        <w:rPr>
          <w:spacing w:val="-2"/>
        </w:rPr>
        <w:t>动态交通信息产品及服务主要是基于自身海量的动态交通大数据优势，面向不同领域客户的需求提供</w:t>
      </w:r>
      <w:r>
        <w:rPr>
          <w:w w:val="100"/>
        </w:rPr>
        <w:t> </w:t>
      </w:r>
      <w:r>
        <w:rPr/>
        <w:t>应用产品及定制化服务。主要包括高精度实时交通信息、车道级路况、简易图形、事件信息、交通预测、</w:t>
      </w:r>
      <w:r>
        <w:rPr>
          <w:spacing w:val="-31"/>
        </w:rPr>
        <w:t> </w:t>
      </w:r>
      <w:r>
        <w:rPr>
          <w:spacing w:val="-31"/>
        </w:rPr>
      </w:r>
      <w:r>
        <w:rPr/>
        <w:t>文字语音交通信息及历史交通信息等服务。可提供丰富的实时路况、事件、预测、停车场、天气、航班、</w:t>
      </w:r>
      <w:r>
        <w:rPr>
          <w:spacing w:val="-31"/>
        </w:rPr>
        <w:t> </w:t>
      </w:r>
      <w:r>
        <w:rPr>
          <w:spacing w:val="-31"/>
        </w:rPr>
      </w:r>
      <w:r>
        <w:rPr>
          <w:spacing w:val="-2"/>
        </w:rPr>
        <w:t>综合换乘等动态交通信息车联网服务，路况交通眼及四维交通指数等路况产品，基于语音识别技术采集的</w:t>
      </w:r>
      <w:r>
        <w:rPr>
          <w:spacing w:val="-44"/>
        </w:rPr>
        <w:t> </w:t>
      </w:r>
      <w:r>
        <w:rPr>
          <w:spacing w:val="-44"/>
        </w:rPr>
      </w:r>
      <w:r>
        <w:rPr>
          <w:spacing w:val="-2"/>
        </w:rPr>
        <w:t>事件信息服务，基于智慧云路径规划与充电桩信息等服务的电动车服务，可提供上车提醒、临近限行区域</w:t>
      </w:r>
      <w:r>
        <w:rPr>
          <w:spacing w:val="-45"/>
        </w:rPr>
        <w:t> </w:t>
      </w:r>
      <w:r>
        <w:rPr>
          <w:spacing w:val="-45"/>
        </w:rPr>
      </w:r>
      <w:r>
        <w:rPr/>
        <w:t>预警、绕行路径规划等城市车牌限行服务等。</w:t>
      </w:r>
      <w:r>
        <w:rPr>
          <w:rFonts w:ascii="宋体" w:hAnsi="宋体" w:cs="宋体" w:eastAsia="宋体" w:hint="default"/>
        </w:rPr>
        <w:t> </w:t>
      </w:r>
    </w:p>
    <w:p>
      <w:pPr>
        <w:spacing w:line="240" w:lineRule="auto" w:before="1"/>
        <w:rPr>
          <w:rFonts w:ascii="宋体" w:hAnsi="宋体" w:cs="宋体" w:eastAsia="宋体" w:hint="default"/>
          <w:sz w:val="3"/>
          <w:szCs w:val="3"/>
        </w:rPr>
      </w:pPr>
    </w:p>
    <w:p>
      <w:pPr>
        <w:spacing w:line="4557" w:lineRule="exact"/>
        <w:ind w:left="834"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5520865" cy="2893695"/>
            <wp:effectExtent l="0" t="0" r="0" b="0"/>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8" cstate="print"/>
                    <a:stretch>
                      <a:fillRect/>
                    </a:stretch>
                  </pic:blipFill>
                  <pic:spPr>
                    <a:xfrm>
                      <a:off x="0" y="0"/>
                      <a:ext cx="5520865" cy="2893695"/>
                    </a:xfrm>
                    <a:prstGeom prst="rect">
                      <a:avLst/>
                    </a:prstGeom>
                  </pic:spPr>
                </pic:pic>
              </a:graphicData>
            </a:graphic>
          </wp:inline>
        </w:drawing>
      </w:r>
      <w:r>
        <w:rPr>
          <w:rFonts w:ascii="宋体" w:hAnsi="宋体" w:cs="宋体" w:eastAsia="宋体" w:hint="default"/>
          <w:position w:val="-90"/>
          <w:sz w:val="20"/>
          <w:szCs w:val="20"/>
        </w:rPr>
      </w:r>
    </w:p>
    <w:p>
      <w:pPr>
        <w:pStyle w:val="Heading6"/>
        <w:spacing w:line="240" w:lineRule="auto" w:before="104"/>
        <w:ind w:left="168" w:right="226" w:firstLine="0"/>
        <w:jc w:val="center"/>
        <w:rPr>
          <w:rFonts w:ascii="华文中宋" w:hAnsi="华文中宋" w:cs="华文中宋" w:eastAsia="华文中宋" w:hint="default"/>
        </w:rPr>
      </w:pPr>
      <w:r>
        <w:rPr>
          <w:rFonts w:ascii="华文中宋" w:hAnsi="华文中宋" w:cs="华文中宋" w:eastAsia="华文中宋" w:hint="default"/>
        </w:rPr>
        <w:t>动态交通信息及出行服务</w:t>
      </w:r>
    </w:p>
    <w:p>
      <w:pPr>
        <w:spacing w:line="240" w:lineRule="auto" w:before="13"/>
        <w:rPr>
          <w:rFonts w:ascii="华文中宋" w:hAnsi="华文中宋" w:cs="华文中宋" w:eastAsia="华文中宋" w:hint="default"/>
          <w:sz w:val="14"/>
          <w:szCs w:val="14"/>
        </w:rPr>
      </w:pPr>
    </w:p>
    <w:p>
      <w:pPr>
        <w:pStyle w:val="Heading6"/>
        <w:spacing w:line="408" w:lineRule="auto" w:before="0"/>
        <w:ind w:right="0" w:firstLine="422"/>
        <w:jc w:val="left"/>
      </w:pPr>
      <w:r>
        <w:rPr>
          <w:rFonts w:ascii="宋体" w:hAnsi="宋体" w:cs="宋体" w:eastAsia="宋体" w:hint="default"/>
          <w:b/>
          <w:bCs/>
          <w:spacing w:val="-2"/>
        </w:rPr>
        <w:t>芯片业务：</w:t>
      </w:r>
      <w:r>
        <w:rPr>
          <w:spacing w:val="-2"/>
        </w:rPr>
        <w:t>主要面向汽车信息娱乐系统、智能座舱系统、主动安全系统、车身控制系统、自动驾驶系</w:t>
      </w:r>
      <w:r>
        <w:rPr>
          <w:w w:val="100"/>
        </w:rPr>
        <w:t> </w:t>
      </w:r>
      <w:r>
        <w:rPr>
          <w:spacing w:val="-2"/>
        </w:rPr>
        <w:t>统等汽车电子市场，设计、研发、生产并销售汽车电子芯片，同时提供高度集成及一体化的软硬件系统解</w:t>
      </w:r>
    </w:p>
    <w:p>
      <w:pPr>
        <w:spacing w:after="0" w:line="408" w:lineRule="auto"/>
        <w:jc w:val="left"/>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206" w:firstLine="0"/>
        <w:jc w:val="both"/>
        <w:rPr>
          <w:rFonts w:ascii="宋体" w:hAnsi="宋体" w:cs="宋体" w:eastAsia="宋体" w:hint="default"/>
        </w:rPr>
      </w:pPr>
      <w:r>
        <w:rPr/>
        <w:t>决方案。其中，主要芯片产品包括</w:t>
      </w:r>
      <w:r>
        <w:rPr>
          <w:spacing w:val="-54"/>
        </w:rPr>
        <w:t> </w:t>
      </w:r>
      <w:r>
        <w:rPr>
          <w:rFonts w:ascii="宋体" w:hAnsi="宋体" w:cs="宋体" w:eastAsia="宋体" w:hint="default"/>
        </w:rPr>
        <w:t>IVI</w:t>
      </w:r>
      <w:r>
        <w:rPr>
          <w:rFonts w:ascii="宋体" w:hAnsi="宋体" w:cs="宋体" w:eastAsia="宋体" w:hint="default"/>
          <w:spacing w:val="-55"/>
        </w:rPr>
        <w:t> </w:t>
      </w:r>
      <w:r>
        <w:rPr/>
        <w:t>车载信息娱乐系统芯片、</w:t>
      </w:r>
      <w:r>
        <w:rPr>
          <w:rFonts w:ascii="宋体" w:hAnsi="宋体" w:cs="宋体" w:eastAsia="宋体" w:hint="default"/>
        </w:rPr>
        <w:t>AMP</w:t>
      </w:r>
      <w:r>
        <w:rPr>
          <w:rFonts w:ascii="宋体" w:hAnsi="宋体" w:cs="宋体" w:eastAsia="宋体" w:hint="default"/>
          <w:spacing w:val="-55"/>
        </w:rPr>
        <w:t> </w:t>
      </w:r>
      <w:r>
        <w:rPr/>
        <w:t>车载功率电子芯片，同时正在开发新</w:t>
      </w:r>
      <w:r>
        <w:rPr>
          <w:w w:val="100"/>
        </w:rPr>
        <w:t> </w:t>
      </w:r>
      <w:r>
        <w:rPr/>
        <w:t>的芯片如 </w:t>
      </w:r>
      <w:r>
        <w:rPr>
          <w:rFonts w:ascii="宋体" w:hAnsi="宋体" w:cs="宋体" w:eastAsia="宋体" w:hint="default"/>
        </w:rPr>
      </w:r>
      <w:r>
        <w:rPr>
          <w:rFonts w:ascii="宋体" w:hAnsi="宋体" w:cs="宋体" w:eastAsia="宋体" w:hint="default"/>
          <w:spacing w:val="-3"/>
        </w:rPr>
        <w:t>MCU(BCM</w:t>
      </w:r>
      <w:r>
        <w:rPr>
          <w:spacing w:val="-3"/>
        </w:rPr>
        <w:t>）车身控制芯片、</w:t>
      </w:r>
      <w:r>
        <w:rPr>
          <w:rFonts w:ascii="宋体" w:hAnsi="宋体" w:cs="宋体" w:eastAsia="宋体" w:hint="default"/>
          <w:spacing w:val="-3"/>
        </w:rPr>
        <w:t>TPMS </w:t>
      </w:r>
      <w:r>
        <w:rPr>
          <w:spacing w:val="-3"/>
        </w:rPr>
        <w:t>胎压监测芯片等，打破国外行业巨头的垄断，并为自动驾驶软硬</w:t>
      </w:r>
      <w:r>
        <w:rPr>
          <w:spacing w:val="-97"/>
        </w:rPr>
        <w:t> </w:t>
      </w:r>
      <w:r>
        <w:rPr>
          <w:spacing w:val="-97"/>
        </w:rPr>
      </w:r>
      <w:r>
        <w:rPr/>
        <w:t>件一体化解决方案落地奠定基础。</w:t>
      </w:r>
      <w:r>
        <w:rPr>
          <w:rFonts w:ascii="宋体" w:hAnsi="宋体" w:cs="宋体" w:eastAsia="宋体" w:hint="default"/>
        </w:rPr>
        <w:t> </w:t>
      </w:r>
    </w:p>
    <w:p>
      <w:pPr>
        <w:spacing w:line="240" w:lineRule="auto" w:before="12"/>
        <w:rPr>
          <w:rFonts w:ascii="宋体" w:hAnsi="宋体" w:cs="宋体" w:eastAsia="宋体" w:hint="default"/>
          <w:sz w:val="6"/>
          <w:szCs w:val="6"/>
        </w:rPr>
      </w:pPr>
    </w:p>
    <w:p>
      <w:pPr>
        <w:spacing w:line="5790" w:lineRule="exact"/>
        <w:ind w:left="514" w:right="0" w:firstLine="0"/>
        <w:rPr>
          <w:rFonts w:ascii="宋体" w:hAnsi="宋体" w:cs="宋体" w:eastAsia="宋体" w:hint="default"/>
          <w:sz w:val="20"/>
          <w:szCs w:val="20"/>
        </w:rPr>
      </w:pPr>
      <w:r>
        <w:rPr>
          <w:rFonts w:ascii="宋体" w:hAnsi="宋体" w:cs="宋体" w:eastAsia="宋体" w:hint="default"/>
          <w:position w:val="-115"/>
          <w:sz w:val="20"/>
          <w:szCs w:val="20"/>
        </w:rPr>
        <w:drawing>
          <wp:inline distT="0" distB="0" distL="0" distR="0">
            <wp:extent cx="5819775" cy="3676650"/>
            <wp:effectExtent l="0" t="0" r="0" b="0"/>
            <wp:docPr id="11" name="image6.jpeg" descr=""/>
            <wp:cNvGraphicFramePr>
              <a:graphicFrameLocks noChangeAspect="1"/>
            </wp:cNvGraphicFramePr>
            <a:graphic>
              <a:graphicData uri="http://schemas.openxmlformats.org/drawingml/2006/picture">
                <pic:pic>
                  <pic:nvPicPr>
                    <pic:cNvPr id="12" name="image6.jpeg"/>
                    <pic:cNvPicPr/>
                  </pic:nvPicPr>
                  <pic:blipFill>
                    <a:blip r:embed="rId19" cstate="print"/>
                    <a:stretch>
                      <a:fillRect/>
                    </a:stretch>
                  </pic:blipFill>
                  <pic:spPr>
                    <a:xfrm>
                      <a:off x="0" y="0"/>
                      <a:ext cx="5819775" cy="3676650"/>
                    </a:xfrm>
                    <a:prstGeom prst="rect">
                      <a:avLst/>
                    </a:prstGeom>
                  </pic:spPr>
                </pic:pic>
              </a:graphicData>
            </a:graphic>
          </wp:inline>
        </w:drawing>
      </w:r>
      <w:r>
        <w:rPr>
          <w:rFonts w:ascii="宋体" w:hAnsi="宋体" w:cs="宋体" w:eastAsia="宋体" w:hint="default"/>
          <w:position w:val="-115"/>
          <w:sz w:val="20"/>
          <w:szCs w:val="20"/>
        </w:rPr>
      </w:r>
    </w:p>
    <w:p>
      <w:pPr>
        <w:pStyle w:val="Heading6"/>
        <w:spacing w:line="410" w:lineRule="auto" w:before="149"/>
        <w:ind w:left="575" w:right="100" w:firstLine="3871"/>
        <w:jc w:val="left"/>
      </w:pPr>
      <w:r>
        <w:rPr>
          <w:rFonts w:ascii="华文中宋" w:hAnsi="华文中宋" w:cs="华文中宋" w:eastAsia="华文中宋" w:hint="default"/>
        </w:rPr>
        <w:t>芯片产品及服务</w:t>
      </w:r>
      <w:r>
        <w:rPr>
          <w:rFonts w:ascii="宋体" w:hAnsi="宋体" w:cs="宋体" w:eastAsia="宋体" w:hint="default"/>
          <w:w w:val="100"/>
        </w:rPr>
        <w:t> </w:t>
      </w:r>
      <w:r>
        <w:rPr>
          <w:rFonts w:ascii="宋体" w:hAnsi="宋体" w:cs="宋体" w:eastAsia="宋体" w:hint="default"/>
          <w:b/>
          <w:bCs/>
        </w:rPr>
        <w:t>自动驾驶业务</w:t>
      </w:r>
      <w:r>
        <w:rPr/>
        <w:t>：主要包括高精度地图、高精度定位、</w:t>
      </w:r>
      <w:r>
        <w:rPr>
          <w:rFonts w:ascii="宋体" w:hAnsi="宋体" w:cs="宋体" w:eastAsia="宋体" w:hint="default"/>
        </w:rPr>
        <w:t>ADAS</w:t>
      </w:r>
      <w:r>
        <w:rPr>
          <w:rFonts w:ascii="宋体" w:hAnsi="宋体" w:cs="宋体" w:eastAsia="宋体" w:hint="default"/>
          <w:spacing w:val="-39"/>
        </w:rPr>
        <w:t> </w:t>
      </w:r>
      <w:r>
        <w:rPr/>
        <w:t>解决方案及包括自动驾驶相关数据、芯片、</w:t>
      </w:r>
    </w:p>
    <w:p>
      <w:pPr>
        <w:pStyle w:val="Heading6"/>
        <w:spacing w:line="408" w:lineRule="auto" w:before="44"/>
        <w:ind w:right="0" w:firstLine="0"/>
        <w:jc w:val="left"/>
        <w:rPr>
          <w:rFonts w:ascii="宋体" w:hAnsi="宋体" w:cs="宋体" w:eastAsia="宋体" w:hint="default"/>
        </w:rPr>
      </w:pPr>
      <w:r>
        <w:rPr>
          <w:spacing w:val="-2"/>
        </w:rPr>
        <w:t>算法在内的整体解决方案及相关前沿技术研发。其中，高精度坡度、高精度曲率、高精度航向等丰富属性</w:t>
      </w:r>
      <w:r>
        <w:rPr>
          <w:spacing w:val="-47"/>
        </w:rPr>
        <w:t> </w:t>
      </w:r>
      <w:r>
        <w:rPr>
          <w:spacing w:val="-47"/>
        </w:rPr>
      </w:r>
      <w:r>
        <w:rPr/>
        <w:t>可以实现或增强</w:t>
      </w:r>
      <w:r>
        <w:rPr>
          <w:spacing w:val="-56"/>
        </w:rPr>
        <w:t> </w:t>
      </w:r>
      <w:r>
        <w:rPr>
          <w:rFonts w:ascii="宋体" w:hAnsi="宋体" w:cs="宋体" w:eastAsia="宋体" w:hint="default"/>
        </w:rPr>
        <w:t>ADAS</w:t>
      </w:r>
      <w:r>
        <w:rPr>
          <w:rFonts w:ascii="宋体" w:hAnsi="宋体" w:cs="宋体" w:eastAsia="宋体" w:hint="default"/>
          <w:spacing w:val="-56"/>
        </w:rPr>
        <w:t> </w:t>
      </w:r>
      <w:r>
        <w:rPr/>
        <w:t>功能，精确道路几何、复杂车道模型、环境基础信息等对于自动驾驶车辆实现高精</w:t>
      </w:r>
      <w:r>
        <w:rPr>
          <w:w w:val="100"/>
        </w:rPr>
        <w:t> </w:t>
      </w:r>
      <w:r>
        <w:rPr>
          <w:spacing w:val="-2"/>
        </w:rPr>
        <w:t>度定位、车道级路径规划、车辆控制等功能不可或缺。与多源大数据实现云端动态融合、编译及分发的自</w:t>
      </w:r>
      <w:r>
        <w:rPr>
          <w:spacing w:val="-50"/>
        </w:rPr>
        <w:t> </w:t>
      </w:r>
      <w:r>
        <w:rPr>
          <w:spacing w:val="-50"/>
        </w:rPr>
      </w:r>
      <w:r>
        <w:rPr/>
        <w:t>动驾驶服务体系已经具备提供端到端一体化解决方案的服务能力。</w:t>
      </w:r>
      <w:r>
        <w:rPr>
          <w:rFonts w:ascii="宋体" w:hAnsi="宋体" w:cs="宋体" w:eastAsia="宋体" w:hint="default"/>
        </w:rPr>
        <w:t> </w:t>
      </w:r>
    </w:p>
    <w:p>
      <w:pPr>
        <w:spacing w:line="240" w:lineRule="auto" w:before="1"/>
        <w:rPr>
          <w:rFonts w:ascii="宋体" w:hAnsi="宋体" w:cs="宋体" w:eastAsia="宋体" w:hint="default"/>
          <w:sz w:val="3"/>
          <w:szCs w:val="3"/>
        </w:rPr>
      </w:pPr>
    </w:p>
    <w:p>
      <w:pPr>
        <w:spacing w:line="2947" w:lineRule="exact"/>
        <w:ind w:left="1403" w:right="0" w:firstLine="0"/>
        <w:rPr>
          <w:rFonts w:ascii="宋体" w:hAnsi="宋体" w:cs="宋体" w:eastAsia="宋体" w:hint="default"/>
          <w:sz w:val="20"/>
          <w:szCs w:val="20"/>
        </w:rPr>
      </w:pPr>
      <w:r>
        <w:rPr>
          <w:rFonts w:ascii="宋体" w:hAnsi="宋体" w:cs="宋体" w:eastAsia="宋体" w:hint="default"/>
          <w:position w:val="-58"/>
          <w:sz w:val="20"/>
          <w:szCs w:val="20"/>
        </w:rPr>
        <w:drawing>
          <wp:inline distT="0" distB="0" distL="0" distR="0">
            <wp:extent cx="4730404" cy="1871472"/>
            <wp:effectExtent l="0" t="0" r="0" b="0"/>
            <wp:docPr id="13" name="image7.jpeg" descr=""/>
            <wp:cNvGraphicFramePr>
              <a:graphicFrameLocks noChangeAspect="1"/>
            </wp:cNvGraphicFramePr>
            <a:graphic>
              <a:graphicData uri="http://schemas.openxmlformats.org/drawingml/2006/picture">
                <pic:pic>
                  <pic:nvPicPr>
                    <pic:cNvPr id="14" name="image7.jpeg"/>
                    <pic:cNvPicPr/>
                  </pic:nvPicPr>
                  <pic:blipFill>
                    <a:blip r:embed="rId20" cstate="print"/>
                    <a:stretch>
                      <a:fillRect/>
                    </a:stretch>
                  </pic:blipFill>
                  <pic:spPr>
                    <a:xfrm>
                      <a:off x="0" y="0"/>
                      <a:ext cx="4730404" cy="1871472"/>
                    </a:xfrm>
                    <a:prstGeom prst="rect">
                      <a:avLst/>
                    </a:prstGeom>
                  </pic:spPr>
                </pic:pic>
              </a:graphicData>
            </a:graphic>
          </wp:inline>
        </w:drawing>
      </w:r>
      <w:r>
        <w:rPr>
          <w:rFonts w:ascii="宋体" w:hAnsi="宋体" w:cs="宋体" w:eastAsia="宋体" w:hint="default"/>
          <w:position w:val="-58"/>
          <w:sz w:val="20"/>
          <w:szCs w:val="20"/>
        </w:rPr>
      </w:r>
    </w:p>
    <w:p>
      <w:pPr>
        <w:spacing w:after="0" w:line="2947" w:lineRule="exact"/>
        <w:rPr>
          <w:rFonts w:ascii="宋体" w:hAnsi="宋体" w:cs="宋体" w:eastAsia="宋体" w:hint="default"/>
          <w:sz w:val="20"/>
          <w:szCs w:val="20"/>
        </w:rPr>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p>
      <w:pPr>
        <w:spacing w:line="4202" w:lineRule="exact"/>
        <w:ind w:left="1673" w:right="0" w:firstLine="0"/>
        <w:rPr>
          <w:rFonts w:ascii="宋体" w:hAnsi="宋体" w:cs="宋体" w:eastAsia="宋体" w:hint="default"/>
          <w:sz w:val="20"/>
          <w:szCs w:val="20"/>
        </w:rPr>
      </w:pPr>
      <w:r>
        <w:rPr>
          <w:rFonts w:ascii="宋体" w:hAnsi="宋体" w:cs="宋体" w:eastAsia="宋体" w:hint="default"/>
          <w:position w:val="-83"/>
          <w:sz w:val="20"/>
          <w:szCs w:val="20"/>
        </w:rPr>
        <w:drawing>
          <wp:inline distT="0" distB="0" distL="0" distR="0">
            <wp:extent cx="4460247" cy="2668524"/>
            <wp:effectExtent l="0" t="0" r="0" b="0"/>
            <wp:docPr id="15" name="image8.jpeg" descr=""/>
            <wp:cNvGraphicFramePr>
              <a:graphicFrameLocks noChangeAspect="1"/>
            </wp:cNvGraphicFramePr>
            <a:graphic>
              <a:graphicData uri="http://schemas.openxmlformats.org/drawingml/2006/picture">
                <pic:pic>
                  <pic:nvPicPr>
                    <pic:cNvPr id="16" name="image8.jpeg"/>
                    <pic:cNvPicPr/>
                  </pic:nvPicPr>
                  <pic:blipFill>
                    <a:blip r:embed="rId21" cstate="print"/>
                    <a:stretch>
                      <a:fillRect/>
                    </a:stretch>
                  </pic:blipFill>
                  <pic:spPr>
                    <a:xfrm>
                      <a:off x="0" y="0"/>
                      <a:ext cx="4460247" cy="2668524"/>
                    </a:xfrm>
                    <a:prstGeom prst="rect">
                      <a:avLst/>
                    </a:prstGeom>
                  </pic:spPr>
                </pic:pic>
              </a:graphicData>
            </a:graphic>
          </wp:inline>
        </w:drawing>
      </w:r>
      <w:r>
        <w:rPr>
          <w:rFonts w:ascii="宋体" w:hAnsi="宋体" w:cs="宋体" w:eastAsia="宋体" w:hint="default"/>
          <w:position w:val="-83"/>
          <w:sz w:val="20"/>
          <w:szCs w:val="20"/>
        </w:rPr>
      </w:r>
    </w:p>
    <w:p>
      <w:pPr>
        <w:spacing w:line="240" w:lineRule="auto" w:before="10"/>
        <w:rPr>
          <w:rFonts w:ascii="宋体" w:hAnsi="宋体" w:cs="宋体" w:eastAsia="宋体" w:hint="default"/>
          <w:sz w:val="9"/>
          <w:szCs w:val="9"/>
        </w:rPr>
      </w:pPr>
    </w:p>
    <w:p>
      <w:pPr>
        <w:pStyle w:val="Heading6"/>
        <w:spacing w:line="308" w:lineRule="exact" w:before="0"/>
        <w:ind w:left="495" w:right="495" w:firstLine="0"/>
        <w:jc w:val="center"/>
        <w:rPr>
          <w:rFonts w:ascii="华文中宋" w:hAnsi="华文中宋" w:cs="华文中宋" w:eastAsia="华文中宋" w:hint="default"/>
        </w:rPr>
      </w:pPr>
      <w:r>
        <w:rPr>
          <w:rFonts w:ascii="华文中宋" w:hAnsi="华文中宋" w:cs="华文中宋" w:eastAsia="华文中宋" w:hint="default"/>
        </w:rPr>
        <w:t>高精度地图数据及服务</w:t>
      </w:r>
    </w:p>
    <w:p>
      <w:pPr>
        <w:spacing w:line="240" w:lineRule="auto" w:before="13"/>
        <w:rPr>
          <w:rFonts w:ascii="华文中宋" w:hAnsi="华文中宋" w:cs="华文中宋" w:eastAsia="华文中宋" w:hint="default"/>
          <w:sz w:val="14"/>
          <w:szCs w:val="14"/>
        </w:rPr>
      </w:pPr>
    </w:p>
    <w:p>
      <w:pPr>
        <w:pStyle w:val="Heading6"/>
        <w:spacing w:line="408" w:lineRule="auto" w:before="0"/>
        <w:ind w:right="0" w:firstLine="422"/>
        <w:jc w:val="left"/>
        <w:rPr>
          <w:rFonts w:ascii="宋体" w:hAnsi="宋体" w:cs="宋体" w:eastAsia="宋体" w:hint="default"/>
        </w:rPr>
      </w:pPr>
      <w:r>
        <w:rPr>
          <w:rFonts w:ascii="宋体" w:hAnsi="宋体" w:cs="宋体" w:eastAsia="宋体" w:hint="default"/>
          <w:b/>
          <w:bCs/>
          <w:spacing w:val="-2"/>
        </w:rPr>
        <w:t>位置大数据服务</w:t>
      </w:r>
      <w:r>
        <w:rPr>
          <w:spacing w:val="-2"/>
        </w:rPr>
        <w:t>：主要为基于丰富海量交通出行大数据仓库、位置云服务平台及大数据生态系统，搭</w:t>
      </w:r>
      <w:r>
        <w:rPr>
          <w:w w:val="100"/>
        </w:rPr>
        <w:t> </w:t>
      </w:r>
      <w:r>
        <w:rPr/>
        <w:t>建集团级数据蜂巢系统，用最小的成本存储、定制、使用、交叉引用以及范式管理位置数据，形成</w:t>
      </w:r>
      <w:r>
        <w:rPr>
          <w:spacing w:val="-55"/>
        </w:rPr>
        <w:t> </w:t>
      </w:r>
      <w:r>
        <w:rPr>
          <w:rFonts w:ascii="宋体" w:hAnsi="宋体" w:cs="宋体" w:eastAsia="宋体" w:hint="default"/>
        </w:rPr>
        <w:t>SaaS</w:t>
      </w:r>
      <w:r>
        <w:rPr>
          <w:rFonts w:ascii="宋体" w:hAnsi="宋体" w:cs="宋体" w:eastAsia="宋体" w:hint="default"/>
          <w:w w:val="100"/>
        </w:rPr>
        <w:t> </w:t>
      </w:r>
      <w:r>
        <w:rPr>
          <w:spacing w:val="-2"/>
        </w:rPr>
        <w:t>平台输出能力，并面向政府机关、交警、公安、保险、互联网、运营商、物流、交通、气象等政企及行业</w:t>
      </w:r>
      <w:r>
        <w:rPr>
          <w:spacing w:val="-46"/>
        </w:rPr>
        <w:t> </w:t>
      </w:r>
      <w:r>
        <w:rPr>
          <w:spacing w:val="-46"/>
        </w:rPr>
      </w:r>
      <w:r>
        <w:rPr>
          <w:spacing w:val="-2"/>
        </w:rPr>
        <w:t>用户，提供电子地图服务、位置大数据分析研判及可视化处理、行业应用解决方案等，帮助用户获得位置</w:t>
      </w:r>
      <w:r>
        <w:rPr>
          <w:spacing w:val="-50"/>
        </w:rPr>
        <w:t> </w:t>
      </w:r>
      <w:r>
        <w:rPr>
          <w:spacing w:val="-50"/>
        </w:rPr>
      </w:r>
      <w:r>
        <w:rPr/>
        <w:t>大数据能力加成。</w:t>
      </w:r>
      <w:r>
        <w:rPr>
          <w:rFonts w:ascii="宋体" w:hAnsi="宋体" w:cs="宋体" w:eastAsia="宋体" w:hint="default"/>
        </w:rPr>
        <w:t> </w:t>
      </w:r>
    </w:p>
    <w:p>
      <w:pPr>
        <w:spacing w:line="240" w:lineRule="auto" w:before="5"/>
        <w:rPr>
          <w:rFonts w:ascii="宋体" w:hAnsi="宋体" w:cs="宋体" w:eastAsia="宋体" w:hint="default"/>
          <w:sz w:val="11"/>
          <w:szCs w:val="11"/>
        </w:rPr>
      </w:pPr>
    </w:p>
    <w:p>
      <w:pPr>
        <w:spacing w:line="4108" w:lineRule="exact"/>
        <w:ind w:left="653" w:right="0" w:firstLine="0"/>
        <w:rPr>
          <w:rFonts w:ascii="宋体" w:hAnsi="宋体" w:cs="宋体" w:eastAsia="宋体" w:hint="default"/>
          <w:sz w:val="20"/>
          <w:szCs w:val="20"/>
        </w:rPr>
      </w:pPr>
      <w:r>
        <w:rPr>
          <w:rFonts w:ascii="宋体" w:hAnsi="宋体" w:cs="宋体" w:eastAsia="宋体" w:hint="default"/>
          <w:position w:val="-81"/>
          <w:sz w:val="20"/>
          <w:szCs w:val="20"/>
        </w:rPr>
        <w:drawing>
          <wp:inline distT="0" distB="0" distL="0" distR="0">
            <wp:extent cx="5750580" cy="2608707"/>
            <wp:effectExtent l="0" t="0" r="0" b="0"/>
            <wp:docPr id="17" name="image9.jpeg" descr=""/>
            <wp:cNvGraphicFramePr>
              <a:graphicFrameLocks noChangeAspect="1"/>
            </wp:cNvGraphicFramePr>
            <a:graphic>
              <a:graphicData uri="http://schemas.openxmlformats.org/drawingml/2006/picture">
                <pic:pic>
                  <pic:nvPicPr>
                    <pic:cNvPr id="18" name="image9.jpeg"/>
                    <pic:cNvPicPr/>
                  </pic:nvPicPr>
                  <pic:blipFill>
                    <a:blip r:embed="rId22" cstate="print"/>
                    <a:stretch>
                      <a:fillRect/>
                    </a:stretch>
                  </pic:blipFill>
                  <pic:spPr>
                    <a:xfrm>
                      <a:off x="0" y="0"/>
                      <a:ext cx="5750580" cy="2608707"/>
                    </a:xfrm>
                    <a:prstGeom prst="rect">
                      <a:avLst/>
                    </a:prstGeom>
                  </pic:spPr>
                </pic:pic>
              </a:graphicData>
            </a:graphic>
          </wp:inline>
        </w:drawing>
      </w:r>
      <w:r>
        <w:rPr>
          <w:rFonts w:ascii="宋体" w:hAnsi="宋体" w:cs="宋体" w:eastAsia="宋体" w:hint="default"/>
          <w:position w:val="-81"/>
          <w:sz w:val="20"/>
          <w:szCs w:val="20"/>
        </w:rPr>
      </w:r>
    </w:p>
    <w:p>
      <w:pPr>
        <w:pStyle w:val="Heading6"/>
        <w:spacing w:line="240" w:lineRule="auto" w:before="172"/>
        <w:ind w:left="495" w:right="495" w:firstLine="0"/>
        <w:jc w:val="center"/>
        <w:rPr>
          <w:rFonts w:ascii="华文中宋" w:hAnsi="华文中宋" w:cs="华文中宋" w:eastAsia="华文中宋" w:hint="default"/>
        </w:rPr>
      </w:pPr>
      <w:r>
        <w:rPr>
          <w:rFonts w:ascii="华文中宋" w:hAnsi="华文中宋" w:cs="华文中宋" w:eastAsia="华文中宋" w:hint="default"/>
        </w:rPr>
        <w:t>基于 </w:t>
      </w:r>
      <w:r>
        <w:rPr>
          <w:rFonts w:ascii="华文中宋" w:hAnsi="华文中宋" w:cs="华文中宋" w:eastAsia="华文中宋" w:hint="default"/>
        </w:rPr>
        <w:t>SaaS</w:t>
      </w:r>
      <w:r>
        <w:rPr>
          <w:rFonts w:ascii="华文中宋" w:hAnsi="华文中宋" w:cs="华文中宋" w:eastAsia="华文中宋" w:hint="default"/>
          <w:spacing w:val="-30"/>
        </w:rPr>
        <w:t> </w:t>
      </w:r>
      <w:r>
        <w:rPr>
          <w:rFonts w:ascii="华文中宋" w:hAnsi="华文中宋" w:cs="华文中宋" w:eastAsia="华文中宋" w:hint="default"/>
        </w:rPr>
        <w:t>平台的行业应用及定制化解决方案</w:t>
      </w:r>
    </w:p>
    <w:p>
      <w:pPr>
        <w:spacing w:line="240" w:lineRule="auto" w:before="9"/>
        <w:rPr>
          <w:rFonts w:ascii="华文中宋" w:hAnsi="华文中宋" w:cs="华文中宋" w:eastAsia="华文中宋" w:hint="default"/>
          <w:sz w:val="22"/>
          <w:szCs w:val="22"/>
        </w:rPr>
      </w:pPr>
    </w:p>
    <w:p>
      <w:pPr>
        <w:pStyle w:val="Heading5"/>
        <w:spacing w:line="408" w:lineRule="auto"/>
        <w:ind w:left="575" w:right="5494"/>
        <w:jc w:val="left"/>
        <w:rPr>
          <w:rFonts w:ascii="宋体" w:hAnsi="宋体" w:cs="宋体" w:eastAsia="宋体" w:hint="default"/>
          <w:b w:val="0"/>
          <w:bCs w:val="0"/>
        </w:rPr>
      </w:pPr>
      <w:r>
        <w:rPr/>
        <w:t>（二）公司所属主要行业概况及行业地位</w:t>
      </w:r>
      <w:r>
        <w:rPr>
          <w:rFonts w:ascii="宋体" w:hAnsi="宋体" w:cs="宋体" w:eastAsia="宋体" w:hint="default"/>
          <w:w w:val="99"/>
        </w:rPr>
        <w:t> </w:t>
      </w:r>
      <w:r>
        <w:rPr>
          <w:rFonts w:ascii="宋体" w:hAnsi="宋体" w:cs="宋体" w:eastAsia="宋体" w:hint="default"/>
        </w:rPr>
        <w:t>1</w:t>
      </w:r>
      <w:r>
        <w:rPr/>
        <w:t>、导航电子地图行业</w:t>
      </w:r>
      <w:r>
        <w:rPr>
          <w:rFonts w:ascii="宋体" w:hAnsi="宋体" w:cs="宋体" w:eastAsia="宋体" w:hint="default"/>
          <w:w w:val="99"/>
        </w:rPr>
        <w:t> </w:t>
      </w:r>
      <w:r>
        <w:rPr>
          <w:rFonts w:ascii="宋体" w:hAnsi="宋体" w:cs="宋体" w:eastAsia="宋体" w:hint="default"/>
          <w:b w:val="0"/>
          <w:bCs w:val="0"/>
        </w:rPr>
      </w:r>
    </w:p>
    <w:p>
      <w:pPr>
        <w:spacing w:after="0" w:line="408" w:lineRule="auto"/>
        <w:jc w:val="left"/>
        <w:rPr>
          <w:rFonts w:ascii="宋体" w:hAnsi="宋体" w:cs="宋体" w:eastAsia="宋体" w:hint="default"/>
        </w:rPr>
        <w:sectPr>
          <w:pgSz w:w="11910" w:h="16840"/>
          <w:pgMar w:header="745" w:footer="979" w:top="1060" w:bottom="1160" w:left="980" w:right="980"/>
        </w:sectPr>
      </w:pPr>
    </w:p>
    <w:p>
      <w:pPr>
        <w:spacing w:line="240" w:lineRule="auto" w:before="0"/>
        <w:rPr>
          <w:rFonts w:ascii="宋体" w:hAnsi="宋体" w:cs="宋体" w:eastAsia="宋体" w:hint="default"/>
          <w:b/>
          <w:bCs/>
          <w:sz w:val="20"/>
          <w:szCs w:val="20"/>
        </w:rPr>
      </w:pPr>
    </w:p>
    <w:p>
      <w:pPr>
        <w:pStyle w:val="Heading6"/>
        <w:spacing w:line="408" w:lineRule="auto" w:before="176"/>
        <w:ind w:right="0"/>
        <w:jc w:val="left"/>
        <w:rPr>
          <w:rFonts w:ascii="宋体" w:hAnsi="宋体" w:cs="宋体" w:eastAsia="宋体" w:hint="default"/>
        </w:rPr>
      </w:pPr>
      <w:r>
        <w:rPr>
          <w:spacing w:val="-2"/>
        </w:rPr>
        <w:t>随着新一代信息通信技术以及万物互联时代的到来，自动驾驶、智慧城市、新能源等新兴行业蓬勃发</w:t>
      </w:r>
      <w:r>
        <w:rPr>
          <w:w w:val="100"/>
        </w:rPr>
        <w:t> </w:t>
      </w:r>
      <w:r>
        <w:rPr>
          <w:spacing w:val="-2"/>
        </w:rPr>
        <w:t>展，共享经济等新一代商业模式快速向各个领域渗透，基于导航电子地图的位置大数据产业边界被不断外</w:t>
      </w:r>
      <w:r>
        <w:rPr>
          <w:spacing w:val="-44"/>
        </w:rPr>
        <w:t> </w:t>
      </w:r>
      <w:r>
        <w:rPr>
          <w:spacing w:val="-44"/>
        </w:rPr>
      </w:r>
      <w:r>
        <w:rPr/>
        <w:t>延，“位置大数据</w:t>
      </w:r>
      <w:r>
        <w:rPr>
          <w:rFonts w:ascii="宋体" w:hAnsi="宋体" w:cs="宋体" w:eastAsia="宋体" w:hint="default"/>
        </w:rPr>
        <w:t>+</w:t>
      </w:r>
      <w:r>
        <w:rPr/>
        <w:t>”的服务及应用模式被广泛应用到国民生活及经济建设的各个领域，导航电子地图市</w:t>
      </w:r>
      <w:r>
        <w:rPr>
          <w:w w:val="100"/>
        </w:rPr>
        <w:t> </w:t>
      </w:r>
      <w:r>
        <w:rPr/>
        <w:t>场规模快速增长。</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伴随产业环境和生态环境的快速变革和更迭，传统导航电子地图行业正在经历巨大变革。生活方式转</w:t>
      </w:r>
      <w:r>
        <w:rPr>
          <w:w w:val="100"/>
        </w:rPr>
        <w:t> </w:t>
      </w:r>
      <w:r>
        <w:rPr>
          <w:spacing w:val="-2"/>
        </w:rPr>
        <w:t>变带动的出行需求持续释放，位置大数据应用场景不断出现，对位置数据及时性、精度、新鲜度、精细化</w:t>
      </w:r>
      <w:r>
        <w:rPr>
          <w:spacing w:val="-43"/>
        </w:rPr>
        <w:t> </w:t>
      </w:r>
      <w:r>
        <w:rPr>
          <w:spacing w:val="-43"/>
        </w:rPr>
      </w:r>
      <w:r>
        <w:rPr>
          <w:spacing w:val="-2"/>
        </w:rPr>
        <w:t>程度，以及导航产品、服务能力提出更高要求。人工智能、生物技术等新兴技术向传统行业渗透，敦促生</w:t>
      </w:r>
      <w:r>
        <w:rPr>
          <w:spacing w:val="-43"/>
        </w:rPr>
        <w:t> </w:t>
      </w:r>
      <w:r>
        <w:rPr>
          <w:spacing w:val="-43"/>
        </w:rPr>
      </w:r>
      <w:r>
        <w:rPr>
          <w:spacing w:val="-2"/>
        </w:rPr>
        <w:t>产方式不断创新升级。导航电子地图在位置大数据领域的战略地位日益突显，具有面向未来自动驾驶应用</w:t>
      </w:r>
      <w:r>
        <w:rPr>
          <w:spacing w:val="-44"/>
        </w:rPr>
        <w:t> </w:t>
      </w:r>
      <w:r>
        <w:rPr>
          <w:spacing w:val="-44"/>
        </w:rPr>
      </w:r>
      <w:r>
        <w:rPr/>
        <w:t>场景的电子地图资源积累及生产能力的企业正在被作为产业稀缺资源，成为产业巨头争夺的焦点。</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公司在连续十多年深耕行业的基础上，不断加大导航电子地图数据和导航服务的创新力度。在平台型</w:t>
      </w:r>
      <w:r>
        <w:rPr>
          <w:w w:val="100"/>
        </w:rPr>
        <w:t> </w:t>
      </w:r>
      <w:r>
        <w:rPr>
          <w:spacing w:val="-2"/>
        </w:rPr>
        <w:t>基础设施建设和底层架构驱动领域不断加大投入，基于深度学习、人工智能等新兴技术，积极打造可面向</w:t>
      </w:r>
      <w:r>
        <w:rPr>
          <w:spacing w:val="-43"/>
        </w:rPr>
        <w:t> </w:t>
      </w:r>
      <w:r>
        <w:rPr>
          <w:spacing w:val="-43"/>
        </w:rPr>
      </w:r>
      <w:r>
        <w:rPr/>
        <w:t>未来的生产及服务体系，提升地图数据的丰富性、高鲜度和高精度的同时，大幅降低了数据采集、加工、</w:t>
      </w:r>
      <w:r>
        <w:rPr>
          <w:spacing w:val="-31"/>
        </w:rPr>
        <w:t> </w:t>
      </w:r>
      <w:r>
        <w:rPr>
          <w:spacing w:val="-31"/>
        </w:rPr>
      </w:r>
      <w:r>
        <w:rPr>
          <w:spacing w:val="-2"/>
        </w:rPr>
        <w:t>制作、验证、发布等全研发产业链的成本，提高工效。针对不同细分市场和不同类型用户群体的需求，进</w:t>
      </w:r>
      <w:r>
        <w:rPr>
          <w:spacing w:val="-42"/>
        </w:rPr>
        <w:t> </w:t>
      </w:r>
      <w:r>
        <w:rPr>
          <w:spacing w:val="-42"/>
        </w:rPr>
      </w:r>
      <w:r>
        <w:rPr>
          <w:spacing w:val="-2"/>
        </w:rPr>
        <w:t>行定制化产品及解决方案的设计开发；面向新兴市场需求，不断进行产品及服务创新，为旅游景区等提供</w:t>
      </w:r>
      <w:r>
        <w:rPr>
          <w:spacing w:val="-43"/>
        </w:rPr>
        <w:t> </w:t>
      </w:r>
      <w:r>
        <w:rPr>
          <w:spacing w:val="-43"/>
        </w:rPr>
      </w:r>
      <w:r>
        <w:rPr/>
        <w:t>精细化地图产品及服务，为了更好的满足自动驾驶市场和新能源汽车市场诉求，研发</w:t>
      </w:r>
      <w:r>
        <w:rPr>
          <w:spacing w:val="-54"/>
        </w:rPr>
        <w:t> </w:t>
      </w:r>
      <w:r>
        <w:rPr>
          <w:rFonts w:ascii="宋体" w:hAnsi="宋体" w:cs="宋体" w:eastAsia="宋体" w:hint="default"/>
        </w:rPr>
        <w:t>ADAS</w:t>
      </w:r>
      <w:r>
        <w:rPr>
          <w:rFonts w:ascii="宋体" w:hAnsi="宋体" w:cs="宋体" w:eastAsia="宋体" w:hint="default"/>
          <w:spacing w:val="-56"/>
        </w:rPr>
        <w:t> </w:t>
      </w:r>
      <w:r>
        <w:rPr/>
        <w:t>地图、电动汽</w:t>
      </w:r>
      <w:r>
        <w:rPr>
          <w:w w:val="100"/>
        </w:rPr>
        <w:t> </w:t>
      </w:r>
      <w:r>
        <w:rPr/>
        <w:t>车充电桩等行业细分产品和服务，在高精度定位和数据精准应用的基础上推出了车道级高精度导航产品。</w:t>
      </w:r>
      <w:r>
        <w:rPr>
          <w:spacing w:val="-31"/>
        </w:rPr>
        <w:t> </w:t>
      </w:r>
      <w:r>
        <w:rPr>
          <w:spacing w:val="-31"/>
        </w:rPr>
      </w:r>
      <w:r>
        <w:rPr>
          <w:spacing w:val="-2"/>
        </w:rPr>
        <w:t>积极部署全球化发展策略，在荷兰、美国硅谷、新加坡等地设立研发中心和分支机构，并基于以位置为核</w:t>
      </w:r>
      <w:r>
        <w:rPr>
          <w:spacing w:val="-44"/>
        </w:rPr>
        <w:t> </w:t>
      </w:r>
      <w:r>
        <w:rPr>
          <w:spacing w:val="-44"/>
        </w:rPr>
      </w:r>
      <w:r>
        <w:rPr>
          <w:spacing w:val="-2"/>
        </w:rPr>
        <w:t>心的地理信息大数据向产业链上下游拓展，打造极具市场竞争优势的可面向未来的产业发展能力。凭借着</w:t>
      </w:r>
      <w:r>
        <w:rPr>
          <w:spacing w:val="-44"/>
        </w:rPr>
        <w:t> </w:t>
      </w:r>
      <w:r>
        <w:rPr>
          <w:spacing w:val="-44"/>
        </w:rPr>
      </w:r>
      <w:r>
        <w:rPr>
          <w:spacing w:val="-2"/>
        </w:rPr>
        <w:t>前瞻性的市场布局、优质的产品品质保证、贴合市场需求的数据产品生产和服务能力，以及不断引领市场</w:t>
      </w:r>
      <w:r>
        <w:rPr>
          <w:spacing w:val="-44"/>
        </w:rPr>
        <w:t> </w:t>
      </w:r>
      <w:r>
        <w:rPr>
          <w:spacing w:val="-44"/>
        </w:rPr>
      </w:r>
      <w:r>
        <w:rPr>
          <w:spacing w:val="-2"/>
        </w:rPr>
        <w:t>的技术创新能力，扎实推进全球化拓展及本土化深耕，公司已连续十多年领航中国前装车载导航市场，并</w:t>
      </w:r>
      <w:r>
        <w:rPr>
          <w:spacing w:val="-43"/>
        </w:rPr>
        <w:t> </w:t>
      </w:r>
      <w:r>
        <w:rPr>
          <w:spacing w:val="-43"/>
        </w:rPr>
      </w:r>
      <w:r>
        <w:rPr>
          <w:spacing w:val="-2"/>
        </w:rPr>
        <w:t>一直是国际主流车厂、新一代整车企业以及腾讯、滴滴、搜狗、华为等国内互联网企业在导航领域共同开</w:t>
      </w:r>
      <w:r>
        <w:rPr>
          <w:spacing w:val="-47"/>
        </w:rPr>
        <w:t> </w:t>
      </w:r>
      <w:r>
        <w:rPr>
          <w:spacing w:val="-47"/>
        </w:rPr>
      </w:r>
      <w:r>
        <w:rPr/>
        <w:t>发和升级高品质产品和服务的重要合作伙伴。</w:t>
      </w:r>
      <w:r>
        <w:rPr>
          <w:rFonts w:ascii="宋体" w:hAnsi="宋体" w:cs="宋体" w:eastAsia="宋体" w:hint="default"/>
        </w:rPr>
        <w:t> </w:t>
      </w:r>
    </w:p>
    <w:p>
      <w:pPr>
        <w:pStyle w:val="Heading6"/>
        <w:spacing w:line="410" w:lineRule="auto"/>
        <w:ind w:left="573" w:right="0" w:firstLine="2"/>
        <w:jc w:val="left"/>
      </w:pPr>
      <w:r>
        <w:rPr>
          <w:rFonts w:ascii="宋体" w:hAnsi="宋体" w:cs="宋体" w:eastAsia="宋体" w:hint="default"/>
          <w:b/>
          <w:bCs/>
        </w:rPr>
        <w:t>2</w:t>
      </w:r>
      <w:r>
        <w:rPr>
          <w:rFonts w:ascii="宋体" w:hAnsi="宋体" w:cs="宋体" w:eastAsia="宋体" w:hint="default"/>
          <w:b/>
          <w:bCs/>
        </w:rPr>
        <w:t>、车联网行业</w:t>
      </w:r>
      <w:r>
        <w:rPr>
          <w:rFonts w:ascii="宋体" w:hAnsi="宋体" w:cs="宋体" w:eastAsia="宋体" w:hint="default"/>
          <w:b/>
          <w:bCs/>
          <w:w w:val="99"/>
        </w:rPr>
        <w:t> </w:t>
      </w:r>
      <w:r>
        <w:rPr>
          <w:spacing w:val="-2"/>
        </w:rPr>
        <w:t>车联网，是指借助新一代信息和通信技术及标准，实现车内、车与车、车与路、车与人、车与服务平</w:t>
      </w:r>
    </w:p>
    <w:p>
      <w:pPr>
        <w:pStyle w:val="Heading6"/>
        <w:spacing w:line="408" w:lineRule="auto" w:before="44"/>
        <w:ind w:left="573" w:right="0" w:hanging="421"/>
        <w:jc w:val="left"/>
      </w:pPr>
      <w:r>
        <w:rPr/>
        <w:t>台的全方位网络连接和数据交互，从而实现车辆控制、动态信息服务和智能化交通管理。</w:t>
      </w:r>
      <w:r>
        <w:rPr>
          <w:rFonts w:ascii="宋体" w:hAnsi="宋体" w:cs="宋体" w:eastAsia="宋体" w:hint="default"/>
          <w:w w:val="100"/>
        </w:rPr>
        <w:t> </w:t>
      </w:r>
      <w:r>
        <w:rPr>
          <w:spacing w:val="-2"/>
        </w:rPr>
        <w:t>伴随全球移动互联技术向传统领域的快速渗透，共享化、联网化、智能化出行理念深入民心，新兴消</w:t>
      </w:r>
    </w:p>
    <w:p>
      <w:pPr>
        <w:pStyle w:val="Heading6"/>
        <w:spacing w:line="408" w:lineRule="auto"/>
        <w:ind w:right="206" w:firstLine="0"/>
        <w:jc w:val="both"/>
      </w:pPr>
      <w:r>
        <w:rPr>
          <w:spacing w:val="-2"/>
        </w:rPr>
        <w:t>费结构及生活方式正在驱动居民出行方式发生巨大变化，新零售等新兴业态的快速发展正在敦促车联网在</w:t>
      </w:r>
      <w:r>
        <w:rPr>
          <w:spacing w:val="-43"/>
        </w:rPr>
        <w:t> </w:t>
      </w:r>
      <w:r>
        <w:rPr>
          <w:spacing w:val="-43"/>
        </w:rPr>
      </w:r>
      <w:r>
        <w:rPr>
          <w:spacing w:val="-2"/>
        </w:rPr>
        <w:t>智慧货运、物流行业、智能交通、综合信息等商业化应用场景落地，全球自动驾驶进程加快对车辆联网技</w:t>
      </w:r>
      <w:r>
        <w:rPr>
          <w:spacing w:val="-47"/>
        </w:rPr>
        <w:t> </w:t>
      </w:r>
      <w:r>
        <w:rPr>
          <w:spacing w:val="-47"/>
        </w:rPr>
      </w:r>
      <w:r>
        <w:rPr>
          <w:spacing w:val="-2"/>
        </w:rPr>
        <w:t>术及性能提出更高要求。车联网产业作为汽车、</w:t>
      </w:r>
      <w:hyperlink r:id="rId23">
        <w:r>
          <w:rPr>
            <w:spacing w:val="-2"/>
          </w:rPr>
          <w:t>电子</w:t>
        </w:r>
      </w:hyperlink>
      <w:r>
        <w:rPr>
          <w:spacing w:val="-2"/>
        </w:rPr>
        <w:t>、信息通信、道路</w:t>
      </w:r>
      <w:hyperlink r:id="rId24">
        <w:r>
          <w:rPr>
            <w:spacing w:val="-2"/>
          </w:rPr>
          <w:t>交通运输</w:t>
        </w:r>
      </w:hyperlink>
      <w:r>
        <w:rPr>
          <w:spacing w:val="-2"/>
        </w:rPr>
        <w:t>等行业深度融合的新型产</w:t>
      </w:r>
      <w:r>
        <w:rPr>
          <w:spacing w:val="-47"/>
        </w:rPr>
        <w:t> </w:t>
      </w:r>
      <w:r>
        <w:rPr>
          <w:spacing w:val="-47"/>
        </w:rPr>
      </w:r>
      <w:r>
        <w:rPr>
          <w:spacing w:val="-2"/>
        </w:rPr>
        <w:t>业，对提升汽车智能化和网联化水平，推动自动驾驶技术创新和应用，提高交通效率和行车安全，改善驾</w:t>
      </w:r>
    </w:p>
    <w:p>
      <w:pPr>
        <w:spacing w:after="0" w:line="408" w:lineRule="auto"/>
        <w:jc w:val="both"/>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326" w:firstLine="0"/>
        <w:jc w:val="both"/>
        <w:rPr>
          <w:rFonts w:ascii="宋体" w:hAnsi="宋体" w:cs="宋体" w:eastAsia="宋体" w:hint="default"/>
        </w:rPr>
      </w:pPr>
      <w:r>
        <w:rPr>
          <w:spacing w:val="-2"/>
        </w:rPr>
        <w:t>乘感受，构建汽车和交通服务新业态等方面具有重要意义，已经成为国内外新一轮科技创新和产业发展的</w:t>
      </w:r>
      <w:r>
        <w:rPr>
          <w:spacing w:val="-44"/>
        </w:rPr>
        <w:t> </w:t>
      </w:r>
      <w:r>
        <w:rPr>
          <w:spacing w:val="-44"/>
        </w:rPr>
      </w:r>
      <w:r>
        <w:rPr>
          <w:spacing w:val="-2"/>
        </w:rPr>
        <w:t>必争之地，吸引了众多国内外车企、互联网巨头以及通讯公司的广泛关注及积极布局，更有大量的创业创</w:t>
      </w:r>
      <w:r>
        <w:rPr>
          <w:spacing w:val="-44"/>
        </w:rPr>
        <w:t> </w:t>
      </w:r>
      <w:r>
        <w:rPr>
          <w:spacing w:val="-44"/>
        </w:rPr>
      </w:r>
      <w:r>
        <w:rPr/>
        <w:t>新企业跻身其中，国家也在积极推动车联网产业规范化发展。</w:t>
      </w:r>
      <w:r>
        <w:rPr>
          <w:rFonts w:ascii="宋体" w:hAnsi="宋体" w:cs="宋体" w:eastAsia="宋体" w:hint="default"/>
        </w:rPr>
        <w:t> </w:t>
      </w:r>
    </w:p>
    <w:p>
      <w:pPr>
        <w:pStyle w:val="Heading6"/>
        <w:spacing w:line="408" w:lineRule="auto"/>
        <w:ind w:right="222"/>
        <w:jc w:val="left"/>
        <w:rPr>
          <w:rFonts w:ascii="宋体" w:hAnsi="宋体" w:cs="宋体" w:eastAsia="宋体" w:hint="default"/>
        </w:rPr>
      </w:pPr>
      <w:r>
        <w:rPr/>
        <w:t>根据中国汽车协会数据显示，</w:t>
      </w:r>
      <w:r>
        <w:rPr>
          <w:rFonts w:ascii="宋体" w:hAnsi="宋体" w:cs="宋体" w:eastAsia="宋体" w:hint="default"/>
        </w:rPr>
        <w:t>2017</w:t>
      </w:r>
      <w:r>
        <w:rPr>
          <w:rFonts w:ascii="宋体" w:hAnsi="宋体" w:cs="宋体" w:eastAsia="宋体" w:hint="default"/>
          <w:spacing w:val="-40"/>
        </w:rPr>
        <w:t> </w:t>
      </w:r>
      <w:r>
        <w:rPr/>
        <w:t>年中国全年累计汽车销售将达到</w:t>
      </w:r>
      <w:r>
        <w:rPr>
          <w:spacing w:val="-31"/>
        </w:rPr>
        <w:t> </w:t>
      </w:r>
      <w:r>
        <w:rPr>
          <w:rFonts w:ascii="宋体" w:hAnsi="宋体" w:cs="宋体" w:eastAsia="宋体" w:hint="default"/>
        </w:rPr>
        <w:t>2887.89</w:t>
      </w:r>
      <w:r>
        <w:rPr>
          <w:rFonts w:ascii="宋体" w:hAnsi="宋体" w:cs="宋体" w:eastAsia="宋体" w:hint="default"/>
          <w:spacing w:val="-35"/>
        </w:rPr>
        <w:t> </w:t>
      </w:r>
      <w:r>
        <w:rPr/>
        <w:t>万辆，同比增长</w:t>
      </w:r>
      <w:r>
        <w:rPr>
          <w:spacing w:val="-32"/>
        </w:rPr>
        <w:t> </w:t>
      </w:r>
      <w:r>
        <w:rPr>
          <w:rFonts w:ascii="宋体" w:hAnsi="宋体" w:cs="宋体" w:eastAsia="宋体" w:hint="default"/>
        </w:rPr>
        <w:t>3.04%</w:t>
      </w:r>
      <w:r>
        <w:rPr/>
        <w:t>；</w:t>
      </w:r>
      <w:r>
        <w:rPr>
          <w:w w:val="100"/>
        </w:rPr>
        <w:t> </w:t>
      </w:r>
      <w:r>
        <w:rPr/>
        <w:t>据公安部交管局统计，汽车保有量为</w:t>
      </w:r>
      <w:r>
        <w:rPr>
          <w:spacing w:val="-54"/>
        </w:rPr>
        <w:t> </w:t>
      </w:r>
      <w:r>
        <w:rPr>
          <w:rFonts w:ascii="宋体" w:hAnsi="宋体" w:cs="宋体" w:eastAsia="宋体" w:hint="default"/>
        </w:rPr>
        <w:t>2.17</w:t>
      </w:r>
      <w:r>
        <w:rPr>
          <w:rFonts w:ascii="宋体" w:hAnsi="宋体" w:cs="宋体" w:eastAsia="宋体" w:hint="default"/>
          <w:spacing w:val="-55"/>
        </w:rPr>
        <w:t> </w:t>
      </w:r>
      <w:r>
        <w:rPr/>
        <w:t>亿辆，同比增长</w:t>
      </w:r>
      <w:r>
        <w:rPr>
          <w:spacing w:val="-55"/>
        </w:rPr>
        <w:t> </w:t>
      </w:r>
      <w:r>
        <w:rPr>
          <w:rFonts w:ascii="宋体" w:hAnsi="宋体" w:cs="宋体" w:eastAsia="宋体" w:hint="default"/>
        </w:rPr>
        <w:t>11.85%</w:t>
      </w:r>
      <w:r>
        <w:rPr/>
        <w:t>。尽管拥有庞大的新车销量及汽车保有</w:t>
      </w:r>
      <w:r>
        <w:rPr>
          <w:w w:val="100"/>
        </w:rPr>
        <w:t> </w:t>
      </w:r>
      <w:r>
        <w:rPr>
          <w:spacing w:val="-2"/>
        </w:rPr>
        <w:t>量基础，但我国汽车联网率还很低。虽然已经积聚众多企业在车联网领域广泛布局，但各路玩家基本各自</w:t>
      </w:r>
      <w:r>
        <w:rPr>
          <w:spacing w:val="-42"/>
        </w:rPr>
        <w:t> </w:t>
      </w:r>
      <w:r>
        <w:rPr>
          <w:spacing w:val="-42"/>
        </w:rPr>
      </w:r>
      <w:r>
        <w:rPr>
          <w:spacing w:val="-2"/>
        </w:rPr>
        <w:t>为战，信息及产业资源没有实现互联互通，基于汽车联网的商业模式还在探索当中。伴随着汽车保有量增</w:t>
      </w:r>
      <w:r>
        <w:rPr>
          <w:spacing w:val="-44"/>
        </w:rPr>
        <w:t> </w:t>
      </w:r>
      <w:r>
        <w:rPr>
          <w:spacing w:val="-44"/>
        </w:rPr>
      </w:r>
      <w:r>
        <w:rPr>
          <w:spacing w:val="-2"/>
        </w:rPr>
        <w:t>加而来的道路拥堵、环境污染、基础设施不足等问题日益突出，车联网作为信息化与工业化深度融合的前</w:t>
      </w:r>
      <w:r>
        <w:rPr>
          <w:spacing w:val="-43"/>
        </w:rPr>
        <w:t> </w:t>
      </w:r>
      <w:r>
        <w:rPr>
          <w:spacing w:val="-43"/>
        </w:rPr>
      </w:r>
      <w:r>
        <w:rPr>
          <w:spacing w:val="-2"/>
        </w:rPr>
        <w:t>沿技术，对促进汽车、交通、信息通信等产业的融合和升级，及对相关产业生态和价值链体系的重塑作用</w:t>
      </w:r>
      <w:r>
        <w:rPr>
          <w:spacing w:val="-47"/>
        </w:rPr>
        <w:t> </w:t>
      </w:r>
      <w:r>
        <w:rPr>
          <w:spacing w:val="-47"/>
        </w:rPr>
      </w:r>
      <w:r>
        <w:rPr/>
        <w:t>还没有发挥出来。</w:t>
      </w:r>
      <w:r>
        <w:rPr>
          <w:rFonts w:ascii="宋体" w:hAnsi="宋体" w:cs="宋体" w:eastAsia="宋体" w:hint="default"/>
        </w:rPr>
        <w:t> </w:t>
      </w:r>
    </w:p>
    <w:p>
      <w:pPr>
        <w:pStyle w:val="Heading6"/>
        <w:spacing w:line="408" w:lineRule="auto"/>
        <w:ind w:right="222"/>
        <w:jc w:val="left"/>
        <w:rPr>
          <w:rFonts w:ascii="宋体" w:hAnsi="宋体" w:cs="宋体" w:eastAsia="宋体" w:hint="default"/>
        </w:rPr>
      </w:pPr>
      <w:r>
        <w:rPr/>
        <w:t>公司自</w:t>
      </w:r>
      <w:r>
        <w:rPr>
          <w:spacing w:val="-55"/>
        </w:rPr>
        <w:t> </w:t>
      </w:r>
      <w:r>
        <w:rPr>
          <w:rFonts w:ascii="宋体" w:hAnsi="宋体" w:cs="宋体" w:eastAsia="宋体" w:hint="default"/>
        </w:rPr>
        <w:t>2009</w:t>
      </w:r>
      <w:r>
        <w:rPr>
          <w:rFonts w:ascii="宋体" w:hAnsi="宋体" w:cs="宋体" w:eastAsia="宋体" w:hint="default"/>
          <w:spacing w:val="-55"/>
        </w:rPr>
        <w:t> </w:t>
      </w:r>
      <w:r>
        <w:rPr/>
        <w:t>年开始布局车联网产业，组建专业的产品研发团队及运营平台，建立起覆盖乘用车、商</w:t>
      </w:r>
      <w:r>
        <w:rPr>
          <w:w w:val="100"/>
        </w:rPr>
        <w:t> </w:t>
      </w:r>
      <w:r>
        <w:rPr>
          <w:spacing w:val="-2"/>
        </w:rPr>
        <w:t>用车的车联网服务应用体系，并针对客户的不同需求，提供定制化一站式解决方案服务，已获得了国内外</w:t>
      </w:r>
      <w:r>
        <w:rPr>
          <w:spacing w:val="-42"/>
        </w:rPr>
        <w:t> </w:t>
      </w:r>
      <w:r>
        <w:rPr>
          <w:spacing w:val="-42"/>
        </w:rPr>
      </w:r>
      <w:r>
        <w:rPr>
          <w:spacing w:val="-2"/>
        </w:rPr>
        <w:t>众多客户的认可。基于多年的行业地位、资源优势以及一系列资本运作，公司已经具备了从传统地图到动</w:t>
      </w:r>
      <w:r>
        <w:rPr>
          <w:spacing w:val="-45"/>
        </w:rPr>
        <w:t> </w:t>
      </w:r>
      <w:r>
        <w:rPr>
          <w:spacing w:val="-45"/>
        </w:rPr>
      </w:r>
      <w:r>
        <w:rPr>
          <w:spacing w:val="-2"/>
        </w:rPr>
        <w:t>态内容、云端平台服务、互联网信息聚合服务、车载操作系统以及手机车机互联方案的车联网全产业链服</w:t>
      </w:r>
      <w:r>
        <w:rPr>
          <w:spacing w:val="-43"/>
        </w:rPr>
        <w:t> </w:t>
      </w:r>
      <w:r>
        <w:rPr>
          <w:spacing w:val="-43"/>
        </w:rPr>
      </w:r>
      <w:r>
        <w:rPr>
          <w:spacing w:val="-2"/>
        </w:rPr>
        <w:t>务能力。面向未来自动驾驶应用场景，公司将继续加大投入力度、创新投入机制，围绕相关领域进行垂直</w:t>
      </w:r>
      <w:r>
        <w:rPr>
          <w:spacing w:val="-50"/>
        </w:rPr>
        <w:t> </w:t>
      </w:r>
      <w:r>
        <w:rPr>
          <w:spacing w:val="-50"/>
        </w:rPr>
      </w:r>
      <w:r>
        <w:rPr/>
        <w:t>深耕，进一步优化核心竞争优势。</w:t>
      </w:r>
      <w:r>
        <w:rPr>
          <w:rFonts w:ascii="宋体" w:hAnsi="宋体" w:cs="宋体" w:eastAsia="宋体" w:hint="default"/>
        </w:rPr>
        <w:t> </w:t>
      </w:r>
    </w:p>
    <w:p>
      <w:pPr>
        <w:pStyle w:val="Heading5"/>
        <w:spacing w:line="240" w:lineRule="auto" w:before="46"/>
        <w:ind w:left="575" w:right="222"/>
        <w:jc w:val="left"/>
        <w:rPr>
          <w:rFonts w:ascii="宋体" w:hAnsi="宋体" w:cs="宋体" w:eastAsia="宋体" w:hint="default"/>
          <w:b w:val="0"/>
          <w:bCs w:val="0"/>
        </w:rPr>
      </w:pPr>
      <w:r>
        <w:rPr>
          <w:rFonts w:ascii="宋体" w:hAnsi="宋体" w:cs="宋体" w:eastAsia="宋体" w:hint="default"/>
        </w:rPr>
        <w:t>3</w:t>
      </w:r>
      <w:r>
        <w:rPr/>
        <w:t>、汽车电子芯片行业</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pStyle w:val="Heading6"/>
        <w:spacing w:line="408" w:lineRule="auto" w:before="0"/>
        <w:ind w:right="0"/>
        <w:jc w:val="left"/>
        <w:rPr>
          <w:rFonts w:ascii="宋体" w:hAnsi="宋体" w:cs="宋体" w:eastAsia="宋体" w:hint="default"/>
        </w:rPr>
      </w:pPr>
      <w:r>
        <w:rPr/>
        <w:t>芯片（</w:t>
      </w:r>
      <w:r>
        <w:rPr>
          <w:rFonts w:ascii="宋体" w:hAnsi="宋体" w:cs="宋体" w:eastAsia="宋体" w:hint="default"/>
        </w:rPr>
        <w:t>Chip</w:t>
      </w:r>
      <w:r>
        <w:rPr/>
        <w:t>）即半导体元件产品的统称，是集成电路（</w:t>
      </w:r>
      <w:r>
        <w:rPr>
          <w:rFonts w:ascii="宋体" w:hAnsi="宋体" w:cs="宋体" w:eastAsia="宋体" w:hint="default"/>
        </w:rPr>
        <w:t>IC Integrated</w:t>
      </w:r>
      <w:r>
        <w:rPr>
          <w:rFonts w:ascii="宋体" w:hAnsi="宋体" w:cs="宋体" w:eastAsia="宋体" w:hint="default"/>
          <w:spacing w:val="50"/>
        </w:rPr>
        <w:t> </w:t>
      </w:r>
      <w:r>
        <w:rPr>
          <w:rFonts w:ascii="宋体" w:hAnsi="宋体" w:cs="宋体" w:eastAsia="宋体" w:hint="default"/>
        </w:rPr>
        <w:t>Circuit</w:t>
      </w:r>
      <w:r>
        <w:rPr/>
        <w:t>）的载体，由晶圆分</w:t>
      </w:r>
      <w:r>
        <w:rPr>
          <w:w w:val="100"/>
        </w:rPr>
        <w:t> </w:t>
      </w:r>
      <w:r>
        <w:rPr/>
        <w:t>割并封装而成；作为所有整机设备智能化的“心脏”，芯片普遍应用于计算机、消费类电子、网络通信、</w:t>
      </w:r>
      <w:r>
        <w:rPr>
          <w:spacing w:val="-24"/>
        </w:rPr>
        <w:t> </w:t>
      </w:r>
      <w:r>
        <w:rPr>
          <w:spacing w:val="-24"/>
        </w:rPr>
      </w:r>
      <w:r>
        <w:rPr>
          <w:spacing w:val="-7"/>
        </w:rPr>
        <w:t>汽车电子等领域。目前全球</w:t>
      </w:r>
      <w:r>
        <w:rPr>
          <w:spacing w:val="38"/>
        </w:rPr>
        <w:t> </w:t>
      </w:r>
      <w:r>
        <w:rPr>
          <w:rFonts w:ascii="宋体" w:hAnsi="宋体" w:cs="宋体" w:eastAsia="宋体" w:hint="default"/>
          <w:spacing w:val="38"/>
        </w:rPr>
      </w:r>
      <w:r>
        <w:rPr>
          <w:rFonts w:ascii="宋体" w:hAnsi="宋体" w:cs="宋体" w:eastAsia="宋体" w:hint="default"/>
        </w:rPr>
        <w:t>IC</w:t>
      </w:r>
      <w:r>
        <w:rPr>
          <w:rFonts w:ascii="宋体" w:hAnsi="宋体" w:cs="宋体" w:eastAsia="宋体" w:hint="default"/>
          <w:spacing w:val="35"/>
        </w:rPr>
        <w:t> </w:t>
      </w:r>
      <w:r>
        <w:rPr>
          <w:spacing w:val="-4"/>
        </w:rPr>
        <w:t>产业进入深度调整的转折期，传统个人电脑业务等智能终端市场增速放缓，</w:t>
      </w:r>
      <w:r>
        <w:rPr>
          <w:spacing w:val="-98"/>
        </w:rPr>
        <w:t> </w:t>
      </w:r>
      <w:r>
        <w:rPr>
          <w:spacing w:val="-98"/>
        </w:rPr>
      </w:r>
      <w:r>
        <w:rPr/>
        <w:t>智能汽车等新兴应用成为驱动 </w:t>
      </w:r>
      <w:r>
        <w:rPr>
          <w:rFonts w:ascii="宋体" w:hAnsi="宋体" w:cs="宋体" w:eastAsia="宋体" w:hint="default"/>
        </w:rPr>
        <w:t>IC</w:t>
      </w:r>
      <w:r>
        <w:rPr>
          <w:rFonts w:ascii="宋体" w:hAnsi="宋体" w:cs="宋体" w:eastAsia="宋体" w:hint="default"/>
          <w:spacing w:val="-5"/>
        </w:rPr>
        <w:t> </w:t>
      </w:r>
      <w:r>
        <w:rPr/>
        <w:t>发展的重要力量。</w:t>
      </w:r>
      <w:r>
        <w:rPr>
          <w:rFonts w:ascii="宋体" w:hAnsi="宋体" w:cs="宋体" w:eastAsia="宋体" w:hint="default"/>
        </w:rPr>
        <w:t> </w:t>
      </w:r>
    </w:p>
    <w:p>
      <w:pPr>
        <w:pStyle w:val="Heading6"/>
        <w:spacing w:line="408" w:lineRule="auto" w:before="87"/>
        <w:ind w:right="0"/>
        <w:jc w:val="left"/>
      </w:pPr>
      <w:r>
        <w:rPr/>
        <w:t>芯片在汽车领域的用途非常广泛。面对汽车“电动化、智能化、网联化、共享化”变革在全球范围内</w:t>
      </w:r>
      <w:r>
        <w:rPr>
          <w:w w:val="100"/>
        </w:rPr>
        <w:t> </w:t>
      </w:r>
      <w:r>
        <w:rPr/>
        <w:t>掀起的新一轮技术发展浪潮，决策控制、海量数据算法、智能计算、传感器感知、联网联控、通信增强、</w:t>
      </w:r>
      <w:r>
        <w:rPr>
          <w:spacing w:val="-24"/>
        </w:rPr>
        <w:t> </w:t>
      </w:r>
      <w:r>
        <w:rPr>
          <w:spacing w:val="-24"/>
        </w:rPr>
      </w:r>
      <w:r>
        <w:rPr>
          <w:spacing w:val="-2"/>
        </w:rPr>
        <w:t>辅助驾驶等数字化元素正在推动汽车电子市场创新发展，成为新一代汽车产业暨未来智能汽车产业的核心，</w:t>
      </w:r>
      <w:r>
        <w:rPr>
          <w:spacing w:val="-43"/>
        </w:rPr>
        <w:t> </w:t>
      </w:r>
      <w:r>
        <w:rPr>
          <w:spacing w:val="-43"/>
        </w:rPr>
      </w:r>
      <w:r>
        <w:rPr/>
        <w:t>为可适用于更多应用领域</w:t>
      </w:r>
      <w:r>
        <w:rPr>
          <w:rFonts w:ascii="宋体" w:hAnsi="宋体" w:cs="宋体" w:eastAsia="宋体" w:hint="default"/>
        </w:rPr>
        <w:t>/</w:t>
      </w:r>
      <w:r>
        <w:rPr/>
        <w:t>场景的新型汽车电子芯片产品及服务的快速发展提供了更广阔的发展空间。根</w:t>
      </w:r>
    </w:p>
    <w:p>
      <w:pPr>
        <w:pStyle w:val="Heading6"/>
        <w:spacing w:line="408" w:lineRule="auto"/>
        <w:ind w:right="326" w:firstLine="0"/>
        <w:jc w:val="both"/>
        <w:rPr>
          <w:rFonts w:ascii="宋体" w:hAnsi="宋体" w:cs="宋体" w:eastAsia="宋体" w:hint="default"/>
        </w:rPr>
      </w:pPr>
      <w:r>
        <w:rPr>
          <w:w w:val="100"/>
        </w:rPr>
        <w:t>据</w:t>
      </w:r>
      <w:r>
        <w:rPr>
          <w:spacing w:val="-54"/>
          <w:w w:val="100"/>
        </w:rPr>
        <w:t> </w:t>
      </w:r>
      <w:r>
        <w:rPr>
          <w:rFonts w:ascii="宋体" w:hAnsi="宋体" w:cs="宋体" w:eastAsia="宋体" w:hint="default"/>
          <w:spacing w:val="-2"/>
          <w:w w:val="100"/>
        </w:rPr>
        <w:t>IC</w:t>
      </w:r>
      <w:r>
        <w:rPr>
          <w:rFonts w:ascii="宋体" w:hAnsi="宋体" w:cs="宋体" w:eastAsia="宋体" w:hint="default"/>
          <w:spacing w:val="-51"/>
          <w:w w:val="100"/>
        </w:rPr>
        <w:t> </w:t>
      </w:r>
      <w:r>
        <w:rPr>
          <w:rFonts w:ascii="宋体" w:hAnsi="宋体" w:cs="宋体" w:eastAsia="宋体" w:hint="default"/>
          <w:spacing w:val="-1"/>
          <w:w w:val="100"/>
        </w:rPr>
        <w:t>Insight</w:t>
      </w:r>
      <w:r>
        <w:rPr>
          <w:rFonts w:ascii="宋体" w:hAnsi="宋体" w:cs="宋体" w:eastAsia="宋体" w:hint="default"/>
          <w:spacing w:val="-54"/>
          <w:w w:val="100"/>
        </w:rPr>
        <w:t> </w:t>
      </w:r>
      <w:r>
        <w:rPr>
          <w:spacing w:val="-16"/>
          <w:w w:val="100"/>
        </w:rPr>
        <w:t>预测，</w:t>
      </w:r>
      <w:r>
        <w:rPr>
          <w:rFonts w:ascii="宋体" w:hAnsi="宋体" w:cs="宋体" w:eastAsia="宋体" w:hint="default"/>
          <w:spacing w:val="-16"/>
          <w:w w:val="100"/>
        </w:rPr>
        <w:t>2017</w:t>
      </w:r>
      <w:r>
        <w:rPr>
          <w:rFonts w:ascii="宋体" w:hAnsi="宋体" w:cs="宋体" w:eastAsia="宋体" w:hint="default"/>
          <w:spacing w:val="-57"/>
          <w:w w:val="100"/>
        </w:rPr>
        <w:t> </w:t>
      </w:r>
      <w:r>
        <w:rPr>
          <w:spacing w:val="-2"/>
          <w:w w:val="100"/>
        </w:rPr>
        <w:t>年全球汽车电子芯片市场规模约</w:t>
      </w:r>
      <w:r>
        <w:rPr>
          <w:spacing w:val="-54"/>
          <w:w w:val="100"/>
        </w:rPr>
        <w:t> </w:t>
      </w:r>
      <w:r>
        <w:rPr>
          <w:rFonts w:ascii="宋体" w:hAnsi="宋体" w:cs="宋体" w:eastAsia="宋体" w:hint="default"/>
          <w:spacing w:val="-1"/>
          <w:w w:val="100"/>
        </w:rPr>
        <w:t>280</w:t>
      </w:r>
      <w:r>
        <w:rPr>
          <w:rFonts w:ascii="宋体" w:hAnsi="宋体" w:cs="宋体" w:eastAsia="宋体" w:hint="default"/>
          <w:spacing w:val="-56"/>
          <w:w w:val="100"/>
        </w:rPr>
        <w:t> </w:t>
      </w:r>
      <w:r>
        <w:rPr>
          <w:spacing w:val="-11"/>
          <w:w w:val="100"/>
        </w:rPr>
        <w:t>亿美元，比上年同比增长</w:t>
      </w:r>
      <w:r>
        <w:rPr>
          <w:spacing w:val="-57"/>
          <w:w w:val="100"/>
        </w:rPr>
        <w:t> </w:t>
      </w:r>
      <w:r>
        <w:rPr>
          <w:rFonts w:ascii="宋体" w:hAnsi="宋体" w:cs="宋体" w:eastAsia="宋体" w:hint="default"/>
          <w:spacing w:val="-14"/>
          <w:w w:val="100"/>
        </w:rPr>
        <w:t>22.4%</w:t>
      </w:r>
      <w:r>
        <w:rPr>
          <w:spacing w:val="-14"/>
          <w:w w:val="100"/>
        </w:rPr>
        <w:t>；伴随</w:t>
      </w:r>
      <w:r>
        <w:rPr>
          <w:spacing w:val="-57"/>
          <w:w w:val="100"/>
        </w:rPr>
        <w:t> </w:t>
      </w:r>
      <w:r>
        <w:rPr>
          <w:rFonts w:ascii="宋体" w:hAnsi="宋体" w:cs="宋体" w:eastAsia="宋体" w:hint="default"/>
          <w:spacing w:val="-2"/>
          <w:w w:val="100"/>
        </w:rPr>
        <w:t>ADAS</w:t>
      </w:r>
      <w:r>
        <w:rPr>
          <w:spacing w:val="-2"/>
          <w:w w:val="100"/>
        </w:rPr>
        <w:t>、</w:t>
      </w:r>
      <w:r>
        <w:rPr>
          <w:w w:val="100"/>
        </w:rPr>
        <w:t> </w:t>
      </w:r>
      <w:r>
        <w:rPr>
          <w:spacing w:val="-2"/>
        </w:rPr>
        <w:t>自动驾驶、新能源技术的快速发展，以及无人驾驶、自动控制、车对车</w:t>
      </w:r>
      <w:r>
        <w:rPr>
          <w:rFonts w:ascii="宋体" w:hAnsi="宋体" w:cs="宋体" w:eastAsia="宋体" w:hint="default"/>
          <w:spacing w:val="-2"/>
        </w:rPr>
        <w:t>(V2V)</w:t>
      </w:r>
      <w:r>
        <w:rPr>
          <w:spacing w:val="-2"/>
        </w:rPr>
        <w:t>和车对基础设施</w:t>
      </w:r>
      <w:r>
        <w:rPr>
          <w:rFonts w:ascii="宋体" w:hAnsi="宋体" w:cs="宋体" w:eastAsia="宋体" w:hint="default"/>
          <w:spacing w:val="-2"/>
        </w:rPr>
        <w:t>(V2I)</w:t>
      </w:r>
      <w:r>
        <w:rPr>
          <w:spacing w:val="-2"/>
        </w:rPr>
        <w:t>通讯功</w:t>
      </w:r>
      <w:r>
        <w:rPr>
          <w:spacing w:val="-43"/>
        </w:rPr>
        <w:t> </w:t>
      </w:r>
      <w:r>
        <w:rPr>
          <w:spacing w:val="-2"/>
        </w:rPr>
        <w:t>能等给驾驶者带来越来越多的驾驶安全和乐趣，汽车电子芯片产业需求持续释放，汽车电子芯片市场将成</w:t>
      </w:r>
      <w:r>
        <w:rPr>
          <w:spacing w:val="-43"/>
        </w:rPr>
        <w:t> </w:t>
      </w:r>
      <w:r>
        <w:rPr>
          <w:spacing w:val="-43"/>
        </w:rPr>
      </w:r>
      <w:r>
        <w:rPr/>
        <w:t>为最强劲的芯片终端应用市场。</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800"/>
        </w:sectPr>
      </w:pPr>
    </w:p>
    <w:p>
      <w:pPr>
        <w:spacing w:line="240" w:lineRule="auto" w:before="0"/>
        <w:rPr>
          <w:rFonts w:ascii="宋体" w:hAnsi="宋体" w:cs="宋体" w:eastAsia="宋体" w:hint="default"/>
          <w:sz w:val="20"/>
          <w:szCs w:val="20"/>
        </w:rPr>
      </w:pPr>
    </w:p>
    <w:p>
      <w:pPr>
        <w:pStyle w:val="Heading6"/>
        <w:spacing w:line="408" w:lineRule="auto" w:before="176"/>
        <w:ind w:right="206"/>
        <w:jc w:val="both"/>
        <w:rPr>
          <w:rFonts w:ascii="宋体" w:hAnsi="宋体" w:cs="宋体" w:eastAsia="宋体" w:hint="default"/>
        </w:rPr>
      </w:pPr>
      <w:r>
        <w:rPr>
          <w:spacing w:val="-3"/>
        </w:rPr>
        <w:t>在我国，基于体量庞大的汽车市场规模，我国汽车芯片市场发展空间巨大，但是由于我国芯片、传感</w:t>
      </w:r>
      <w:r>
        <w:rPr>
          <w:w w:val="100"/>
        </w:rPr>
        <w:t> </w:t>
      </w:r>
      <w:r>
        <w:rPr>
          <w:spacing w:val="-2"/>
        </w:rPr>
        <w:t>器、操作系统等核心基础能力薄弱，高端芯片产品研发及创新能力与发达国家差距较大，车载芯片市场一</w:t>
      </w:r>
      <w:r>
        <w:rPr>
          <w:spacing w:val="-43"/>
        </w:rPr>
        <w:t> </w:t>
      </w:r>
      <w:r>
        <w:rPr>
          <w:spacing w:val="-43"/>
        </w:rPr>
      </w:r>
      <w:r>
        <w:rPr/>
        <w:t>直被国际巨头企业垄断。以传感器为例，我国中高端传感器进口比例为 </w:t>
      </w:r>
      <w:r>
        <w:rPr>
          <w:rFonts w:ascii="宋体" w:hAnsi="宋体" w:cs="宋体" w:eastAsia="宋体" w:hint="default"/>
        </w:rPr>
        <w:t>80%</w:t>
      </w:r>
      <w:r>
        <w:rPr/>
        <w:t>，传感芯片进口比例为</w:t>
      </w:r>
      <w:r>
        <w:rPr>
          <w:spacing w:val="-30"/>
        </w:rPr>
        <w:t> </w:t>
      </w:r>
      <w:r>
        <w:rPr>
          <w:rFonts w:ascii="宋体" w:hAnsi="宋体" w:cs="宋体" w:eastAsia="宋体" w:hint="default"/>
        </w:rPr>
        <w:t>90%</w:t>
      </w:r>
      <w:r>
        <w:rPr/>
        <w:t>，</w:t>
      </w:r>
      <w:r>
        <w:rPr>
          <w:w w:val="100"/>
        </w:rPr>
        <w:t> </w:t>
      </w:r>
      <w:r>
        <w:rPr/>
        <w:t>胎压传感器芯片进口比例为 </w:t>
      </w:r>
      <w:r>
        <w:rPr>
          <w:rFonts w:ascii="宋体" w:hAnsi="宋体" w:cs="宋体" w:eastAsia="宋体" w:hint="default"/>
          <w:spacing w:val="-4"/>
        </w:rPr>
        <w:t>100%</w:t>
      </w:r>
      <w:r>
        <w:rPr>
          <w:spacing w:val="-4"/>
        </w:rPr>
        <w:t>。伴随芯片在汽车智能化进程中的地位不断凸显，国际巨头对产业资源的</w:t>
      </w:r>
      <w:r>
        <w:rPr>
          <w:spacing w:val="-97"/>
        </w:rPr>
        <w:t> </w:t>
      </w:r>
      <w:r>
        <w:rPr>
          <w:spacing w:val="-97"/>
        </w:rPr>
      </w:r>
      <w:r>
        <w:rPr/>
        <w:t>争夺及收购日益加剧，汽车芯片产业集中度将进一步提高，我国汽车芯片国产化发展壁垒亟待突破。</w:t>
      </w:r>
      <w:r>
        <w:rPr>
          <w:rFonts w:ascii="宋体" w:hAnsi="宋体" w:cs="宋体" w:eastAsia="宋体" w:hint="default"/>
        </w:rPr>
        <w:t> </w:t>
      </w:r>
    </w:p>
    <w:p>
      <w:pPr>
        <w:pStyle w:val="Heading6"/>
        <w:spacing w:line="408" w:lineRule="auto" w:before="87"/>
        <w:ind w:right="0"/>
        <w:jc w:val="left"/>
        <w:rPr>
          <w:rFonts w:ascii="宋体" w:hAnsi="宋体" w:cs="宋体" w:eastAsia="宋体" w:hint="default"/>
        </w:rPr>
      </w:pPr>
      <w:r>
        <w:rPr>
          <w:spacing w:val="-4"/>
        </w:rPr>
        <w:t>近年来，伴随“中国制造</w:t>
      </w:r>
      <w:r>
        <w:rPr>
          <w:spacing w:val="-35"/>
        </w:rPr>
        <w:t> </w:t>
      </w:r>
      <w:r>
        <w:rPr>
          <w:rFonts w:ascii="宋体" w:hAnsi="宋体" w:cs="宋体" w:eastAsia="宋体" w:hint="default"/>
          <w:spacing w:val="-3"/>
        </w:rPr>
        <w:t>2025</w:t>
      </w:r>
      <w:r>
        <w:rPr>
          <w:spacing w:val="-3"/>
        </w:rPr>
        <w:t>”等国家产业扶持政策的有序推进和落地，“中国芯”企业自主研发能</w:t>
      </w:r>
      <w:r>
        <w:rPr>
          <w:w w:val="100"/>
        </w:rPr>
        <w:t> </w:t>
      </w:r>
      <w:r>
        <w:rPr>
          <w:spacing w:val="-2"/>
        </w:rPr>
        <w:t>力和产能大幅提升，逐渐具备了面向全球汽车产业主流供应链以及在供应链高附加值领域参与国际竞争的</w:t>
      </w:r>
      <w:r>
        <w:rPr>
          <w:spacing w:val="-43"/>
        </w:rPr>
        <w:t> </w:t>
      </w:r>
      <w:r>
        <w:rPr>
          <w:spacing w:val="-43"/>
        </w:rPr>
      </w:r>
      <w:r>
        <w:rPr/>
        <w:t>能力。</w:t>
      </w:r>
      <w:r>
        <w:rPr>
          <w:rFonts w:ascii="宋体" w:hAnsi="宋体" w:cs="宋体" w:eastAsia="宋体" w:hint="default"/>
        </w:rPr>
        <w:t>2017</w:t>
      </w:r>
      <w:r>
        <w:rPr>
          <w:rFonts w:ascii="宋体" w:hAnsi="宋体" w:cs="宋体" w:eastAsia="宋体" w:hint="default"/>
          <w:spacing w:val="-39"/>
        </w:rPr>
        <w:t> </w:t>
      </w:r>
      <w:r>
        <w:rPr/>
        <w:t>年我国《汽车产业中长期发展规划》的发布和实施，也将为国产汽车电子芯片企业在传感器、</w:t>
      </w:r>
      <w:r>
        <w:rPr>
          <w:spacing w:val="-100"/>
        </w:rPr>
        <w:t> </w:t>
      </w:r>
      <w:r>
        <w:rPr>
          <w:spacing w:val="-100"/>
        </w:rPr>
      </w:r>
      <w:r>
        <w:rPr>
          <w:spacing w:val="-2"/>
        </w:rPr>
        <w:t>电控系统、高精度定位、车载终端、操作系统等领域的技术研发及产业化提供了良好的政策保障。杰发科</w:t>
      </w:r>
      <w:r>
        <w:rPr>
          <w:spacing w:val="-47"/>
        </w:rPr>
        <w:t> </w:t>
      </w:r>
      <w:r>
        <w:rPr>
          <w:spacing w:val="-47"/>
        </w:rPr>
      </w:r>
      <w:r>
        <w:rPr>
          <w:spacing w:val="-2"/>
        </w:rPr>
        <w:t>技作为国内汽车电子芯片行业主要代表企业之一，致力于以“中国芯”来促进中国汽车产业的发展由大变</w:t>
      </w:r>
      <w:r>
        <w:rPr>
          <w:spacing w:val="-43"/>
        </w:rPr>
        <w:t> </w:t>
      </w:r>
      <w:r>
        <w:rPr>
          <w:spacing w:val="-43"/>
        </w:rPr>
      </w:r>
      <w:r>
        <w:rPr>
          <w:spacing w:val="-2"/>
        </w:rPr>
        <w:t>强。截至目前，杰发科技车载信息娱乐系统芯片已经与多家前装车厂建立起战略合作关系，并连续多年占</w:t>
      </w:r>
      <w:r>
        <w:rPr>
          <w:spacing w:val="-43"/>
        </w:rPr>
        <w:t> </w:t>
      </w:r>
      <w:r>
        <w:rPr>
          <w:spacing w:val="-43"/>
        </w:rPr>
      </w:r>
      <w:r>
        <w:rPr/>
        <w:t>据国内后装市场</w:t>
      </w:r>
      <w:r>
        <w:rPr>
          <w:spacing w:val="-55"/>
        </w:rPr>
        <w:t> </w:t>
      </w:r>
      <w:r>
        <w:rPr>
          <w:rFonts w:ascii="宋体" w:hAnsi="宋体" w:cs="宋体" w:eastAsia="宋体" w:hint="default"/>
        </w:rPr>
        <w:t>50%</w:t>
      </w:r>
      <w:r>
        <w:rPr/>
        <w:t>以上的市场份额。同时，杰发科技也在积极布局其他汽车电子芯片方向，并将推出智</w:t>
      </w:r>
      <w:r>
        <w:rPr>
          <w:w w:val="100"/>
        </w:rPr>
        <w:t> </w:t>
      </w:r>
      <w:r>
        <w:rPr>
          <w:spacing w:val="-2"/>
        </w:rPr>
        <w:t>能座舱系统芯片、</w:t>
      </w:r>
      <w:r>
        <w:rPr>
          <w:rFonts w:ascii="宋体" w:hAnsi="宋体" w:cs="宋体" w:eastAsia="宋体" w:hint="default"/>
          <w:spacing w:val="-2"/>
        </w:rPr>
        <w:t>MCU(BCM</w:t>
      </w:r>
      <w:r>
        <w:rPr>
          <w:spacing w:val="-2"/>
        </w:rPr>
        <w:t>）车身控制芯片、</w:t>
      </w:r>
      <w:r>
        <w:rPr>
          <w:rFonts w:ascii="宋体" w:hAnsi="宋体" w:cs="宋体" w:eastAsia="宋体" w:hint="default"/>
          <w:spacing w:val="-2"/>
        </w:rPr>
        <w:t>TPMS</w:t>
      </w:r>
      <w:r>
        <w:rPr>
          <w:rFonts w:ascii="宋体" w:hAnsi="宋体" w:cs="宋体" w:eastAsia="宋体" w:hint="default"/>
          <w:spacing w:val="12"/>
        </w:rPr>
        <w:t> </w:t>
      </w:r>
      <w:r>
        <w:rPr>
          <w:spacing w:val="-2"/>
        </w:rPr>
        <w:t>胎压监测芯片等新产品。</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公司为进一步落实产业链上下游以及软硬件一体化整合战略，面向车载芯片硬件领域，通过收购杰发</w:t>
      </w:r>
      <w:r>
        <w:rPr>
          <w:w w:val="100"/>
        </w:rPr>
        <w:t> </w:t>
      </w:r>
      <w:r>
        <w:rPr>
          <w:spacing w:val="-2"/>
        </w:rPr>
        <w:t>科技，具备了为车厂提供高性能汽车电子芯片的能力，为面向自动驾驶等应用领域进行新产品研发，打造</w:t>
      </w:r>
      <w:r>
        <w:rPr>
          <w:spacing w:val="-43"/>
        </w:rPr>
        <w:t> </w:t>
      </w:r>
      <w:r>
        <w:rPr>
          <w:spacing w:val="-43"/>
        </w:rPr>
      </w:r>
      <w:r>
        <w:rPr>
          <w:spacing w:val="-2"/>
        </w:rPr>
        <w:t>从软件到硬件的自动驾驶整体解决方案的服务能力奠定基础，也成为目前国内首家面向自动驾驶在高精度</w:t>
      </w:r>
      <w:r>
        <w:rPr>
          <w:spacing w:val="-43"/>
        </w:rPr>
        <w:t> </w:t>
      </w:r>
      <w:r>
        <w:rPr>
          <w:spacing w:val="-43"/>
        </w:rPr>
      </w:r>
      <w:r>
        <w:rPr>
          <w:spacing w:val="-4"/>
        </w:rPr>
        <w:t>地图、高精度定位、算法、芯片、大数据等关键节点布局的企业。</w:t>
      </w:r>
      <w:r>
        <w:rPr>
          <w:rFonts w:ascii="宋体" w:hAnsi="宋体" w:cs="宋体" w:eastAsia="宋体" w:hint="default"/>
          <w:spacing w:val="-4"/>
        </w:rPr>
        <w:t>2017</w:t>
      </w:r>
      <w:r>
        <w:rPr>
          <w:rFonts w:ascii="宋体" w:hAnsi="宋体" w:cs="宋体" w:eastAsia="宋体" w:hint="default"/>
          <w:spacing w:val="-39"/>
        </w:rPr>
        <w:t> </w:t>
      </w:r>
      <w:r>
        <w:rPr/>
        <w:t>年</w:t>
      </w:r>
      <w:r>
        <w:rPr>
          <w:spacing w:val="-42"/>
        </w:rPr>
        <w:t> </w:t>
      </w:r>
      <w:r>
        <w:rPr>
          <w:rFonts w:ascii="宋体" w:hAnsi="宋体" w:cs="宋体" w:eastAsia="宋体" w:hint="default"/>
        </w:rPr>
        <w:t>3</w:t>
      </w:r>
      <w:r>
        <w:rPr>
          <w:rFonts w:ascii="宋体" w:hAnsi="宋体" w:cs="宋体" w:eastAsia="宋体" w:hint="default"/>
          <w:spacing w:val="-42"/>
        </w:rPr>
        <w:t> </w:t>
      </w:r>
      <w:r>
        <w:rPr/>
        <w:t>月</w:t>
      </w:r>
      <w:r>
        <w:rPr>
          <w:spacing w:val="-39"/>
        </w:rPr>
        <w:t> </w:t>
      </w:r>
      <w:r>
        <w:rPr>
          <w:rFonts w:ascii="宋体" w:hAnsi="宋体" w:cs="宋体" w:eastAsia="宋体" w:hint="default"/>
        </w:rPr>
        <w:t>2</w:t>
      </w:r>
      <w:r>
        <w:rPr>
          <w:rFonts w:ascii="宋体" w:hAnsi="宋体" w:cs="宋体" w:eastAsia="宋体" w:hint="default"/>
          <w:spacing w:val="-39"/>
        </w:rPr>
        <w:t> </w:t>
      </w:r>
      <w:r>
        <w:rPr>
          <w:spacing w:val="-3"/>
        </w:rPr>
        <w:t>日，杰发科技完成工商变</w:t>
      </w:r>
      <w:r>
        <w:rPr>
          <w:spacing w:val="-97"/>
        </w:rPr>
        <w:t> </w:t>
      </w:r>
      <w:r>
        <w:rPr>
          <w:spacing w:val="-97"/>
        </w:rPr>
      </w:r>
      <w:r>
        <w:rPr/>
        <w:t>更登记，正式成为四维图新的全资子公司。</w:t>
      </w:r>
      <w:r>
        <w:rPr>
          <w:rFonts w:ascii="宋体" w:hAnsi="宋体" w:cs="宋体" w:eastAsia="宋体" w:hint="default"/>
        </w:rPr>
        <w:t> </w:t>
      </w:r>
    </w:p>
    <w:p>
      <w:pPr>
        <w:spacing w:line="408" w:lineRule="auto" w:before="46"/>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、高级辅助驾驶及自动驾驶行业</w:t>
      </w:r>
      <w:r>
        <w:rPr>
          <w:rFonts w:ascii="宋体" w:hAnsi="宋体" w:cs="宋体" w:eastAsia="宋体" w:hint="default"/>
          <w:b/>
          <w:bCs/>
          <w:w w:val="99"/>
          <w:sz w:val="21"/>
          <w:szCs w:val="21"/>
        </w:rPr>
        <w:t> </w:t>
      </w:r>
      <w:r>
        <w:rPr>
          <w:rFonts w:ascii="宋体" w:hAnsi="宋体" w:cs="宋体" w:eastAsia="宋体" w:hint="default"/>
          <w:spacing w:val="-2"/>
          <w:sz w:val="21"/>
          <w:szCs w:val="21"/>
        </w:rPr>
        <w:t>自动驾驶汽车是指搭载了先进的传感系统、控制系统、决策系统、车联网平台，通过通信网络技术实</w:t>
      </w:r>
    </w:p>
    <w:p>
      <w:pPr>
        <w:pStyle w:val="Heading6"/>
        <w:spacing w:line="408" w:lineRule="auto"/>
        <w:ind w:right="206" w:firstLine="0"/>
        <w:jc w:val="both"/>
        <w:rPr>
          <w:rFonts w:ascii="宋体" w:hAnsi="宋体" w:cs="宋体" w:eastAsia="宋体" w:hint="default"/>
        </w:rPr>
      </w:pPr>
      <w:r>
        <w:rPr/>
        <w:t>现</w:t>
      </w:r>
      <w:r>
        <w:rPr>
          <w:spacing w:val="-65"/>
        </w:rPr>
        <w:t> </w:t>
      </w:r>
      <w:r>
        <w:rPr>
          <w:rFonts w:ascii="宋体" w:hAnsi="宋体" w:cs="宋体" w:eastAsia="宋体" w:hint="default"/>
        </w:rPr>
        <w:t>V2V</w:t>
      </w:r>
      <w:r>
        <w:rPr/>
        <w:t>、</w:t>
      </w:r>
      <w:r>
        <w:rPr>
          <w:rFonts w:ascii="宋体" w:hAnsi="宋体" w:cs="宋体" w:eastAsia="宋体" w:hint="default"/>
        </w:rPr>
        <w:t>V2I</w:t>
      </w:r>
      <w:r>
        <w:rPr/>
        <w:t>、</w:t>
      </w:r>
      <w:r>
        <w:rPr>
          <w:rFonts w:ascii="宋体" w:hAnsi="宋体" w:cs="宋体" w:eastAsia="宋体" w:hint="default"/>
        </w:rPr>
        <w:t>V2X</w:t>
      </w:r>
      <w:r>
        <w:rPr>
          <w:rFonts w:ascii="宋体" w:hAnsi="宋体" w:cs="宋体" w:eastAsia="宋体" w:hint="default"/>
          <w:spacing w:val="-66"/>
        </w:rPr>
        <w:t> </w:t>
      </w:r>
      <w:r>
        <w:rPr/>
        <w:t>等全方位网络连接，具备信息共享、环境感知、智能决策、自主控制功能等的新一代汽</w:t>
      </w:r>
      <w:r>
        <w:rPr>
          <w:w w:val="100"/>
        </w:rPr>
        <w:t> </w:t>
      </w:r>
      <w:r>
        <w:rPr>
          <w:spacing w:val="-2"/>
        </w:rPr>
        <w:t>车。自动驾驶技术的应用可以将驾驶员从专注于驾驶的情景中完全解放出来，提升驾车体验。同时，随着</w:t>
      </w:r>
      <w:r>
        <w:rPr>
          <w:spacing w:val="-44"/>
        </w:rPr>
        <w:t> </w:t>
      </w:r>
      <w:r>
        <w:rPr>
          <w:spacing w:val="-44"/>
        </w:rPr>
      </w:r>
      <w:r>
        <w:rPr>
          <w:spacing w:val="-2"/>
        </w:rPr>
        <w:t>城市化进程的日益推进和城市人口的不断膨胀，中国的马路已经成为交通拥堵、尾气污染、交通事故的重</w:t>
      </w:r>
      <w:r>
        <w:rPr>
          <w:spacing w:val="-44"/>
        </w:rPr>
        <w:t> </w:t>
      </w:r>
      <w:r>
        <w:rPr>
          <w:spacing w:val="-44"/>
        </w:rPr>
      </w:r>
      <w:r>
        <w:rPr>
          <w:spacing w:val="-2"/>
        </w:rPr>
        <w:t>灾区；自动驾驶技术不仅可以改善道路拥堵、大幅提升能源使用效率，更可以促进城市基础设施与管理效</w:t>
      </w:r>
      <w:r>
        <w:rPr>
          <w:spacing w:val="-43"/>
        </w:rPr>
        <w:t> </w:t>
      </w:r>
      <w:r>
        <w:rPr>
          <w:spacing w:val="-43"/>
        </w:rPr>
      </w:r>
      <w:r>
        <w:rPr/>
        <w:t>率提升，带领人类社会进入更文明的智能交通时代。</w:t>
      </w:r>
      <w:r>
        <w:rPr>
          <w:rFonts w:ascii="宋体" w:hAnsi="宋体" w:cs="宋体" w:eastAsia="宋体" w:hint="default"/>
        </w:rPr>
        <w:t> </w:t>
      </w:r>
    </w:p>
    <w:p>
      <w:pPr>
        <w:pStyle w:val="Heading6"/>
        <w:spacing w:line="408" w:lineRule="auto"/>
        <w:ind w:right="110"/>
        <w:jc w:val="left"/>
        <w:rPr>
          <w:rFonts w:ascii="宋体" w:hAnsi="宋体" w:cs="宋体" w:eastAsia="宋体" w:hint="default"/>
        </w:rPr>
      </w:pPr>
      <w:r>
        <w:rPr/>
        <w:t>自动驾驶作为新一轮产业革命的新兴“蓝海市场”，正在吸引传统车企加速推动自动驾驶战略落地，</w:t>
      </w:r>
      <w:r>
        <w:rPr>
          <w:w w:val="100"/>
        </w:rPr>
        <w:t> </w:t>
      </w:r>
      <w:r>
        <w:rPr>
          <w:spacing w:val="-2"/>
        </w:rPr>
        <w:t>科技企业也以后来居上的姿态实施合纵连横。随着移动互联网产业红利逐渐消退，作为人工智能产业的细</w:t>
      </w:r>
      <w:r>
        <w:rPr>
          <w:spacing w:val="-42"/>
        </w:rPr>
        <w:t> </w:t>
      </w:r>
      <w:r>
        <w:rPr>
          <w:spacing w:val="-42"/>
        </w:rPr>
      </w:r>
      <w:r>
        <w:rPr>
          <w:spacing w:val="-7"/>
        </w:rPr>
        <w:t>分市场，自动驾驶成为资本热捧的主要产业之一，正在吸引大量创业者入局。面向自动驾驶的新能源汽车、</w:t>
      </w:r>
      <w:r>
        <w:rPr>
          <w:spacing w:val="-17"/>
        </w:rPr>
        <w:t> </w:t>
      </w:r>
      <w:r>
        <w:rPr>
          <w:spacing w:val="-17"/>
        </w:rPr>
      </w:r>
      <w:r>
        <w:rPr>
          <w:rFonts w:ascii="宋体" w:hAnsi="宋体" w:cs="宋体" w:eastAsia="宋体" w:hint="default"/>
        </w:rPr>
        <w:t>AI</w:t>
      </w:r>
      <w:r>
        <w:rPr>
          <w:rFonts w:ascii="宋体" w:hAnsi="宋体" w:cs="宋体" w:eastAsia="宋体" w:hint="default"/>
          <w:spacing w:val="10"/>
        </w:rPr>
        <w:t> </w:t>
      </w:r>
      <w:r>
        <w:rPr>
          <w:spacing w:val="-2"/>
        </w:rPr>
        <w:t>专用芯片、计算机视觉算法等已成为创业者进入自动驾驶市场最主要的入场口。</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0"/>
        <w:jc w:val="left"/>
        <w:rPr>
          <w:rFonts w:ascii="宋体" w:hAnsi="宋体" w:cs="宋体" w:eastAsia="宋体" w:hint="default"/>
        </w:rPr>
      </w:pPr>
      <w:r>
        <w:rPr>
          <w:spacing w:val="-2"/>
        </w:rPr>
        <w:t>我国汽车工业起步虽然较晚，但有望在此轮自动驾驶研发热潮发挥引领作用，实现弯道超车。面对自</w:t>
      </w:r>
      <w:r>
        <w:rPr>
          <w:w w:val="100"/>
        </w:rPr>
        <w:t> </w:t>
      </w:r>
      <w:r>
        <w:rPr/>
        <w:t>动驾驶开发需要面临的巨大技术挑战，车厂、一级</w:t>
      </w:r>
      <w:r>
        <w:rPr>
          <w:rFonts w:ascii="宋体" w:hAnsi="宋体" w:cs="宋体" w:eastAsia="宋体" w:hint="default"/>
        </w:rPr>
        <w:t>/</w:t>
      </w:r>
      <w:r>
        <w:rPr/>
        <w:t>二级供应商与科技巨头以史无前例的开放态度进行跨</w:t>
      </w:r>
      <w:r>
        <w:rPr>
          <w:w w:val="100"/>
        </w:rPr>
        <w:t> </w:t>
      </w:r>
      <w:r>
        <w:rPr>
          <w:spacing w:val="-2"/>
        </w:rPr>
        <w:t>界合作，汽车产业传统的金字塔式供应商关系将被重构，汽车商业模式将会发生颠覆式的改变。中国具有</w:t>
      </w:r>
      <w:r>
        <w:rPr>
          <w:spacing w:val="-43"/>
        </w:rPr>
        <w:t> </w:t>
      </w:r>
      <w:r>
        <w:rPr>
          <w:spacing w:val="-43"/>
        </w:rPr>
      </w:r>
      <w:r>
        <w:rPr>
          <w:spacing w:val="-2"/>
        </w:rPr>
        <w:t>良好的国家产业扶持力度、友好的社会接受度以及相对宽松的自动驾驶生态环境，各地正在制定相关的产</w:t>
      </w:r>
      <w:r>
        <w:rPr>
          <w:spacing w:val="-43"/>
        </w:rPr>
        <w:t> </w:t>
      </w:r>
      <w:r>
        <w:rPr>
          <w:spacing w:val="-43"/>
        </w:rPr>
      </w:r>
      <w:r>
        <w:rPr>
          <w:spacing w:val="-2"/>
        </w:rPr>
        <w:t>业扶植政策吸引国际领先企业将产业发展的研发重点放在中国，激发国内企业加大研发投入，中国正在成</w:t>
      </w:r>
      <w:r>
        <w:rPr>
          <w:spacing w:val="-44"/>
        </w:rPr>
        <w:t> </w:t>
      </w:r>
      <w:r>
        <w:rPr>
          <w:spacing w:val="-44"/>
        </w:rPr>
      </w:r>
      <w:r>
        <w:rPr>
          <w:spacing w:val="-5"/>
        </w:rPr>
        <w:t>为产业优势资源的聚集地。据不完全统计，</w:t>
      </w:r>
      <w:r>
        <w:rPr>
          <w:rFonts w:ascii="宋体" w:hAnsi="宋体" w:cs="宋体" w:eastAsia="宋体" w:hint="default"/>
          <w:spacing w:val="-5"/>
        </w:rPr>
        <w:t>2020</w:t>
      </w:r>
      <w:r>
        <w:rPr>
          <w:rFonts w:ascii="宋体" w:hAnsi="宋体" w:cs="宋体" w:eastAsia="宋体" w:hint="default"/>
          <w:spacing w:val="-30"/>
        </w:rPr>
        <w:t> </w:t>
      </w:r>
      <w:r>
        <w:rPr/>
        <w:t>年前后或将成为主要汽车厂商和科技企业承诺推出部分自</w:t>
      </w:r>
      <w:r>
        <w:rPr>
          <w:spacing w:val="-95"/>
        </w:rPr>
        <w:t> </w:t>
      </w:r>
      <w:r>
        <w:rPr>
          <w:spacing w:val="-95"/>
        </w:rPr>
      </w:r>
      <w:r>
        <w:rPr>
          <w:spacing w:val="-2"/>
        </w:rPr>
        <w:t>动驾驶量产车的时间节点，共享出行、商业车辆运营正在成为自动驾驶率先落地的应用场景。自动驾驶的</w:t>
      </w:r>
      <w:r>
        <w:rPr>
          <w:spacing w:val="-44"/>
        </w:rPr>
        <w:t> </w:t>
      </w:r>
      <w:r>
        <w:rPr>
          <w:spacing w:val="-44"/>
        </w:rPr>
      </w:r>
      <w:r>
        <w:rPr/>
        <w:t>实现将带动整个泛汽车行业发生改变，颠覆性地重构消费者的出行方式及体验。</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近年来，多传感器融合成为自动驾驶解决方案的发展趋势，不同传感器技术在博弈平衡中齐头并进；</w:t>
      </w:r>
      <w:r>
        <w:rPr>
          <w:w w:val="100"/>
        </w:rPr>
        <w:t> </w:t>
      </w:r>
      <w:r>
        <w:rPr>
          <w:spacing w:val="-2"/>
        </w:rPr>
        <w:t>在此基础上，自动驾驶所需的传感器部件正在向轻量化（包括产品重量以及传感器数量）、低成本化方向</w:t>
      </w:r>
      <w:r>
        <w:rPr>
          <w:spacing w:val="-47"/>
        </w:rPr>
        <w:t> </w:t>
      </w:r>
      <w:r>
        <w:rPr>
          <w:spacing w:val="-47"/>
        </w:rPr>
      </w:r>
      <w:r>
        <w:rPr>
          <w:spacing w:val="-5"/>
        </w:rPr>
        <w:t>发展。</w:t>
      </w:r>
      <w:r>
        <w:rPr>
          <w:rFonts w:ascii="宋体" w:hAnsi="宋体" w:cs="宋体" w:eastAsia="宋体" w:hint="default"/>
          <w:spacing w:val="-5"/>
        </w:rPr>
        <w:t>AI </w:t>
      </w:r>
      <w:r>
        <w:rPr>
          <w:spacing w:val="-3"/>
        </w:rPr>
        <w:t>技术尤其是深度学习的长足发展给自动驾驶的实现提供了条件，并深度应用于感知、决策、控制</w:t>
      </w:r>
      <w:r>
        <w:rPr>
          <w:spacing w:val="-85"/>
        </w:rPr>
        <w:t> </w:t>
      </w:r>
      <w:r>
        <w:rPr>
          <w:spacing w:val="-85"/>
        </w:rPr>
      </w:r>
      <w:r>
        <w:rPr/>
        <w:t>等环节，显著提高了单车智能水平。</w:t>
      </w:r>
      <w:r>
        <w:rPr>
          <w:rFonts w:ascii="宋体" w:hAnsi="宋体" w:cs="宋体" w:eastAsia="宋体" w:hint="default"/>
        </w:rPr>
        <w:t>V2X</w:t>
      </w:r>
      <w:r>
        <w:rPr>
          <w:rFonts w:ascii="宋体" w:hAnsi="宋体" w:cs="宋体" w:eastAsia="宋体" w:hint="default"/>
          <w:spacing w:val="-56"/>
        </w:rPr>
        <w:t> </w:t>
      </w:r>
      <w:r>
        <w:rPr/>
        <w:t>联网技术使汽车拥有更大范围的感知能力，发现潜在风险，优化</w:t>
      </w:r>
      <w:r>
        <w:rPr>
          <w:w w:val="100"/>
        </w:rPr>
        <w:t> </w:t>
      </w:r>
      <w:r>
        <w:rPr>
          <w:spacing w:val="-7"/>
        </w:rPr>
        <w:t>路径规划。车联网技术的成熟，还可以降低对传感器和算法的性能需求，也便于生活服务供应商进入汽车，</w:t>
      </w:r>
      <w:r>
        <w:rPr>
          <w:spacing w:val="-17"/>
        </w:rPr>
        <w:t> </w:t>
      </w:r>
      <w:r>
        <w:rPr>
          <w:spacing w:val="-17"/>
        </w:rPr>
      </w:r>
      <w:r>
        <w:rPr>
          <w:spacing w:val="-2"/>
        </w:rPr>
        <w:t>丰富商业化应用场景。高精度地图可以为车辆环境感知提供更具前瞻性的超视距路况信息和冗余空间，帮</w:t>
      </w:r>
      <w:r>
        <w:rPr>
          <w:spacing w:val="-44"/>
        </w:rPr>
        <w:t> </w:t>
      </w:r>
      <w:r>
        <w:rPr>
          <w:spacing w:val="-44"/>
        </w:rPr>
      </w:r>
      <w:r>
        <w:rPr>
          <w:spacing w:val="-2"/>
        </w:rPr>
        <w:t>助汽车进行实时定位和规划决策，保证自动驾驶的安全；对于道路信息的记录及对车主驾驶行为和轨迹的</w:t>
      </w:r>
      <w:r>
        <w:rPr>
          <w:spacing w:val="-43"/>
        </w:rPr>
        <w:t> </w:t>
      </w:r>
      <w:r>
        <w:rPr>
          <w:spacing w:val="-43"/>
        </w:rPr>
      </w:r>
      <w:r>
        <w:rPr>
          <w:spacing w:val="-2"/>
        </w:rPr>
        <w:t>分析，可以为车主提供个性化的出行体验。公司基于智能化测绘技术、传感器网络、高性能计算能力和专</w:t>
      </w:r>
      <w:r>
        <w:rPr>
          <w:spacing w:val="-50"/>
        </w:rPr>
        <w:t> </w:t>
      </w:r>
      <w:r>
        <w:rPr>
          <w:spacing w:val="-50"/>
        </w:rPr>
      </w:r>
      <w:r>
        <w:rPr/>
        <w:t>业的实时数据处理能力，以高精度地图和高精度定位为切入点，向可应用于</w:t>
      </w:r>
      <w:r>
        <w:rPr>
          <w:spacing w:val="-56"/>
        </w:rPr>
        <w:t> </w:t>
      </w:r>
      <w:r>
        <w:rPr>
          <w:rFonts w:ascii="宋体" w:hAnsi="宋体" w:cs="宋体" w:eastAsia="宋体" w:hint="default"/>
        </w:rPr>
        <w:t>ADAS</w:t>
      </w:r>
      <w:r>
        <w:rPr>
          <w:rFonts w:ascii="宋体" w:hAnsi="宋体" w:cs="宋体" w:eastAsia="宋体" w:hint="default"/>
          <w:spacing w:val="-56"/>
        </w:rPr>
        <w:t> </w:t>
      </w:r>
      <w:r>
        <w:rPr/>
        <w:t>和自动驾驶的车规级芯</w:t>
      </w:r>
      <w:r>
        <w:rPr>
          <w:w w:val="100"/>
        </w:rPr>
        <w:t> </w:t>
      </w:r>
      <w:r>
        <w:rPr>
          <w:spacing w:val="-2"/>
        </w:rPr>
        <w:t>片领域拓展，面向自动驾驶全产业链积极布局，致力于在未来成为中国乃至全球车联网和自动驾驶领域的</w:t>
      </w:r>
      <w:r>
        <w:rPr>
          <w:spacing w:val="-44"/>
        </w:rPr>
        <w:t> </w:t>
      </w:r>
      <w:r>
        <w:rPr>
          <w:spacing w:val="-44"/>
        </w:rPr>
      </w:r>
      <w:r>
        <w:rPr/>
        <w:t>领先者。</w:t>
      </w:r>
      <w:r>
        <w:rPr>
          <w:rFonts w:ascii="宋体" w:hAnsi="宋体" w:cs="宋体" w:eastAsia="宋体" w:hint="default"/>
        </w:rPr>
        <w:t> </w:t>
      </w:r>
    </w:p>
    <w:p>
      <w:pPr>
        <w:spacing w:line="408" w:lineRule="auto" w:before="46"/>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、位置大数据服务行业</w:t>
      </w:r>
      <w:r>
        <w:rPr>
          <w:rFonts w:ascii="宋体" w:hAnsi="宋体" w:cs="宋体" w:eastAsia="宋体" w:hint="default"/>
          <w:b/>
          <w:bCs/>
          <w:w w:val="99"/>
          <w:sz w:val="21"/>
          <w:szCs w:val="21"/>
        </w:rPr>
        <w:t> </w:t>
      </w:r>
      <w:r>
        <w:rPr>
          <w:rFonts w:ascii="宋体" w:hAnsi="宋体" w:cs="宋体" w:eastAsia="宋体" w:hint="default"/>
          <w:spacing w:val="-2"/>
          <w:sz w:val="21"/>
          <w:szCs w:val="21"/>
        </w:rPr>
        <w:t>伴随地理信息产业日益成熟，“位置服务</w:t>
      </w:r>
      <w:r>
        <w:rPr>
          <w:rFonts w:ascii="宋体" w:hAnsi="宋体" w:cs="宋体" w:eastAsia="宋体" w:hint="default"/>
          <w:spacing w:val="-2"/>
          <w:sz w:val="21"/>
          <w:szCs w:val="21"/>
        </w:rPr>
        <w:t>+</w:t>
      </w:r>
      <w:r>
        <w:rPr>
          <w:rFonts w:ascii="宋体" w:hAnsi="宋体" w:cs="宋体" w:eastAsia="宋体" w:hint="default"/>
          <w:spacing w:val="-2"/>
          <w:sz w:val="21"/>
          <w:szCs w:val="21"/>
        </w:rPr>
        <w:t>”的服务业态发展迅速，并不断向下游行业、垂直领域及</w:t>
      </w:r>
    </w:p>
    <w:p>
      <w:pPr>
        <w:pStyle w:val="Heading6"/>
        <w:spacing w:line="408" w:lineRule="auto"/>
        <w:ind w:right="206" w:firstLine="0"/>
        <w:jc w:val="both"/>
        <w:rPr>
          <w:rFonts w:ascii="宋体" w:hAnsi="宋体" w:cs="宋体" w:eastAsia="宋体" w:hint="default"/>
        </w:rPr>
      </w:pPr>
      <w:r>
        <w:rPr>
          <w:spacing w:val="-2"/>
        </w:rPr>
        <w:t>新兴领域深入拓展，为诸多行业机构、政府部门、企事业单位在环保监测、智能交通、智慧城市、现代物</w:t>
      </w:r>
      <w:r>
        <w:rPr>
          <w:spacing w:val="-42"/>
        </w:rPr>
        <w:t> </w:t>
      </w:r>
      <w:r>
        <w:rPr>
          <w:spacing w:val="-42"/>
        </w:rPr>
      </w:r>
      <w:r>
        <w:rPr>
          <w:spacing w:val="-2"/>
        </w:rPr>
        <w:t>流、金融等领域提供了基于位置服务的有力支持。借助虚拟现实、人机交互、真三维、点云等新兴技术手</w:t>
      </w:r>
      <w:r>
        <w:rPr>
          <w:spacing w:val="-43"/>
        </w:rPr>
        <w:t> </w:t>
      </w:r>
      <w:r>
        <w:rPr>
          <w:spacing w:val="-43"/>
        </w:rPr>
      </w:r>
      <w:r>
        <w:rPr>
          <w:spacing w:val="-2"/>
        </w:rPr>
        <w:t>段，基于地理信息的时空大数据被国家政府部门、企事业单位、行业机构等广泛的应用到物流监控、灾害</w:t>
      </w:r>
      <w:r>
        <w:rPr>
          <w:spacing w:val="-50"/>
        </w:rPr>
        <w:t> </w:t>
      </w:r>
      <w:r>
        <w:rPr>
          <w:spacing w:val="-50"/>
        </w:rPr>
      </w:r>
      <w:r>
        <w:rPr>
          <w:spacing w:val="-2"/>
        </w:rPr>
        <w:t>预防、环境治理、数字城市等领域，并被赋予不同的使命。基于用户位置大数据的商业应用分析，已被广</w:t>
      </w:r>
      <w:r>
        <w:rPr>
          <w:spacing w:val="-42"/>
        </w:rPr>
        <w:t> </w:t>
      </w:r>
      <w:r>
        <w:rPr>
          <w:spacing w:val="-42"/>
        </w:rPr>
      </w:r>
      <w:r>
        <w:rPr/>
        <w:t>泛应用到大众位置生活场景再现、用户画像描述、商业运营指导及分析等众多领域。</w:t>
      </w:r>
      <w:r>
        <w:rPr>
          <w:rFonts w:ascii="宋体" w:hAnsi="宋体" w:cs="宋体" w:eastAsia="宋体" w:hint="default"/>
        </w:rPr>
        <w:t> </w:t>
      </w:r>
    </w:p>
    <w:p>
      <w:pPr>
        <w:pStyle w:val="Heading6"/>
        <w:spacing w:line="408" w:lineRule="auto"/>
        <w:ind w:right="206"/>
        <w:jc w:val="both"/>
      </w:pPr>
      <w:r>
        <w:rPr>
          <w:spacing w:val="-2"/>
        </w:rPr>
        <w:t>经过多年的运作，公司基于成熟的多源大数据、核心算法和移动互联网等技术优势，搭建起集团级别</w:t>
      </w:r>
      <w:r>
        <w:rPr>
          <w:w w:val="100"/>
        </w:rPr>
        <w:t> </w:t>
      </w:r>
      <w:r>
        <w:rPr>
          <w:spacing w:val="-9"/>
          <w:w w:val="100"/>
        </w:rPr>
        <w:t>的数据蜂巢系统，提供包括基于</w:t>
      </w:r>
      <w:r>
        <w:rPr>
          <w:spacing w:val="-66"/>
          <w:w w:val="100"/>
        </w:rPr>
        <w:t> </w:t>
      </w:r>
      <w:r>
        <w:rPr>
          <w:rFonts w:ascii="宋体" w:hAnsi="宋体" w:cs="宋体" w:eastAsia="宋体" w:hint="default"/>
          <w:w w:val="100"/>
        </w:rPr>
        <w:t>SaaS</w:t>
      </w:r>
      <w:r>
        <w:rPr>
          <w:rFonts w:ascii="宋体" w:hAnsi="宋体" w:cs="宋体" w:eastAsia="宋体" w:hint="default"/>
          <w:spacing w:val="-69"/>
          <w:w w:val="100"/>
        </w:rPr>
        <w:t> </w:t>
      </w:r>
      <w:r>
        <w:rPr>
          <w:spacing w:val="-17"/>
          <w:w w:val="100"/>
        </w:rPr>
        <w:t>的数据蜂巢（</w:t>
      </w:r>
      <w:r>
        <w:rPr>
          <w:rFonts w:ascii="宋体" w:hAnsi="宋体" w:cs="宋体" w:eastAsia="宋体" w:hint="default"/>
          <w:spacing w:val="-17"/>
          <w:w w:val="100"/>
        </w:rPr>
        <w:t>MineCatalog</w:t>
      </w:r>
      <w:r>
        <w:rPr>
          <w:spacing w:val="-17"/>
          <w:w w:val="100"/>
        </w:rPr>
        <w:t>）、可视化地图（</w:t>
      </w:r>
      <w:r>
        <w:rPr>
          <w:rFonts w:ascii="宋体" w:hAnsi="宋体" w:cs="宋体" w:eastAsia="宋体" w:hint="default"/>
          <w:spacing w:val="-17"/>
          <w:w w:val="100"/>
        </w:rPr>
        <w:t>Minemap</w:t>
      </w:r>
      <w:r>
        <w:rPr>
          <w:spacing w:val="-17"/>
          <w:w w:val="100"/>
        </w:rPr>
        <w:t>）、实验室（</w:t>
      </w:r>
      <w:r>
        <w:rPr>
          <w:rFonts w:ascii="宋体" w:hAnsi="宋体" w:cs="宋体" w:eastAsia="宋体" w:hint="default"/>
          <w:spacing w:val="-17"/>
          <w:w w:val="100"/>
        </w:rPr>
        <w:t>MineLab</w:t>
      </w:r>
      <w:r>
        <w:rPr>
          <w:spacing w:val="-17"/>
          <w:w w:val="100"/>
        </w:rPr>
        <w:t>）</w:t>
      </w:r>
      <w:r>
        <w:rPr>
          <w:w w:val="100"/>
        </w:rPr>
        <w:t> </w:t>
      </w:r>
      <w:r>
        <w:rPr>
          <w:spacing w:val="-2"/>
        </w:rPr>
        <w:t>在内的位置大数据汇聚、分析、可视化服务；基于“科研、工程化与商业服务”的可贯通全链条的大数据</w:t>
      </w:r>
      <w:r>
        <w:rPr>
          <w:spacing w:val="-42"/>
        </w:rPr>
        <w:t> </w:t>
      </w:r>
      <w:r>
        <w:rPr>
          <w:spacing w:val="-42"/>
        </w:rPr>
      </w:r>
      <w:r>
        <w:rPr>
          <w:spacing w:val="-2"/>
        </w:rPr>
        <w:t>服务能力，以实战应用为导向，与行业客户共同探讨在大数据环境下，以新技术、新理念、新方法、新模</w:t>
      </w:r>
    </w:p>
    <w:p>
      <w:pPr>
        <w:spacing w:after="0" w:line="408" w:lineRule="auto"/>
        <w:jc w:val="both"/>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306" w:firstLine="0"/>
        <w:jc w:val="both"/>
        <w:rPr>
          <w:rFonts w:ascii="宋体" w:hAnsi="宋体" w:cs="宋体" w:eastAsia="宋体" w:hint="default"/>
        </w:rPr>
      </w:pPr>
      <w:r>
        <w:rPr>
          <w:spacing w:val="-2"/>
        </w:rPr>
        <w:t>式以及新思路，解决决策科学化、治理精准化及管理高效化等运营问题，并为其提供深度定制的全方位解</w:t>
      </w:r>
      <w:r>
        <w:rPr>
          <w:spacing w:val="-44"/>
        </w:rPr>
        <w:t> </w:t>
      </w:r>
      <w:r>
        <w:rPr>
          <w:spacing w:val="-44"/>
        </w:rPr>
      </w:r>
      <w:r>
        <w:rPr>
          <w:spacing w:val="-2"/>
        </w:rPr>
        <w:t>决方案，进一步赋能行业价值，已在交警、交通、扶贫、物流、保险、气象、运营商、城市规划等多个细</w:t>
      </w:r>
      <w:r>
        <w:rPr>
          <w:spacing w:val="-44"/>
        </w:rPr>
        <w:t> </w:t>
      </w:r>
      <w:r>
        <w:rPr>
          <w:spacing w:val="-44"/>
        </w:rPr>
      </w:r>
      <w:r>
        <w:rPr/>
        <w:t>分行业取得进展。</w:t>
      </w:r>
      <w:r>
        <w:rPr>
          <w:rFonts w:ascii="宋体" w:hAnsi="宋体" w:cs="宋体" w:eastAsia="宋体" w:hint="default"/>
        </w:rPr>
        <w:t> </w:t>
      </w:r>
    </w:p>
    <w:p>
      <w:pPr>
        <w:spacing w:line="240" w:lineRule="auto" w:before="6"/>
        <w:rPr>
          <w:rFonts w:ascii="宋体" w:hAnsi="宋体" w:cs="宋体" w:eastAsia="宋体" w:hint="default"/>
          <w:sz w:val="15"/>
          <w:szCs w:val="15"/>
        </w:rPr>
      </w:pPr>
    </w:p>
    <w:p>
      <w:pPr>
        <w:spacing w:line="408" w:lineRule="auto" w:before="0"/>
        <w:ind w:left="575" w:right="202" w:firstLine="0"/>
        <w:jc w:val="left"/>
        <w:rPr>
          <w:rFonts w:ascii="宋体" w:hAnsi="宋体" w:cs="宋体" w:eastAsia="宋体" w:hint="default"/>
          <w:sz w:val="21"/>
          <w:szCs w:val="21"/>
        </w:rPr>
      </w:pPr>
      <w:r>
        <w:rPr>
          <w:rFonts w:ascii="宋体" w:hAnsi="宋体" w:cs="宋体" w:eastAsia="宋体" w:hint="default"/>
          <w:b/>
          <w:bCs/>
          <w:sz w:val="21"/>
          <w:szCs w:val="21"/>
        </w:rPr>
        <w:t>（三）公司回顾总结前期披露的发展战略和经营计划在报告期内的进展情况</w:t>
      </w:r>
      <w:r>
        <w:rPr>
          <w:rFonts w:ascii="宋体" w:hAnsi="宋体" w:cs="宋体" w:eastAsia="宋体" w:hint="default"/>
          <w:b/>
          <w:bCs/>
          <w:w w:val="99"/>
          <w:sz w:val="21"/>
          <w:szCs w:val="21"/>
        </w:rPr>
        <w:t> </w:t>
      </w:r>
      <w:r>
        <w:rPr>
          <w:rFonts w:ascii="宋体" w:hAnsi="宋体" w:cs="宋体" w:eastAsia="宋体" w:hint="default"/>
          <w:b/>
          <w:bCs/>
          <w:spacing w:val="-2"/>
          <w:sz w:val="21"/>
          <w:szCs w:val="21"/>
        </w:rPr>
        <w:t>在导航电子地图及导航服务方面</w:t>
      </w:r>
      <w:r>
        <w:rPr>
          <w:rFonts w:ascii="宋体" w:hAnsi="宋体" w:cs="宋体" w:eastAsia="宋体" w:hint="default"/>
          <w:spacing w:val="-2"/>
          <w:sz w:val="21"/>
          <w:szCs w:val="21"/>
        </w:rPr>
        <w:t>，公司着力提升地图数据动态服务能力和云端大数据处理能力，在自</w:t>
      </w:r>
    </w:p>
    <w:p>
      <w:pPr>
        <w:pStyle w:val="Heading6"/>
        <w:spacing w:line="408" w:lineRule="auto"/>
        <w:ind w:right="306" w:firstLine="0"/>
        <w:jc w:val="both"/>
        <w:rPr>
          <w:rFonts w:ascii="宋体" w:hAnsi="宋体" w:cs="宋体" w:eastAsia="宋体" w:hint="default"/>
        </w:rPr>
      </w:pPr>
      <w:r>
        <w:rPr/>
        <w:t>主研发的企业级</w:t>
      </w:r>
      <w:r>
        <w:rPr>
          <w:spacing w:val="-65"/>
        </w:rPr>
        <w:t> </w:t>
      </w:r>
      <w:r>
        <w:rPr>
          <w:rFonts w:ascii="宋体" w:hAnsi="宋体" w:cs="宋体" w:eastAsia="宋体" w:hint="default"/>
        </w:rPr>
        <w:t>FastMap</w:t>
      </w:r>
      <w:r>
        <w:rPr>
          <w:rFonts w:ascii="宋体" w:hAnsi="宋体" w:cs="宋体" w:eastAsia="宋体" w:hint="default"/>
          <w:spacing w:val="-66"/>
        </w:rPr>
        <w:t> </w:t>
      </w:r>
      <w:r>
        <w:rPr/>
        <w:t>在线生产平台及快速更新体系稳定运行的基础上，应用图像识别、语音识别、大</w:t>
      </w:r>
      <w:r>
        <w:rPr>
          <w:w w:val="100"/>
        </w:rPr>
        <w:t> </w:t>
      </w:r>
      <w:r>
        <w:rPr>
          <w:spacing w:val="-2"/>
        </w:rPr>
        <w:t>数据挖掘及采集成果自动录入技术等对生产流程进行工艺升级及自动化改造，快速推进地图数据采集、制</w:t>
      </w:r>
      <w:r>
        <w:rPr>
          <w:spacing w:val="-44"/>
        </w:rPr>
        <w:t> </w:t>
      </w:r>
      <w:r>
        <w:rPr>
          <w:spacing w:val="-44"/>
        </w:rPr>
      </w:r>
      <w:r>
        <w:rPr>
          <w:spacing w:val="-2"/>
        </w:rPr>
        <w:t>作、更新及发布一体化，在提升产品生产效率、产品鲜度、数据精度、地图精细化程度的同时，与导航数</w:t>
      </w:r>
      <w:r>
        <w:rPr>
          <w:spacing w:val="-42"/>
        </w:rPr>
        <w:t> </w:t>
      </w:r>
      <w:r>
        <w:rPr>
          <w:spacing w:val="-42"/>
        </w:rPr>
      </w:r>
      <w:r>
        <w:rPr/>
        <w:t>据编译服务及混合导航调用服务形成动态融合。</w:t>
      </w:r>
      <w:r>
        <w:rPr>
          <w:rFonts w:ascii="宋体" w:hAnsi="宋体" w:cs="宋体" w:eastAsia="宋体" w:hint="default"/>
        </w:rPr>
        <w:t> </w:t>
      </w:r>
    </w:p>
    <w:p>
      <w:pPr>
        <w:pStyle w:val="Heading6"/>
        <w:spacing w:line="408" w:lineRule="auto"/>
        <w:ind w:right="202"/>
        <w:jc w:val="left"/>
        <w:rPr>
          <w:rFonts w:ascii="宋体" w:hAnsi="宋体" w:cs="宋体" w:eastAsia="宋体" w:hint="default"/>
        </w:rPr>
      </w:pPr>
      <w:r>
        <w:rPr/>
        <w:t>报告期内，公司</w:t>
      </w:r>
      <w:r>
        <w:rPr>
          <w:spacing w:val="-36"/>
        </w:rPr>
        <w:t> </w:t>
      </w:r>
      <w:r>
        <w:rPr>
          <w:rFonts w:ascii="宋体" w:hAnsi="宋体" w:cs="宋体" w:eastAsia="宋体" w:hint="default"/>
        </w:rPr>
        <w:t>FastMap</w:t>
      </w:r>
      <w:r>
        <w:rPr>
          <w:rFonts w:ascii="宋体" w:hAnsi="宋体" w:cs="宋体" w:eastAsia="宋体" w:hint="default"/>
          <w:spacing w:val="-39"/>
        </w:rPr>
        <w:t> </w:t>
      </w:r>
      <w:r>
        <w:rPr/>
        <w:t>日更新生产平台</w:t>
      </w:r>
      <w:r>
        <w:rPr>
          <w:spacing w:val="-31"/>
        </w:rPr>
        <w:t> </w:t>
      </w:r>
      <w:r>
        <w:rPr>
          <w:rFonts w:ascii="宋体" w:hAnsi="宋体" w:cs="宋体" w:eastAsia="宋体" w:hint="default"/>
        </w:rPr>
        <w:t>8</w:t>
      </w:r>
      <w:r>
        <w:rPr>
          <w:rFonts w:ascii="宋体" w:hAnsi="宋体" w:cs="宋体" w:eastAsia="宋体" w:hint="default"/>
          <w:spacing w:val="-32"/>
        </w:rPr>
        <w:t> </w:t>
      </w:r>
      <w:r>
        <w:rPr/>
        <w:t>月份正式上线，日生产能力和工效大幅提升，道路里程、</w:t>
      </w:r>
      <w:r>
        <w:rPr>
          <w:w w:val="100"/>
        </w:rPr>
        <w:t> </w:t>
      </w:r>
      <w:r>
        <w:rPr>
          <w:rFonts w:ascii="宋体" w:hAnsi="宋体" w:cs="宋体" w:eastAsia="宋体" w:hint="default"/>
        </w:rPr>
        <w:t>POI</w:t>
      </w:r>
      <w:r>
        <w:rPr>
          <w:rFonts w:ascii="宋体" w:hAnsi="宋体" w:cs="宋体" w:eastAsia="宋体" w:hint="default"/>
          <w:spacing w:val="-54"/>
        </w:rPr>
        <w:t> </w:t>
      </w:r>
      <w:r>
        <w:rPr/>
        <w:t>等数据量进一步增长，数据类型进一步丰富。高精鲜地图、精细化地图、三维地图、卡车地图、充电</w:t>
      </w:r>
      <w:r>
        <w:rPr>
          <w:w w:val="100"/>
        </w:rPr>
        <w:t> </w:t>
      </w:r>
      <w:r>
        <w:rPr>
          <w:spacing w:val="-2"/>
        </w:rPr>
        <w:t>桩地图等新型数据产品开发及服务能力全面改善。面对互联网行业即时响应的需求，公司建立了科学合理</w:t>
      </w:r>
      <w:r>
        <w:rPr>
          <w:spacing w:val="-42"/>
        </w:rPr>
        <w:t> </w:t>
      </w:r>
      <w:r>
        <w:rPr>
          <w:spacing w:val="-42"/>
        </w:rPr>
      </w:r>
      <w:r>
        <w:rPr>
          <w:spacing w:val="-2"/>
        </w:rPr>
        <w:t>的快速反应流程和机制。面对日益多样、复杂且个性化的应用场景，公司积极推进导航引擎算法、数据格</w:t>
      </w:r>
      <w:r>
        <w:rPr>
          <w:spacing w:val="-50"/>
        </w:rPr>
        <w:t> </w:t>
      </w:r>
      <w:r>
        <w:rPr>
          <w:spacing w:val="-50"/>
        </w:rPr>
      </w:r>
      <w:r>
        <w:rPr>
          <w:spacing w:val="-2"/>
        </w:rPr>
        <w:t>式、服务器架构等技术和能力的迭代升级。同时，对导航电子地图及导航引擎业务管理架构及产品系列进</w:t>
      </w:r>
      <w:r>
        <w:rPr>
          <w:spacing w:val="-43"/>
        </w:rPr>
        <w:t> </w:t>
      </w:r>
      <w:r>
        <w:rPr>
          <w:spacing w:val="-43"/>
        </w:rPr>
      </w:r>
      <w:r>
        <w:rPr/>
        <w:t>行优化整合，持续提升管理能效，完善产品体系化建设。</w:t>
      </w:r>
      <w:r>
        <w:rPr>
          <w:rFonts w:ascii="宋体" w:hAnsi="宋体" w:cs="宋体" w:eastAsia="宋体" w:hint="default"/>
        </w:rPr>
        <w:t> </w:t>
      </w:r>
    </w:p>
    <w:p>
      <w:pPr>
        <w:pStyle w:val="Heading6"/>
        <w:spacing w:line="408" w:lineRule="auto"/>
        <w:ind w:right="202"/>
        <w:jc w:val="left"/>
        <w:rPr>
          <w:rFonts w:ascii="宋体" w:hAnsi="宋体" w:cs="宋体" w:eastAsia="宋体" w:hint="default"/>
        </w:rPr>
      </w:pPr>
      <w:r>
        <w:rPr/>
        <w:t>报告期内，公司成功通过</w:t>
      </w:r>
      <w:r>
        <w:rPr>
          <w:spacing w:val="-58"/>
        </w:rPr>
        <w:t> </w:t>
      </w:r>
      <w:r>
        <w:rPr>
          <w:rFonts w:ascii="宋体" w:hAnsi="宋体" w:cs="宋体" w:eastAsia="宋体" w:hint="default"/>
        </w:rPr>
        <w:t>Automotive</w:t>
      </w:r>
      <w:r>
        <w:rPr>
          <w:rFonts w:ascii="宋体" w:hAnsi="宋体" w:cs="宋体" w:eastAsia="宋体" w:hint="default"/>
          <w:spacing w:val="-28"/>
        </w:rPr>
        <w:t> </w:t>
      </w:r>
      <w:r>
        <w:rPr>
          <w:rFonts w:ascii="宋体" w:hAnsi="宋体" w:cs="宋体" w:eastAsia="宋体" w:hint="default"/>
        </w:rPr>
        <w:t>SPICE</w:t>
      </w:r>
      <w:r>
        <w:rPr>
          <w:rFonts w:ascii="宋体" w:hAnsi="宋体" w:cs="宋体" w:eastAsia="宋体" w:hint="default"/>
          <w:spacing w:val="-28"/>
        </w:rPr>
        <w:t> </w:t>
      </w:r>
      <w:r>
        <w:rPr>
          <w:rFonts w:ascii="宋体" w:hAnsi="宋体" w:cs="宋体" w:eastAsia="宋体" w:hint="default"/>
        </w:rPr>
        <w:t>Maturity</w:t>
      </w:r>
      <w:r>
        <w:rPr>
          <w:rFonts w:ascii="宋体" w:hAnsi="宋体" w:cs="宋体" w:eastAsia="宋体" w:hint="default"/>
          <w:spacing w:val="-28"/>
        </w:rPr>
        <w:t> </w:t>
      </w:r>
      <w:r>
        <w:rPr>
          <w:rFonts w:ascii="宋体" w:hAnsi="宋体" w:cs="宋体" w:eastAsia="宋体" w:hint="default"/>
        </w:rPr>
        <w:t>Level3</w:t>
      </w:r>
      <w:r>
        <w:rPr/>
        <w:t>（汽车行业软件过程改进和能力评估模</w:t>
      </w:r>
      <w:r>
        <w:rPr>
          <w:w w:val="100"/>
        </w:rPr>
        <w:t> </w:t>
      </w:r>
      <w:r>
        <w:rPr/>
        <w:t>型组织级成熟度三级）认证审核，成为全球汽车</w:t>
      </w:r>
      <w:r>
        <w:rPr>
          <w:spacing w:val="-58"/>
        </w:rPr>
        <w:t> </w:t>
      </w:r>
      <w:r>
        <w:rPr>
          <w:rFonts w:ascii="宋体" w:hAnsi="宋体" w:cs="宋体" w:eastAsia="宋体" w:hint="default"/>
        </w:rPr>
        <w:t>GIS</w:t>
      </w:r>
      <w:r>
        <w:rPr>
          <w:rFonts w:ascii="宋体" w:hAnsi="宋体" w:cs="宋体" w:eastAsia="宋体" w:hint="default"/>
          <w:spacing w:val="-59"/>
        </w:rPr>
        <w:t> </w:t>
      </w:r>
      <w:r>
        <w:rPr/>
        <w:t>软件和数字地图行业中唯一通过此认证的企业。</w:t>
      </w:r>
      <w:r>
        <w:rPr>
          <w:rFonts w:ascii="宋体" w:hAnsi="宋体" w:cs="宋体" w:eastAsia="宋体" w:hint="default"/>
        </w:rPr>
        <w:t> </w:t>
      </w:r>
    </w:p>
    <w:p>
      <w:pPr>
        <w:pStyle w:val="Heading6"/>
        <w:spacing w:line="408" w:lineRule="auto"/>
        <w:ind w:right="202"/>
        <w:jc w:val="left"/>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2</w:t>
      </w:r>
      <w:r>
        <w:rPr>
          <w:rFonts w:ascii="宋体" w:hAnsi="宋体" w:cs="宋体" w:eastAsia="宋体" w:hint="default"/>
          <w:spacing w:val="-56"/>
        </w:rPr>
        <w:t> </w:t>
      </w:r>
      <w:r>
        <w:rPr/>
        <w:t>月，公司与戴姆勒旗下梅赛德斯</w:t>
      </w:r>
      <w:r>
        <w:rPr>
          <w:rFonts w:ascii="宋体" w:hAnsi="宋体" w:cs="宋体" w:eastAsia="宋体" w:hint="default"/>
        </w:rPr>
        <w:t>-</w:t>
      </w:r>
      <w:r>
        <w:rPr/>
        <w:t>奔驰（以下简称“奔驰”）签订合作协议，奔驰全系车型</w:t>
      </w:r>
      <w:r>
        <w:rPr>
          <w:w w:val="100"/>
        </w:rPr>
        <w:t> </w:t>
      </w:r>
      <w:r>
        <w:rPr>
          <w:spacing w:val="-5"/>
          <w:w w:val="100"/>
        </w:rPr>
        <w:t>将全面启用四维图新导航电子地图，其低端车型前装离线导航地图数据也将逐渐切换为四维图新地图数据。</w:t>
      </w:r>
      <w:r>
        <w:rPr>
          <w:rFonts w:ascii="宋体" w:hAnsi="宋体" w:cs="宋体" w:eastAsia="宋体" w:hint="default"/>
          <w:w w:val="100"/>
        </w:rPr>
        <w:t> </w:t>
      </w:r>
    </w:p>
    <w:p>
      <w:pPr>
        <w:pStyle w:val="Heading6"/>
        <w:spacing w:line="240" w:lineRule="auto"/>
        <w:ind w:left="573" w:right="202" w:firstLine="0"/>
        <w:jc w:val="left"/>
      </w:pPr>
      <w:r>
        <w:rPr>
          <w:rFonts w:ascii="宋体" w:hAnsi="宋体" w:cs="宋体" w:eastAsia="宋体" w:hint="default"/>
        </w:rPr>
        <w:t>2017</w:t>
      </w:r>
      <w:r>
        <w:rPr>
          <w:rFonts w:ascii="宋体" w:hAnsi="宋体" w:cs="宋体" w:eastAsia="宋体" w:hint="default"/>
          <w:spacing w:val="-38"/>
        </w:rPr>
        <w:t> </w:t>
      </w:r>
      <w:r>
        <w:rPr/>
        <w:t>年</w:t>
      </w:r>
      <w:r>
        <w:rPr>
          <w:spacing w:val="-36"/>
        </w:rPr>
        <w:t> </w:t>
      </w:r>
      <w:r>
        <w:rPr>
          <w:rFonts w:ascii="宋体" w:hAnsi="宋体" w:cs="宋体" w:eastAsia="宋体" w:hint="default"/>
        </w:rPr>
        <w:t>11</w:t>
      </w:r>
      <w:r>
        <w:rPr>
          <w:rFonts w:ascii="宋体" w:hAnsi="宋体" w:cs="宋体" w:eastAsia="宋体" w:hint="default"/>
          <w:spacing w:val="-38"/>
        </w:rPr>
        <w:t> </w:t>
      </w:r>
      <w:r>
        <w:rPr>
          <w:spacing w:val="-9"/>
        </w:rPr>
        <w:t>月，</w:t>
      </w:r>
      <w:r>
        <w:rPr>
          <w:spacing w:val="37"/>
        </w:rPr>
        <w:t> </w:t>
      </w:r>
      <w:r>
        <w:rPr>
          <w:rFonts w:ascii="宋体" w:hAnsi="宋体" w:cs="宋体" w:eastAsia="宋体" w:hint="default"/>
          <w:spacing w:val="37"/>
        </w:rPr>
      </w:r>
      <w:r>
        <w:rPr>
          <w:spacing w:val="-4"/>
        </w:rPr>
        <w:t>公司与宝马</w:t>
      </w:r>
      <w:r>
        <w:rPr>
          <w:rFonts w:ascii="宋体" w:hAnsi="宋体" w:cs="宋体" w:eastAsia="宋体" w:hint="default"/>
          <w:spacing w:val="-4"/>
        </w:rPr>
        <w:t>(</w:t>
      </w:r>
      <w:r>
        <w:rPr>
          <w:spacing w:val="-4"/>
        </w:rPr>
        <w:t>中国</w:t>
      </w:r>
      <w:r>
        <w:rPr>
          <w:rFonts w:ascii="宋体" w:hAnsi="宋体" w:cs="宋体" w:eastAsia="宋体" w:hint="default"/>
          <w:spacing w:val="-4"/>
        </w:rPr>
        <w:t>)</w:t>
      </w:r>
      <w:r>
        <w:rPr>
          <w:spacing w:val="-4"/>
        </w:rPr>
        <w:t>汽车贸易有限公司（以下简称“宝马汽车公司”）签署导航电子地</w:t>
      </w:r>
    </w:p>
    <w:p>
      <w:pPr>
        <w:spacing w:line="240" w:lineRule="auto" w:before="10"/>
        <w:rPr>
          <w:rFonts w:ascii="宋体" w:hAnsi="宋体" w:cs="宋体" w:eastAsia="宋体" w:hint="default"/>
          <w:sz w:val="14"/>
          <w:szCs w:val="14"/>
        </w:rPr>
      </w:pPr>
    </w:p>
    <w:p>
      <w:pPr>
        <w:pStyle w:val="Heading6"/>
        <w:spacing w:line="240" w:lineRule="auto" w:before="0"/>
        <w:ind w:right="0" w:firstLine="0"/>
        <w:jc w:val="both"/>
      </w:pPr>
      <w:r>
        <w:rPr/>
        <w:t>图许可协议，公司将为其在中国销售的宝马集团所属品牌汽车提供包括在</w:t>
      </w:r>
      <w:r>
        <w:rPr>
          <w:spacing w:val="-58"/>
        </w:rPr>
        <w:t> </w:t>
      </w:r>
      <w:r>
        <w:rPr>
          <w:rFonts w:ascii="宋体" w:hAnsi="宋体" w:cs="宋体" w:eastAsia="宋体" w:hint="default"/>
        </w:rPr>
        <w:t>2021</w:t>
      </w:r>
      <w:r>
        <w:rPr>
          <w:rFonts w:ascii="宋体" w:hAnsi="宋体" w:cs="宋体" w:eastAsia="宋体" w:hint="default"/>
          <w:spacing w:val="-59"/>
        </w:rPr>
        <w:t> </w:t>
      </w:r>
      <w:r>
        <w:rPr/>
        <w:t>年前量产上市的原有平台</w:t>
      </w:r>
    </w:p>
    <w:p>
      <w:pPr>
        <w:spacing w:line="240" w:lineRule="auto" w:before="10"/>
        <w:rPr>
          <w:rFonts w:ascii="宋体" w:hAnsi="宋体" w:cs="宋体" w:eastAsia="宋体" w:hint="default"/>
          <w:sz w:val="14"/>
          <w:szCs w:val="14"/>
        </w:rPr>
      </w:pPr>
    </w:p>
    <w:p>
      <w:pPr>
        <w:pStyle w:val="Heading6"/>
        <w:spacing w:line="240" w:lineRule="auto" w:before="0"/>
        <w:ind w:right="0" w:firstLine="0"/>
        <w:jc w:val="both"/>
        <w:rPr>
          <w:rFonts w:ascii="宋体" w:hAnsi="宋体" w:cs="宋体" w:eastAsia="宋体" w:hint="default"/>
        </w:rPr>
      </w:pPr>
      <w:r>
        <w:rPr/>
        <w:t>及</w:t>
      </w:r>
      <w:r>
        <w:rPr>
          <w:spacing w:val="-56"/>
        </w:rPr>
        <w:t> </w:t>
      </w:r>
      <w:r>
        <w:rPr>
          <w:rFonts w:ascii="宋体" w:hAnsi="宋体" w:cs="宋体" w:eastAsia="宋体" w:hint="default"/>
        </w:rPr>
        <w:t>2021</w:t>
      </w:r>
      <w:r>
        <w:rPr>
          <w:rFonts w:ascii="宋体" w:hAnsi="宋体" w:cs="宋体" w:eastAsia="宋体" w:hint="default"/>
          <w:spacing w:val="-57"/>
        </w:rPr>
        <w:t> </w:t>
      </w:r>
      <w:r>
        <w:rPr/>
        <w:t>年量产上市的新平台在内的导航电子地图产品。</w:t>
      </w:r>
      <w:r>
        <w:rPr>
          <w:rFonts w:ascii="宋体" w:hAnsi="宋体" w:cs="宋体" w:eastAsia="宋体" w:hint="default"/>
        </w:rPr>
        <w:t> </w:t>
      </w:r>
    </w:p>
    <w:p>
      <w:pPr>
        <w:spacing w:after="0" w:line="240" w:lineRule="auto"/>
        <w:jc w:val="both"/>
        <w:rPr>
          <w:rFonts w:ascii="宋体" w:hAnsi="宋体" w:cs="宋体" w:eastAsia="宋体" w:hint="default"/>
        </w:rPr>
        <w:sectPr>
          <w:pgSz w:w="11910" w:h="16840"/>
          <w:pgMar w:header="745" w:footer="979" w:top="1060" w:bottom="1160" w:left="980" w:right="82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line="4260" w:lineRule="exact"/>
        <w:ind w:left="400" w:right="0" w:firstLine="0"/>
        <w:rPr>
          <w:rFonts w:ascii="宋体" w:hAnsi="宋体" w:cs="宋体" w:eastAsia="宋体" w:hint="default"/>
          <w:sz w:val="20"/>
          <w:szCs w:val="20"/>
        </w:rPr>
      </w:pPr>
      <w:r>
        <w:rPr>
          <w:rFonts w:ascii="宋体" w:hAnsi="宋体" w:cs="宋体" w:eastAsia="宋体" w:hint="default"/>
          <w:position w:val="-84"/>
          <w:sz w:val="20"/>
          <w:szCs w:val="20"/>
        </w:rPr>
        <w:drawing>
          <wp:inline distT="0" distB="0" distL="0" distR="0">
            <wp:extent cx="5845525" cy="2705100"/>
            <wp:effectExtent l="0" t="0" r="0" b="0"/>
            <wp:docPr id="19" name="image10.jpeg" descr=""/>
            <wp:cNvGraphicFramePr>
              <a:graphicFrameLocks noChangeAspect="1"/>
            </wp:cNvGraphicFramePr>
            <a:graphic>
              <a:graphicData uri="http://schemas.openxmlformats.org/drawingml/2006/picture">
                <pic:pic>
                  <pic:nvPicPr>
                    <pic:cNvPr id="20" name="image10.jpeg"/>
                    <pic:cNvPicPr/>
                  </pic:nvPicPr>
                  <pic:blipFill>
                    <a:blip r:embed="rId25" cstate="print"/>
                    <a:stretch>
                      <a:fillRect/>
                    </a:stretch>
                  </pic:blipFill>
                  <pic:spPr>
                    <a:xfrm>
                      <a:off x="0" y="0"/>
                      <a:ext cx="5845525" cy="2705100"/>
                    </a:xfrm>
                    <a:prstGeom prst="rect">
                      <a:avLst/>
                    </a:prstGeom>
                  </pic:spPr>
                </pic:pic>
              </a:graphicData>
            </a:graphic>
          </wp:inline>
        </w:drawing>
      </w:r>
      <w:r>
        <w:rPr>
          <w:rFonts w:ascii="宋体" w:hAnsi="宋体" w:cs="宋体" w:eastAsia="宋体" w:hint="default"/>
          <w:position w:val="-84"/>
          <w:sz w:val="20"/>
          <w:szCs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pStyle w:val="Heading6"/>
        <w:spacing w:line="308" w:lineRule="exact" w:before="0"/>
        <w:ind w:left="2478" w:right="0" w:firstLine="0"/>
        <w:jc w:val="left"/>
        <w:rPr>
          <w:rFonts w:ascii="华文中宋" w:hAnsi="华文中宋" w:cs="华文中宋" w:eastAsia="华文中宋" w:hint="default"/>
        </w:rPr>
      </w:pPr>
      <w:r>
        <w:rPr>
          <w:rFonts w:ascii="华文中宋" w:hAnsi="华文中宋" w:cs="华文中宋" w:eastAsia="华文中宋" w:hint="default"/>
        </w:rPr>
        <w:t>四维图新 </w:t>
      </w:r>
      <w:r>
        <w:rPr>
          <w:rFonts w:ascii="华文中宋" w:hAnsi="华文中宋" w:cs="华文中宋" w:eastAsia="华文中宋" w:hint="default"/>
        </w:rPr>
        <w:t>FastMap</w:t>
      </w:r>
      <w:r>
        <w:rPr>
          <w:rFonts w:ascii="华文中宋" w:hAnsi="华文中宋" w:cs="华文中宋" w:eastAsia="华文中宋" w:hint="default"/>
          <w:spacing w:val="-30"/>
        </w:rPr>
        <w:t> </w:t>
      </w:r>
      <w:r>
        <w:rPr>
          <w:rFonts w:ascii="华文中宋" w:hAnsi="华文中宋" w:cs="华文中宋" w:eastAsia="华文中宋" w:hint="default"/>
        </w:rPr>
        <w:t>生产体系全面支撑在线一体化生产</w:t>
      </w:r>
    </w:p>
    <w:p>
      <w:pPr>
        <w:spacing w:line="240" w:lineRule="auto" w:before="2"/>
        <w:rPr>
          <w:rFonts w:ascii="华文中宋" w:hAnsi="华文中宋" w:cs="华文中宋" w:eastAsia="华文中宋" w:hint="default"/>
          <w:sz w:val="12"/>
          <w:szCs w:val="12"/>
        </w:rPr>
      </w:pPr>
    </w:p>
    <w:p>
      <w:pPr>
        <w:pStyle w:val="Heading6"/>
        <w:spacing w:line="408" w:lineRule="auto" w:before="0"/>
        <w:ind w:right="149" w:firstLine="422"/>
        <w:jc w:val="both"/>
        <w:rPr>
          <w:rFonts w:ascii="宋体" w:hAnsi="宋体" w:cs="宋体" w:eastAsia="宋体" w:hint="default"/>
        </w:rPr>
      </w:pPr>
      <w:r>
        <w:rPr>
          <w:rFonts w:ascii="宋体" w:hAnsi="宋体" w:cs="宋体" w:eastAsia="宋体" w:hint="default"/>
          <w:b/>
          <w:bCs/>
          <w:spacing w:val="-3"/>
        </w:rPr>
        <w:t>在动态交通信息服务方面</w:t>
      </w:r>
      <w:r>
        <w:rPr>
          <w:spacing w:val="-3"/>
        </w:rPr>
        <w:t>，公司凭借多年来行业领先的技术优势，持续创新，提升用户体验，在技术</w:t>
      </w:r>
      <w:r>
        <w:rPr>
          <w:w w:val="100"/>
        </w:rPr>
        <w:t> </w:t>
      </w:r>
      <w:r>
        <w:rPr/>
        <w:t>服务层面实现突破，市场范围及业务领域也得到进一步拓展。</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55"/>
        </w:rPr>
        <w:t> </w:t>
      </w:r>
      <w:r>
        <w:rPr/>
        <w:t>年</w:t>
      </w:r>
      <w:r>
        <w:rPr>
          <w:spacing w:val="-53"/>
        </w:rPr>
        <w:t> </w:t>
      </w:r>
      <w:r>
        <w:rPr>
          <w:rFonts w:ascii="宋体" w:hAnsi="宋体" w:cs="宋体" w:eastAsia="宋体" w:hint="default"/>
        </w:rPr>
        <w:t>2</w:t>
      </w:r>
      <w:r>
        <w:rPr>
          <w:rFonts w:ascii="宋体" w:hAnsi="宋体" w:cs="宋体" w:eastAsia="宋体" w:hint="default"/>
          <w:spacing w:val="-55"/>
        </w:rPr>
        <w:t> </w:t>
      </w:r>
      <w:r>
        <w:rPr/>
        <w:t>月份，公司与长安福特签署实时交通信息采购合同，用以支持福特全球</w:t>
      </w:r>
      <w:r>
        <w:rPr>
          <w:spacing w:val="-53"/>
        </w:rPr>
        <w:t> </w:t>
      </w:r>
      <w:r>
        <w:rPr>
          <w:rFonts w:ascii="宋体" w:hAnsi="宋体" w:cs="宋体" w:eastAsia="宋体" w:hint="default"/>
        </w:rPr>
        <w:t>SYNC</w:t>
      </w:r>
      <w:r>
        <w:rPr>
          <w:rFonts w:ascii="宋体" w:hAnsi="宋体" w:cs="宋体" w:eastAsia="宋体" w:hint="default"/>
          <w:spacing w:val="-55"/>
        </w:rPr>
        <w:t> </w:t>
      </w:r>
      <w:r>
        <w:rPr/>
        <w:t>导航上基于车</w:t>
      </w:r>
      <w:r>
        <w:rPr>
          <w:w w:val="100"/>
        </w:rPr>
        <w:t> </w:t>
      </w:r>
      <w:r>
        <w:rPr>
          <w:spacing w:val="-2"/>
        </w:rPr>
        <w:t>载通信单元的实时交通信息开发计划在中国市场的落实。该项目将涵盖到中国市场的福特进口车型，以及</w:t>
      </w:r>
      <w:r>
        <w:rPr>
          <w:spacing w:val="-42"/>
        </w:rPr>
        <w:t> </w:t>
      </w:r>
      <w:r>
        <w:rPr>
          <w:spacing w:val="-42"/>
        </w:rPr>
      </w:r>
      <w:r>
        <w:rPr/>
        <w:t>由福特在中国的合资公司生产的车辆。</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spacing w:val="-2"/>
        </w:rPr>
        <w:t>报告期内，公司在巩固车载前装市场领先地位的同时，在公安、交警、互联网、物流、智能交通等领</w:t>
      </w:r>
      <w:r>
        <w:rPr>
          <w:w w:val="100"/>
        </w:rPr>
        <w:t> </w:t>
      </w:r>
      <w:r>
        <w:rPr/>
        <w:t>域积极拓展市场与合作。</w:t>
      </w:r>
      <w:r>
        <w:rPr>
          <w:rFonts w:ascii="宋体" w:hAnsi="宋体" w:cs="宋体" w:eastAsia="宋体" w:hint="default"/>
        </w:rPr>
        <w:t> </w:t>
      </w:r>
    </w:p>
    <w:p>
      <w:pPr>
        <w:pStyle w:val="Heading6"/>
        <w:spacing w:line="408" w:lineRule="auto"/>
        <w:ind w:right="177"/>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1</w:t>
      </w:r>
      <w:r>
        <w:rPr>
          <w:rFonts w:ascii="宋体" w:hAnsi="宋体" w:cs="宋体" w:eastAsia="宋体" w:hint="default"/>
          <w:spacing w:val="-56"/>
        </w:rPr>
        <w:t> </w:t>
      </w:r>
      <w:r>
        <w:rPr/>
        <w:t>月，《基于移动位置数据的城市出行信息服务关键技术与应用》项目荣获</w:t>
      </w:r>
      <w:r>
        <w:rPr>
          <w:spacing w:val="-53"/>
        </w:rPr>
        <w:t> </w:t>
      </w:r>
      <w:r>
        <w:rPr>
          <w:rFonts w:ascii="宋体" w:hAnsi="宋体" w:cs="宋体" w:eastAsia="宋体" w:hint="default"/>
        </w:rPr>
        <w:t>2016</w:t>
      </w:r>
      <w:r>
        <w:rPr>
          <w:rFonts w:ascii="宋体" w:hAnsi="宋体" w:cs="宋体" w:eastAsia="宋体" w:hint="default"/>
          <w:spacing w:val="-54"/>
        </w:rPr>
        <w:t> </w:t>
      </w:r>
      <w:r>
        <w:rPr/>
        <w:t>年度国家技</w:t>
      </w:r>
      <w:r>
        <w:rPr>
          <w:w w:val="100"/>
        </w:rPr>
        <w:t> </w:t>
      </w:r>
      <w:r>
        <w:rPr/>
        <w:t>术发明奖二等奖。</w:t>
      </w:r>
      <w:r>
        <w:rPr>
          <w:rFonts w:ascii="宋体" w:hAnsi="宋体" w:cs="宋体" w:eastAsia="宋体" w:hint="default"/>
        </w:rPr>
        <w:t> </w:t>
      </w:r>
    </w:p>
    <w:p>
      <w:pPr>
        <w:pStyle w:val="Heading6"/>
        <w:spacing w:line="408" w:lineRule="auto"/>
        <w:ind w:right="152"/>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32"/>
        </w:rPr>
        <w:t> </w:t>
      </w:r>
      <w:r>
        <w:rPr/>
        <w:t>年</w:t>
      </w:r>
      <w:r>
        <w:rPr>
          <w:spacing w:val="-29"/>
        </w:rPr>
        <w:t> </w:t>
      </w:r>
      <w:r>
        <w:rPr>
          <w:rFonts w:ascii="宋体" w:hAnsi="宋体" w:cs="宋体" w:eastAsia="宋体" w:hint="default"/>
        </w:rPr>
        <w:t>2</w:t>
      </w:r>
      <w:r>
        <w:rPr>
          <w:rFonts w:ascii="宋体" w:hAnsi="宋体" w:cs="宋体" w:eastAsia="宋体" w:hint="default"/>
          <w:spacing w:val="-32"/>
        </w:rPr>
        <w:t> </w:t>
      </w:r>
      <w:r>
        <w:rPr>
          <w:spacing w:val="-4"/>
        </w:rPr>
        <w:t>月，推出“路况查查“公司首款应用小程序，作为国内第一个路况查询小程序，目前已应用</w:t>
      </w:r>
      <w:r>
        <w:rPr>
          <w:w w:val="100"/>
        </w:rPr>
        <w:t> </w:t>
      </w:r>
      <w:r>
        <w:rPr/>
        <w:t>到西安交警及哈尔滨交警项目。</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rFonts w:ascii="宋体" w:hAnsi="宋体" w:cs="宋体" w:eastAsia="宋体" w:hint="default"/>
          <w:w w:val="100"/>
        </w:rPr>
        <w:t>2017</w:t>
      </w:r>
      <w:r>
        <w:rPr>
          <w:rFonts w:ascii="宋体" w:hAnsi="宋体" w:cs="宋体" w:eastAsia="宋体" w:hint="default"/>
          <w:spacing w:val="-54"/>
          <w:w w:val="100"/>
        </w:rPr>
        <w:t> </w:t>
      </w:r>
      <w:r>
        <w:rPr>
          <w:w w:val="100"/>
        </w:rPr>
        <w:t>年</w:t>
      </w:r>
      <w:r>
        <w:rPr>
          <w:spacing w:val="-51"/>
          <w:w w:val="100"/>
        </w:rPr>
        <w:t> </w:t>
      </w:r>
      <w:r>
        <w:rPr>
          <w:rFonts w:ascii="宋体" w:hAnsi="宋体" w:cs="宋体" w:eastAsia="宋体" w:hint="default"/>
          <w:w w:val="100"/>
        </w:rPr>
        <w:t>3</w:t>
      </w:r>
      <w:r>
        <w:rPr>
          <w:rFonts w:ascii="宋体" w:hAnsi="宋体" w:cs="宋体" w:eastAsia="宋体" w:hint="default"/>
          <w:spacing w:val="-54"/>
          <w:w w:val="100"/>
        </w:rPr>
        <w:t> </w:t>
      </w:r>
      <w:r>
        <w:rPr>
          <w:spacing w:val="-18"/>
          <w:w w:val="100"/>
        </w:rPr>
        <w:t>月，成功通过</w:t>
      </w:r>
      <w:r>
        <w:rPr>
          <w:spacing w:val="-51"/>
          <w:w w:val="100"/>
        </w:rPr>
        <w:t> </w:t>
      </w:r>
      <w:r>
        <w:rPr>
          <w:rFonts w:ascii="宋体" w:hAnsi="宋体" w:cs="宋体" w:eastAsia="宋体" w:hint="default"/>
          <w:spacing w:val="-1"/>
          <w:w w:val="100"/>
        </w:rPr>
        <w:t>Automotive</w:t>
      </w:r>
      <w:r>
        <w:rPr>
          <w:rFonts w:ascii="宋体" w:hAnsi="宋体" w:cs="宋体" w:eastAsia="宋体" w:hint="default"/>
          <w:spacing w:val="-51"/>
          <w:w w:val="100"/>
        </w:rPr>
        <w:t> </w:t>
      </w:r>
      <w:r>
        <w:rPr>
          <w:rFonts w:ascii="宋体" w:hAnsi="宋体" w:cs="宋体" w:eastAsia="宋体" w:hint="default"/>
          <w:spacing w:val="-7"/>
          <w:w w:val="100"/>
        </w:rPr>
        <w:t>SPICE</w:t>
      </w:r>
      <w:r>
        <w:rPr>
          <w:spacing w:val="-7"/>
          <w:w w:val="100"/>
        </w:rPr>
        <w:t>（</w:t>
      </w:r>
      <w:r>
        <w:rPr>
          <w:rFonts w:ascii="宋体" w:hAnsi="宋体" w:cs="宋体" w:eastAsia="宋体" w:hint="default"/>
          <w:spacing w:val="-7"/>
          <w:w w:val="100"/>
        </w:rPr>
        <w:t>A-SPICE:</w:t>
      </w:r>
      <w:r>
        <w:rPr>
          <w:spacing w:val="-7"/>
          <w:w w:val="100"/>
        </w:rPr>
        <w:t>汽车业界软件开发过程评估标准）组织成熟度</w:t>
      </w:r>
      <w:r>
        <w:rPr>
          <w:spacing w:val="5"/>
          <w:w w:val="100"/>
        </w:rPr>
        <w:t> </w:t>
      </w:r>
      <w:r>
        <w:rPr>
          <w:rFonts w:ascii="宋体" w:hAnsi="宋体" w:cs="宋体" w:eastAsia="宋体" w:hint="default"/>
          <w:spacing w:val="5"/>
          <w:w w:val="100"/>
        </w:rPr>
      </w:r>
      <w:r>
        <w:rPr>
          <w:rFonts w:ascii="宋体" w:hAnsi="宋体" w:cs="宋体" w:eastAsia="宋体" w:hint="default"/>
          <w:spacing w:val="-1"/>
          <w:w w:val="100"/>
        </w:rPr>
        <w:t>ML2</w:t>
      </w:r>
      <w:r>
        <w:rPr>
          <w:rFonts w:ascii="宋体" w:hAnsi="宋体" w:cs="宋体" w:eastAsia="宋体" w:hint="default"/>
          <w:w w:val="100"/>
        </w:rPr>
        <w:t> </w:t>
      </w:r>
      <w:r>
        <w:rPr/>
        <w:t>认证，有助于公司交通信息服务在车载前装领域继续占据更多的市场份额。</w:t>
      </w:r>
      <w:r>
        <w:rPr>
          <w:rFonts w:ascii="宋体" w:hAnsi="宋体" w:cs="宋体" w:eastAsia="宋体" w:hint="default"/>
        </w:rPr>
        <w:t> </w:t>
      </w:r>
    </w:p>
    <w:p>
      <w:pPr>
        <w:pStyle w:val="Heading6"/>
        <w:spacing w:line="408" w:lineRule="auto"/>
        <w:ind w:right="151"/>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34"/>
        </w:rPr>
        <w:t> </w:t>
      </w:r>
      <w:r>
        <w:rPr/>
        <w:t>年</w:t>
      </w:r>
      <w:r>
        <w:rPr>
          <w:spacing w:val="-31"/>
        </w:rPr>
        <w:t> </w:t>
      </w:r>
      <w:r>
        <w:rPr>
          <w:rFonts w:ascii="宋体" w:hAnsi="宋体" w:cs="宋体" w:eastAsia="宋体" w:hint="default"/>
        </w:rPr>
        <w:t>5</w:t>
      </w:r>
      <w:r>
        <w:rPr>
          <w:rFonts w:ascii="宋体" w:hAnsi="宋体" w:cs="宋体" w:eastAsia="宋体" w:hint="default"/>
          <w:spacing w:val="-34"/>
        </w:rPr>
        <w:t> </w:t>
      </w:r>
      <w:r>
        <w:rPr>
          <w:spacing w:val="-4"/>
        </w:rPr>
        <w:t>月，路况交通眼全新改版上线，国内首次应用“路况对比”服务，新增路况直播、轨迹录制</w:t>
      </w:r>
      <w:r>
        <w:rPr>
          <w:w w:val="100"/>
        </w:rPr>
        <w:t> </w:t>
      </w:r>
      <w:r>
        <w:rPr/>
        <w:t>等创新功能。</w:t>
      </w:r>
      <w:r>
        <w:rPr>
          <w:rFonts w:ascii="宋体" w:hAnsi="宋体" w:cs="宋体" w:eastAsia="宋体" w:hint="default"/>
        </w:rPr>
        <w:t> </w:t>
      </w:r>
    </w:p>
    <w:p>
      <w:pPr>
        <w:pStyle w:val="Heading6"/>
        <w:spacing w:line="240" w:lineRule="auto"/>
        <w:ind w:left="573" w:right="0" w:firstLine="0"/>
        <w:jc w:val="left"/>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10</w:t>
      </w:r>
      <w:r>
        <w:rPr>
          <w:rFonts w:ascii="宋体" w:hAnsi="宋体" w:cs="宋体" w:eastAsia="宋体" w:hint="default"/>
          <w:spacing w:val="-56"/>
        </w:rPr>
        <w:t> </w:t>
      </w:r>
      <w:r>
        <w:rPr/>
        <w:t>月，再次亮相</w:t>
      </w:r>
      <w:r>
        <w:rPr>
          <w:spacing w:val="-56"/>
        </w:rPr>
        <w:t> </w:t>
      </w:r>
      <w:r>
        <w:rPr>
          <w:rFonts w:ascii="宋体" w:hAnsi="宋体" w:cs="宋体" w:eastAsia="宋体" w:hint="default"/>
        </w:rPr>
        <w:t>ITS World</w:t>
      </w:r>
      <w:r>
        <w:rPr/>
        <w:t>，有助于企业走出国门，开拓海外市场。</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Heading6"/>
        <w:spacing w:line="240" w:lineRule="auto" w:before="0"/>
        <w:ind w:left="573" w:right="0" w:firstLine="0"/>
        <w:jc w:val="left"/>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56"/>
        </w:rPr>
        <w:t> </w:t>
      </w:r>
      <w:r>
        <w:rPr/>
        <w:t>年</w:t>
      </w:r>
      <w:r>
        <w:rPr>
          <w:spacing w:val="-54"/>
        </w:rPr>
        <w:t> </w:t>
      </w:r>
      <w:r>
        <w:rPr>
          <w:rFonts w:ascii="宋体" w:hAnsi="宋体" w:cs="宋体" w:eastAsia="宋体" w:hint="default"/>
        </w:rPr>
        <w:t>11</w:t>
      </w:r>
      <w:r>
        <w:rPr>
          <w:rFonts w:ascii="宋体" w:hAnsi="宋体" w:cs="宋体" w:eastAsia="宋体" w:hint="default"/>
          <w:spacing w:val="-56"/>
        </w:rPr>
        <w:t> </w:t>
      </w:r>
      <w:r>
        <w:rPr/>
        <w:t>月，成功举办第九届</w:t>
      </w:r>
      <w:r>
        <w:rPr>
          <w:spacing w:val="-53"/>
        </w:rPr>
        <w:t> </w:t>
      </w:r>
      <w:r>
        <w:rPr>
          <w:rFonts w:ascii="宋体" w:hAnsi="宋体" w:cs="宋体" w:eastAsia="宋体" w:hint="default"/>
        </w:rPr>
        <w:t>RTIC FORUM</w:t>
      </w:r>
      <w:r>
        <w:rPr/>
        <w:t>。</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7"/>
          <w:szCs w:val="17"/>
        </w:rPr>
      </w:pPr>
    </w:p>
    <w:p>
      <w:pPr>
        <w:spacing w:line="5055" w:lineRule="exact"/>
        <w:ind w:left="1075" w:right="0" w:firstLine="0"/>
        <w:rPr>
          <w:rFonts w:ascii="宋体" w:hAnsi="宋体" w:cs="宋体" w:eastAsia="宋体" w:hint="default"/>
          <w:sz w:val="20"/>
          <w:szCs w:val="20"/>
        </w:rPr>
      </w:pPr>
      <w:r>
        <w:rPr>
          <w:rFonts w:ascii="宋体" w:hAnsi="宋体" w:cs="宋体" w:eastAsia="宋体" w:hint="default"/>
          <w:position w:val="-100"/>
          <w:sz w:val="20"/>
          <w:szCs w:val="20"/>
        </w:rPr>
        <w:drawing>
          <wp:inline distT="0" distB="0" distL="0" distR="0">
            <wp:extent cx="4807920" cy="3209925"/>
            <wp:effectExtent l="0" t="0" r="0" b="0"/>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26" cstate="print"/>
                    <a:stretch>
                      <a:fillRect/>
                    </a:stretch>
                  </pic:blipFill>
                  <pic:spPr>
                    <a:xfrm>
                      <a:off x="0" y="0"/>
                      <a:ext cx="4807920" cy="3209925"/>
                    </a:xfrm>
                    <a:prstGeom prst="rect">
                      <a:avLst/>
                    </a:prstGeom>
                  </pic:spPr>
                </pic:pic>
              </a:graphicData>
            </a:graphic>
          </wp:inline>
        </w:drawing>
      </w:r>
      <w:r>
        <w:rPr>
          <w:rFonts w:ascii="宋体" w:hAnsi="宋体" w:cs="宋体" w:eastAsia="宋体" w:hint="default"/>
          <w:position w:val="-100"/>
          <w:sz w:val="20"/>
          <w:szCs w:val="20"/>
        </w:rPr>
      </w:r>
    </w:p>
    <w:p>
      <w:pPr>
        <w:pStyle w:val="Heading6"/>
        <w:spacing w:line="240" w:lineRule="auto" w:before="11"/>
        <w:ind w:left="168" w:right="226" w:firstLine="0"/>
        <w:jc w:val="center"/>
        <w:rPr>
          <w:rFonts w:ascii="华文中宋" w:hAnsi="华文中宋" w:cs="华文中宋" w:eastAsia="华文中宋" w:hint="default"/>
        </w:rPr>
      </w:pPr>
      <w:r>
        <w:rPr>
          <w:rFonts w:ascii="华文中宋" w:hAnsi="华文中宋" w:cs="华文中宋" w:eastAsia="华文中宋" w:hint="default"/>
        </w:rPr>
        <w:t>四维图新海量多源大数据</w:t>
      </w:r>
    </w:p>
    <w:p>
      <w:pPr>
        <w:spacing w:line="240" w:lineRule="auto" w:before="2"/>
        <w:rPr>
          <w:rFonts w:ascii="华文中宋" w:hAnsi="华文中宋" w:cs="华文中宋" w:eastAsia="华文中宋" w:hint="default"/>
          <w:sz w:val="12"/>
          <w:szCs w:val="12"/>
        </w:rPr>
      </w:pPr>
    </w:p>
    <w:p>
      <w:pPr>
        <w:pStyle w:val="Heading6"/>
        <w:spacing w:line="408" w:lineRule="auto" w:before="0"/>
        <w:ind w:right="206" w:firstLine="422"/>
        <w:jc w:val="both"/>
        <w:rPr>
          <w:rFonts w:ascii="宋体" w:hAnsi="宋体" w:cs="宋体" w:eastAsia="宋体" w:hint="default"/>
        </w:rPr>
      </w:pPr>
      <w:r>
        <w:rPr>
          <w:rFonts w:ascii="宋体" w:hAnsi="宋体" w:cs="宋体" w:eastAsia="宋体" w:hint="default"/>
          <w:b/>
          <w:bCs/>
          <w:spacing w:val="-2"/>
        </w:rPr>
        <w:t>在乘用车联网业务方面</w:t>
      </w:r>
      <w:r>
        <w:rPr>
          <w:spacing w:val="-2"/>
        </w:rPr>
        <w:t>，公司全面落实产业链上下游以及软硬件一体化整合战略，面向车相关领域进</w:t>
      </w:r>
      <w:r>
        <w:rPr>
          <w:w w:val="100"/>
        </w:rPr>
        <w:t> </w:t>
      </w:r>
      <w:r>
        <w:rPr/>
        <w:t>行产业链垂直深耕，加快推进智能车载操作系统、手机车机互联方案、车内语音</w:t>
      </w:r>
      <w:r>
        <w:rPr>
          <w:rFonts w:ascii="宋体" w:hAnsi="宋体" w:cs="宋体" w:eastAsia="宋体" w:hint="default"/>
        </w:rPr>
        <w:t>/</w:t>
      </w:r>
      <w:r>
        <w:rPr/>
        <w:t>语义识别方案、云服务</w:t>
      </w:r>
      <w:r>
        <w:rPr>
          <w:spacing w:val="-21"/>
        </w:rPr>
        <w:t> </w:t>
      </w:r>
      <w:r>
        <w:rPr>
          <w:spacing w:val="-21"/>
        </w:rPr>
      </w:r>
      <w:r>
        <w:rPr>
          <w:spacing w:val="-2"/>
        </w:rPr>
        <w:t>平台、智能硬件、车载芯片等车联网系列产品的开发及商用进度，与车厂客户共同探索核心业务变现及商</w:t>
      </w:r>
      <w:r>
        <w:rPr>
          <w:spacing w:val="-44"/>
        </w:rPr>
        <w:t> </w:t>
      </w:r>
      <w:r>
        <w:rPr>
          <w:spacing w:val="-44"/>
        </w:rPr>
      </w:r>
      <w:r>
        <w:rPr/>
        <w:t>业模式创新，并面向后装市场与硬件渠道资源进行深度整合。</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5"/>
        </w:rPr>
        <w:t>报告期内，</w:t>
      </w:r>
      <w:r>
        <w:rPr>
          <w:spacing w:val="15"/>
        </w:rPr>
        <w:t> </w:t>
      </w:r>
      <w:r>
        <w:rPr>
          <w:rFonts w:ascii="宋体" w:hAnsi="宋体" w:cs="宋体" w:eastAsia="宋体" w:hint="default"/>
          <w:spacing w:val="15"/>
        </w:rPr>
      </w:r>
      <w:r>
        <w:rPr>
          <w:spacing w:val="-3"/>
        </w:rPr>
        <w:t>公司积极推进车联网平台车厂合作项目，在前装领域，丰田</w:t>
      </w:r>
      <w:r>
        <w:rPr>
          <w:spacing w:val="-43"/>
        </w:rPr>
        <w:t> </w:t>
      </w:r>
      <w:r>
        <w:rPr>
          <w:rFonts w:ascii="宋体" w:hAnsi="宋体" w:cs="宋体" w:eastAsia="宋体" w:hint="default"/>
          <w:spacing w:val="-5"/>
        </w:rPr>
        <w:t>UIE</w:t>
      </w:r>
      <w:r>
        <w:rPr>
          <w:spacing w:val="-5"/>
        </w:rPr>
        <w:t>、大众</w:t>
      </w:r>
      <w:r>
        <w:rPr>
          <w:spacing w:val="-44"/>
        </w:rPr>
        <w:t> </w:t>
      </w:r>
      <w:r>
        <w:rPr>
          <w:rFonts w:ascii="宋体" w:hAnsi="宋体" w:cs="宋体" w:eastAsia="宋体" w:hint="default"/>
        </w:rPr>
        <w:t>ESI</w:t>
      </w:r>
      <w:r>
        <w:rPr>
          <w:rFonts w:ascii="宋体" w:hAnsi="宋体" w:cs="宋体" w:eastAsia="宋体" w:hint="default"/>
          <w:spacing w:val="-43"/>
        </w:rPr>
        <w:t> </w:t>
      </w:r>
      <w:r>
        <w:rPr/>
        <w:t>等平台项目顺</w:t>
      </w:r>
      <w:r>
        <w:rPr>
          <w:w w:val="100"/>
        </w:rPr>
        <w:t> </w:t>
      </w:r>
      <w:r>
        <w:rPr/>
        <w:t>利上线，新承接的长城下一代 </w:t>
      </w:r>
      <w:r>
        <w:rPr>
          <w:rFonts w:ascii="宋体" w:hAnsi="宋体" w:cs="宋体" w:eastAsia="宋体" w:hint="default"/>
        </w:rPr>
        <w:t>V2</w:t>
      </w:r>
      <w:r>
        <w:rPr>
          <w:rFonts w:ascii="宋体" w:hAnsi="宋体" w:cs="宋体" w:eastAsia="宋体" w:hint="default"/>
          <w:spacing w:val="-28"/>
        </w:rPr>
        <w:t> </w:t>
      </w:r>
      <w:r>
        <w:rPr/>
        <w:t>平台智能网联系统开发项目，将提供从后端服务到车载前端应用的完整</w:t>
      </w:r>
      <w:r>
        <w:rPr>
          <w:w w:val="100"/>
        </w:rPr>
        <w:t> </w:t>
      </w:r>
      <w:r>
        <w:rPr/>
        <w:t>解决方案。同时，新兴车企爱驰亿维车联网项目正式定点四维。</w:t>
      </w:r>
      <w:r>
        <w:rPr>
          <w:rFonts w:ascii="宋体" w:hAnsi="宋体" w:cs="宋体" w:eastAsia="宋体" w:hint="default"/>
        </w:rPr>
        <w:t> </w:t>
      </w:r>
    </w:p>
    <w:p>
      <w:pPr>
        <w:pStyle w:val="Heading6"/>
        <w:spacing w:line="408" w:lineRule="auto"/>
        <w:ind w:right="110"/>
        <w:jc w:val="both"/>
        <w:rPr>
          <w:rFonts w:ascii="宋体" w:hAnsi="宋体" w:cs="宋体" w:eastAsia="宋体" w:hint="default"/>
        </w:rPr>
      </w:pPr>
      <w:r>
        <w:rPr/>
        <w:t>公司手车互联方案在技术、产品和市场方面取得突破进展。在前装领域，公司与大众、丰田、一汽、</w:t>
      </w:r>
      <w:r>
        <w:rPr>
          <w:w w:val="100"/>
        </w:rPr>
        <w:t> </w:t>
      </w:r>
      <w:r>
        <w:rPr/>
        <w:t>北汽等十多个车厂建立合作关系。在后装领域，公司采取标配预装策略占领了相当规模的市场份额。</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公司车载语音解决方案以技术资源整合、服务创新为切入点，产品研发取得阶段性成果，顺利落地日</w:t>
      </w:r>
      <w:r>
        <w:rPr>
          <w:w w:val="100"/>
        </w:rPr>
        <w:t> </w:t>
      </w:r>
      <w:r>
        <w:rPr/>
        <w:t>产、飞歌等项目。</w:t>
      </w:r>
      <w:r>
        <w:rPr>
          <w:rFonts w:ascii="宋体" w:hAnsi="宋体" w:cs="宋体" w:eastAsia="宋体" w:hint="default"/>
        </w:rPr>
        <w:t> </w:t>
      </w:r>
    </w:p>
    <w:p>
      <w:pPr>
        <w:pStyle w:val="Heading6"/>
        <w:spacing w:line="408" w:lineRule="auto"/>
        <w:ind w:right="105"/>
        <w:jc w:val="left"/>
        <w:rPr>
          <w:rFonts w:ascii="宋体" w:hAnsi="宋体" w:cs="宋体" w:eastAsia="宋体" w:hint="default"/>
        </w:rPr>
      </w:pPr>
      <w:r>
        <w:rPr>
          <w:spacing w:val="-2"/>
        </w:rPr>
        <w:t>公司针对市场需求和用户痛点，对智能网联方案进行重构和升级，加速推进车联网项目成果物产品化</w:t>
      </w:r>
      <w:r>
        <w:rPr>
          <w:w w:val="100"/>
        </w:rPr>
        <w:t> </w:t>
      </w:r>
      <w:r>
        <w:rPr/>
        <w:t>进程，加速新一代云平台产品</w:t>
      </w:r>
      <w:r>
        <w:rPr>
          <w:spacing w:val="-61"/>
        </w:rPr>
        <w:t> </w:t>
      </w:r>
      <w:r>
        <w:rPr>
          <w:rFonts w:ascii="宋体" w:hAnsi="宋体" w:cs="宋体" w:eastAsia="宋体" w:hint="default"/>
        </w:rPr>
        <w:t>Wecloud</w:t>
      </w:r>
      <w:r>
        <w:rPr>
          <w:rFonts w:ascii="宋体" w:hAnsi="宋体" w:cs="宋体" w:eastAsia="宋体" w:hint="default"/>
          <w:spacing w:val="-61"/>
        </w:rPr>
        <w:t> </w:t>
      </w:r>
      <w:r>
        <w:rPr/>
        <w:t>平台的开发及实施，大数据平台、位置能力平台、</w:t>
      </w:r>
      <w:r>
        <w:rPr>
          <w:rFonts w:ascii="宋体" w:hAnsi="宋体" w:cs="宋体" w:eastAsia="宋体" w:hint="default"/>
        </w:rPr>
        <w:t>FOTA</w:t>
      </w:r>
      <w:r>
        <w:rPr/>
        <w:t>（</w:t>
      </w:r>
      <w:r>
        <w:rPr>
          <w:rFonts w:ascii="宋体" w:hAnsi="宋体" w:cs="宋体" w:eastAsia="宋体" w:hint="default"/>
        </w:rPr>
        <w:t>Firmware</w:t>
      </w:r>
      <w:r>
        <w:rPr>
          <w:rFonts w:ascii="宋体" w:hAnsi="宋体" w:cs="宋体" w:eastAsia="宋体" w:hint="default"/>
          <w:w w:val="100"/>
        </w:rPr>
        <w:t> </w:t>
      </w:r>
      <w:r>
        <w:rPr>
          <w:rFonts w:ascii="宋体" w:hAnsi="宋体" w:cs="宋体" w:eastAsia="宋体" w:hint="default"/>
        </w:rPr>
        <w:t>Over-The-Air</w:t>
      </w:r>
      <w:r>
        <w:rPr/>
        <w:t>）系统等也在相应开发建设中。</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公司面向下一代自动驾驶场景，加强产业资源整合及联合开发力度，并与云端海量数据处理及服务平</w:t>
      </w:r>
      <w:r>
        <w:rPr>
          <w:w w:val="100"/>
        </w:rPr>
        <w:t> </w:t>
      </w:r>
      <w:r>
        <w:rPr>
          <w:spacing w:val="-2"/>
        </w:rPr>
        <w:t>台形成良性互动，全面提升面向车载领域提供最完整的、拥有完全自主知识产权的车联网整体解决方案的</w:t>
      </w:r>
      <w:r>
        <w:rPr>
          <w:spacing w:val="-43"/>
        </w:rPr>
        <w:t> </w:t>
      </w:r>
      <w:r>
        <w:rPr>
          <w:spacing w:val="-43"/>
        </w:rPr>
      </w:r>
      <w:r>
        <w:rPr/>
        <w:t>能力。</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206" w:firstLine="422"/>
        <w:jc w:val="both"/>
        <w:rPr>
          <w:rFonts w:ascii="宋体" w:hAnsi="宋体" w:cs="宋体" w:eastAsia="宋体" w:hint="default"/>
        </w:rPr>
      </w:pPr>
      <w:r>
        <w:rPr>
          <w:rFonts w:ascii="宋体" w:hAnsi="宋体" w:cs="宋体" w:eastAsia="宋体" w:hint="default"/>
          <w:b/>
          <w:bCs/>
          <w:spacing w:val="-2"/>
        </w:rPr>
        <w:t>在商用车联网业务方面，</w:t>
      </w:r>
      <w:r>
        <w:rPr>
          <w:spacing w:val="-2"/>
        </w:rPr>
        <w:t>公司大力加强内部优势资源整合和跨部门协作力度，及时调整并完善面向新</w:t>
      </w:r>
      <w:r>
        <w:rPr>
          <w:w w:val="100"/>
        </w:rPr>
        <w:t> </w:t>
      </w:r>
      <w:r>
        <w:rPr>
          <w:spacing w:val="-2"/>
        </w:rPr>
        <w:t>型市场的产品服务体系，引入商用车联网技术高端领军人才，积极打造商用车联网领域核心产品的竞争优</w:t>
      </w:r>
      <w:r>
        <w:rPr>
          <w:spacing w:val="-42"/>
        </w:rPr>
        <w:t> </w:t>
      </w:r>
      <w:r>
        <w:rPr>
          <w:spacing w:val="-42"/>
        </w:rPr>
      </w:r>
      <w:r>
        <w:rPr>
          <w:spacing w:val="-2"/>
        </w:rPr>
        <w:t>势以及垂直一体化综合解决方案的能力；加大具有行业特色细分市场的开拓力度，进一步拓展商用车厂前</w:t>
      </w:r>
      <w:r>
        <w:rPr>
          <w:spacing w:val="-42"/>
        </w:rPr>
        <w:t> </w:t>
      </w:r>
      <w:r>
        <w:rPr>
          <w:spacing w:val="-42"/>
        </w:rPr>
      </w:r>
      <w:r>
        <w:rPr>
          <w:spacing w:val="-2"/>
        </w:rPr>
        <w:t>装渠道，提升商用车联网应用领域的市场占有率，并面向汽车后服务市场探索以大数据为基础的新型车联</w:t>
      </w:r>
      <w:r>
        <w:rPr>
          <w:spacing w:val="-43"/>
        </w:rPr>
        <w:t> </w:t>
      </w:r>
      <w:r>
        <w:rPr>
          <w:spacing w:val="-43"/>
        </w:rPr>
      </w:r>
      <w:r>
        <w:rPr/>
        <w:t>网商业模式。</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3"/>
        </w:rPr>
        <w:t>报告期内，公司围绕商用车车联网云服务平台为核心能力，依托自身车联网、云计算、</w:t>
      </w:r>
      <w:r>
        <w:rPr>
          <w:rFonts w:ascii="宋体" w:hAnsi="宋体" w:cs="宋体" w:eastAsia="宋体" w:hint="default"/>
          <w:spacing w:val="-3"/>
        </w:rPr>
        <w:t>ADAS</w:t>
      </w:r>
      <w:r>
        <w:rPr>
          <w:rFonts w:ascii="宋体" w:hAnsi="宋体" w:cs="宋体" w:eastAsia="宋体" w:hint="default"/>
          <w:spacing w:val="-35"/>
        </w:rPr>
        <w:t> </w:t>
      </w:r>
      <w:r>
        <w:rPr>
          <w:spacing w:val="-6"/>
        </w:rPr>
        <w:t>地图、动</w:t>
      </w:r>
      <w:r>
        <w:rPr>
          <w:w w:val="100"/>
        </w:rPr>
        <w:t> </w:t>
      </w:r>
      <w:r>
        <w:rPr>
          <w:spacing w:val="-2"/>
        </w:rPr>
        <w:t>态交通信息、大数据处理、高性能车联网智能硬件等技术资源，以车厂需求为指导，以互联网思维赋能商</w:t>
      </w:r>
      <w:r>
        <w:rPr>
          <w:spacing w:val="-50"/>
        </w:rPr>
        <w:t> </w:t>
      </w:r>
      <w:r>
        <w:rPr>
          <w:spacing w:val="-50"/>
        </w:rPr>
      </w:r>
      <w:r>
        <w:rPr>
          <w:spacing w:val="-2"/>
        </w:rPr>
        <w:t>用车，携手客户共同打造定制化的商用车车联网软硬件产品及服务。面向智慧物流快速发展契机，公司持</w:t>
      </w:r>
      <w:r>
        <w:rPr>
          <w:spacing w:val="-45"/>
        </w:rPr>
        <w:t> </w:t>
      </w:r>
      <w:r>
        <w:rPr>
          <w:spacing w:val="-45"/>
        </w:rPr>
      </w:r>
      <w:r>
        <w:rPr>
          <w:spacing w:val="-2"/>
        </w:rPr>
        <w:t>续提升能够为卡车司机、车主、车队、物流公司、车厂等关联行业用户系统地提供全面的车联网产品与数</w:t>
      </w:r>
      <w:r>
        <w:rPr>
          <w:spacing w:val="-44"/>
        </w:rPr>
        <w:t> </w:t>
      </w:r>
      <w:r>
        <w:rPr>
          <w:spacing w:val="-44"/>
        </w:rPr>
      </w:r>
      <w:r>
        <w:rPr/>
        <w:t>据服务解决方案能力，已经成为一汽解放青岛汽车定点供应商，并与上汽红岩、三一汽车达成战略合作。</w:t>
      </w:r>
      <w:r>
        <w:rPr>
          <w:spacing w:val="-20"/>
        </w:rPr>
        <w:t> </w:t>
      </w:r>
      <w:r>
        <w:rPr>
          <w:spacing w:val="-20"/>
        </w:rPr>
      </w:r>
      <w:r>
        <w:rPr/>
        <w:t>在车联网大数据应用方面，公司继续探索与保险相结合的车联网业务盈利模式。</w:t>
      </w:r>
      <w:r>
        <w:rPr>
          <w:rFonts w:ascii="宋体" w:hAnsi="宋体" w:cs="宋体" w:eastAsia="宋体" w:hint="default"/>
        </w:rPr>
        <w:t> </w:t>
      </w:r>
    </w:p>
    <w:p>
      <w:pPr>
        <w:pStyle w:val="Heading6"/>
        <w:spacing w:line="408" w:lineRule="auto"/>
        <w:ind w:right="0" w:firstLine="422"/>
        <w:jc w:val="left"/>
        <w:rPr>
          <w:rFonts w:ascii="宋体" w:hAnsi="宋体" w:cs="宋体" w:eastAsia="宋体" w:hint="default"/>
        </w:rPr>
      </w:pPr>
      <w:r>
        <w:rPr>
          <w:rFonts w:ascii="宋体" w:hAnsi="宋体" w:cs="宋体" w:eastAsia="宋体" w:hint="default"/>
          <w:b/>
          <w:bCs/>
          <w:spacing w:val="-2"/>
        </w:rPr>
        <w:t>在芯片业务方面，</w:t>
      </w:r>
      <w:r>
        <w:rPr>
          <w:spacing w:val="-2"/>
        </w:rPr>
        <w:t>公司通过收购杰发科技，具备了为车厂提供高性能车载芯片的能力，实现了汽车电</w:t>
      </w:r>
      <w:r>
        <w:rPr>
          <w:w w:val="100"/>
        </w:rPr>
        <w:t> </w:t>
      </w:r>
      <w:r>
        <w:rPr/>
        <w:t>子芯片领域的战略布局。一方面，基于杰发科技</w:t>
      </w:r>
      <w:r>
        <w:rPr>
          <w:spacing w:val="-60"/>
        </w:rPr>
        <w:t> </w:t>
      </w:r>
      <w:r>
        <w:rPr>
          <w:rFonts w:ascii="宋体" w:hAnsi="宋体" w:cs="宋体" w:eastAsia="宋体" w:hint="default"/>
        </w:rPr>
        <w:t>IVI</w:t>
      </w:r>
      <w:r>
        <w:rPr>
          <w:rFonts w:ascii="宋体" w:hAnsi="宋体" w:cs="宋体" w:eastAsia="宋体" w:hint="default"/>
          <w:spacing w:val="-60"/>
        </w:rPr>
        <w:t> </w:t>
      </w:r>
      <w:r>
        <w:rPr/>
        <w:t>产品在市场上已有的经营业绩与竞争优势，以及公司</w:t>
      </w:r>
      <w:r>
        <w:rPr>
          <w:w w:val="100"/>
        </w:rPr>
        <w:t> </w:t>
      </w:r>
      <w:r>
        <w:rPr>
          <w:spacing w:val="-7"/>
        </w:rPr>
        <w:t>与前装车厂多年积累的合作关系与产业优势，在稳定后装市场的同时，不断拓展前装市场份额；另一方面，</w:t>
      </w:r>
      <w:r>
        <w:rPr>
          <w:spacing w:val="-16"/>
        </w:rPr>
        <w:t> </w:t>
      </w:r>
      <w:r>
        <w:rPr>
          <w:spacing w:val="-16"/>
        </w:rPr>
      </w:r>
      <w:r>
        <w:rPr>
          <w:spacing w:val="-2"/>
        </w:rPr>
        <w:t>面向主动安全、智能网联、自动驾驶等芯片应用领域巨大的市场发展空间，加大芯片新产品开发力度，并</w:t>
      </w:r>
      <w:r>
        <w:rPr>
          <w:spacing w:val="-47"/>
        </w:rPr>
        <w:t> </w:t>
      </w:r>
      <w:r>
        <w:rPr>
          <w:spacing w:val="-47"/>
        </w:rPr>
      </w:r>
      <w:r>
        <w:rPr/>
        <w:t>与公司已有的高精度定位等优势资源进行整合，同时和大数据挖掘、深度学习等核心能力进行深度对接，</w:t>
      </w:r>
      <w:r>
        <w:rPr>
          <w:spacing w:val="-24"/>
        </w:rPr>
        <w:t> </w:t>
      </w:r>
      <w:r>
        <w:rPr>
          <w:spacing w:val="-24"/>
        </w:rPr>
      </w:r>
      <w:r>
        <w:rPr/>
        <w:t>形成发展合力，为公司大幅提升在汽车相关领域的综合服务能力奠定基础。</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报告期内，公司新一代汽车信息娱乐系统核心主控芯片及第一代车载功率电子芯片实现了量产出货，</w:t>
      </w:r>
      <w:r>
        <w:rPr>
          <w:w w:val="100"/>
        </w:rPr>
        <w:t> </w:t>
      </w:r>
      <w:r>
        <w:rPr>
          <w:spacing w:val="-4"/>
        </w:rPr>
        <w:t>新一代智能座舱系统主控芯片、</w:t>
      </w:r>
      <w:r>
        <w:rPr>
          <w:rFonts w:ascii="宋体" w:hAnsi="宋体" w:cs="宋体" w:eastAsia="宋体" w:hint="default"/>
          <w:spacing w:val="-4"/>
        </w:rPr>
        <w:t>MCU(BCM)</w:t>
      </w:r>
      <w:r>
        <w:rPr>
          <w:spacing w:val="-4"/>
        </w:rPr>
        <w:t>车身控制芯片、</w:t>
      </w:r>
      <w:r>
        <w:rPr>
          <w:rFonts w:ascii="宋体" w:hAnsi="宋体" w:cs="宋体" w:eastAsia="宋体" w:hint="default"/>
          <w:spacing w:val="-4"/>
        </w:rPr>
        <w:t>TPMS</w:t>
      </w:r>
      <w:r>
        <w:rPr>
          <w:rFonts w:ascii="宋体" w:hAnsi="宋体" w:cs="宋体" w:eastAsia="宋体" w:hint="default"/>
          <w:spacing w:val="-40"/>
        </w:rPr>
        <w:t> </w:t>
      </w:r>
      <w:r>
        <w:rPr/>
        <w:t>胎压监测系统芯片等汽车电子芯片产品研发</w:t>
      </w:r>
      <w:r>
        <w:rPr>
          <w:spacing w:val="-69"/>
        </w:rPr>
        <w:t> </w:t>
      </w:r>
      <w:r>
        <w:rPr>
          <w:spacing w:val="-69"/>
        </w:rPr>
      </w:r>
      <w:r>
        <w:rPr/>
        <w:t>力度持续加大。报告期内，公司在巩固国内</w:t>
      </w:r>
      <w:r>
        <w:rPr>
          <w:spacing w:val="-62"/>
        </w:rPr>
        <w:t> </w:t>
      </w:r>
      <w:r>
        <w:rPr>
          <w:rFonts w:ascii="宋体" w:hAnsi="宋体" w:cs="宋体" w:eastAsia="宋体" w:hint="default"/>
        </w:rPr>
        <w:t>IVI</w:t>
      </w:r>
      <w:r>
        <w:rPr>
          <w:rFonts w:ascii="宋体" w:hAnsi="宋体" w:cs="宋体" w:eastAsia="宋体" w:hint="default"/>
          <w:spacing w:val="-62"/>
        </w:rPr>
        <w:t> </w:t>
      </w:r>
      <w:r>
        <w:rPr/>
        <w:t>后装市场占有率的基础上，前装市场稳步增长，多个前装</w:t>
      </w:r>
      <w:r>
        <w:rPr>
          <w:w w:val="100"/>
        </w:rPr>
        <w:t> </w:t>
      </w:r>
      <w:r>
        <w:rPr/>
        <w:t>项目陆续量产，车规级</w:t>
      </w:r>
      <w:r>
        <w:rPr>
          <w:spacing w:val="-57"/>
        </w:rPr>
        <w:t> </w:t>
      </w:r>
      <w:r>
        <w:rPr>
          <w:rFonts w:ascii="宋体" w:hAnsi="宋体" w:cs="宋体" w:eastAsia="宋体" w:hint="default"/>
        </w:rPr>
        <w:t>IVI</w:t>
      </w:r>
      <w:r>
        <w:rPr>
          <w:rFonts w:ascii="宋体" w:hAnsi="宋体" w:cs="宋体" w:eastAsia="宋体" w:hint="default"/>
          <w:spacing w:val="-57"/>
        </w:rPr>
        <w:t> </w:t>
      </w:r>
      <w:r>
        <w:rPr/>
        <w:t>芯片也被多家世界级汽车零部件厂商所前装采用。</w:t>
      </w:r>
      <w:r>
        <w:rPr>
          <w:rFonts w:ascii="宋体" w:hAnsi="宋体" w:cs="宋体" w:eastAsia="宋体" w:hint="default"/>
        </w:rPr>
        <w:t> </w:t>
      </w:r>
    </w:p>
    <w:p>
      <w:pPr>
        <w:pStyle w:val="Heading6"/>
        <w:spacing w:line="408" w:lineRule="auto"/>
        <w:ind w:right="206" w:firstLine="422"/>
        <w:jc w:val="both"/>
        <w:rPr>
          <w:rFonts w:ascii="宋体" w:hAnsi="宋体" w:cs="宋体" w:eastAsia="宋体" w:hint="default"/>
        </w:rPr>
      </w:pPr>
      <w:r>
        <w:rPr>
          <w:rFonts w:ascii="宋体" w:hAnsi="宋体" w:cs="宋体" w:eastAsia="宋体" w:hint="default"/>
          <w:b/>
          <w:bCs/>
          <w:spacing w:val="-2"/>
        </w:rPr>
        <w:t>在自动驾驶业务方面，</w:t>
      </w:r>
      <w:r>
        <w:rPr>
          <w:spacing w:val="-2"/>
        </w:rPr>
        <w:t>公司继续加大产业布局力度和科研攻关投入。一方面，公司通过战略协同、资</w:t>
      </w:r>
      <w:r>
        <w:rPr>
          <w:w w:val="100"/>
        </w:rPr>
        <w:t> </w:t>
      </w:r>
      <w:r>
        <w:rPr/>
        <w:t>本运作、联合开发等方式，整合产业资源，不断推进</w:t>
      </w:r>
      <w:r>
        <w:rPr>
          <w:spacing w:val="-43"/>
        </w:rPr>
        <w:t> </w:t>
      </w:r>
      <w:r>
        <w:rPr>
          <w:rFonts w:ascii="宋体" w:hAnsi="宋体" w:cs="宋体" w:eastAsia="宋体" w:hint="default"/>
        </w:rPr>
        <w:t>ADAS</w:t>
      </w:r>
      <w:r>
        <w:rPr>
          <w:rFonts w:ascii="宋体" w:hAnsi="宋体" w:cs="宋体" w:eastAsia="宋体" w:hint="default"/>
          <w:spacing w:val="-45"/>
        </w:rPr>
        <w:t> </w:t>
      </w:r>
      <w:r>
        <w:rPr/>
        <w:t>地图，高精度地图及导航引擎，</w:t>
      </w:r>
      <w:r>
        <w:rPr>
          <w:rFonts w:ascii="宋体" w:hAnsi="宋体" w:cs="宋体" w:eastAsia="宋体" w:hint="default"/>
        </w:rPr>
        <w:t>ADAS</w:t>
      </w:r>
      <w:r>
        <w:rPr>
          <w:rFonts w:ascii="宋体" w:hAnsi="宋体" w:cs="宋体" w:eastAsia="宋体" w:hint="default"/>
          <w:spacing w:val="-43"/>
        </w:rPr>
        <w:t> </w:t>
      </w:r>
      <w:r>
        <w:rPr>
          <w:spacing w:val="-3"/>
        </w:rPr>
        <w:t>芯片等自</w:t>
      </w:r>
      <w:r>
        <w:rPr>
          <w:spacing w:val="-3"/>
          <w:w w:val="100"/>
        </w:rPr>
        <w:t> </w:t>
      </w:r>
      <w:r>
        <w:rPr>
          <w:spacing w:val="-2"/>
        </w:rPr>
        <w:t>动驾驶相关产品商用进度，进一步提升在半自动驾驶及自动驾驶解决方案领域的综合实力及竞争优势；另</w:t>
      </w:r>
      <w:r>
        <w:rPr>
          <w:spacing w:val="-44"/>
        </w:rPr>
        <w:t> </w:t>
      </w:r>
      <w:r>
        <w:rPr>
          <w:spacing w:val="-44"/>
        </w:rPr>
      </w:r>
      <w:r>
        <w:rPr/>
        <w:t>一方面，公司继续加大</w:t>
      </w:r>
      <w:r>
        <w:rPr>
          <w:spacing w:val="-37"/>
        </w:rPr>
        <w:t> </w:t>
      </w:r>
      <w:r>
        <w:rPr>
          <w:rFonts w:ascii="宋体" w:hAnsi="宋体" w:cs="宋体" w:eastAsia="宋体" w:hint="default"/>
        </w:rPr>
        <w:t>ADAS</w:t>
      </w:r>
      <w:r>
        <w:rPr>
          <w:rFonts w:ascii="宋体" w:hAnsi="宋体" w:cs="宋体" w:eastAsia="宋体" w:hint="default"/>
          <w:spacing w:val="-34"/>
        </w:rPr>
        <w:t> </w:t>
      </w:r>
      <w:r>
        <w:rPr/>
        <w:t>地图及</w:t>
      </w:r>
      <w:r>
        <w:rPr>
          <w:spacing w:val="-33"/>
        </w:rPr>
        <w:t> </w:t>
      </w:r>
      <w:r>
        <w:rPr>
          <w:rFonts w:ascii="宋体" w:hAnsi="宋体" w:cs="宋体" w:eastAsia="宋体" w:hint="default"/>
        </w:rPr>
        <w:t>HAD</w:t>
      </w:r>
      <w:r>
        <w:rPr>
          <w:rFonts w:ascii="宋体" w:hAnsi="宋体" w:cs="宋体" w:eastAsia="宋体" w:hint="default"/>
          <w:spacing w:val="-37"/>
        </w:rPr>
        <w:t> </w:t>
      </w:r>
      <w:r>
        <w:rPr/>
        <w:t>高精度地图智能采集、自动化生产的研发及投入力度，面向自动</w:t>
      </w:r>
      <w:r>
        <w:rPr>
          <w:w w:val="100"/>
        </w:rPr>
        <w:t> </w:t>
      </w:r>
      <w:r>
        <w:rPr/>
        <w:t>驾驶领域较高标准的应用需求，以</w:t>
      </w:r>
      <w:r>
        <w:rPr>
          <w:spacing w:val="-28"/>
        </w:rPr>
        <w:t> </w:t>
      </w:r>
      <w:r>
        <w:rPr>
          <w:rFonts w:ascii="宋体" w:hAnsi="宋体" w:cs="宋体" w:eastAsia="宋体" w:hint="default"/>
        </w:rPr>
        <w:t>AI+</w:t>
      </w:r>
      <w:r>
        <w:rPr/>
        <w:t>大数据处理为核心，不断加强图像识别、点云识别、传感器识别、</w:t>
      </w:r>
      <w:r>
        <w:rPr>
          <w:w w:val="100"/>
        </w:rPr>
        <w:t> </w:t>
      </w:r>
      <w:r>
        <w:rPr/>
        <w:t>多源融合、高精度定位、深度学习、自动驾驶引擎、离</w:t>
      </w:r>
      <w:r>
        <w:rPr>
          <w:rFonts w:ascii="宋体" w:hAnsi="宋体" w:cs="宋体" w:eastAsia="宋体" w:hint="default"/>
        </w:rPr>
        <w:t>/</w:t>
      </w:r>
      <w:r>
        <w:rPr/>
        <w:t>在线计算等底层核心技术的研发及验证力度，并</w:t>
      </w:r>
      <w:r>
        <w:rPr>
          <w:spacing w:val="-22"/>
        </w:rPr>
        <w:t> </w:t>
      </w:r>
      <w:r>
        <w:rPr>
          <w:spacing w:val="-22"/>
        </w:rPr>
      </w:r>
      <w:r>
        <w:rPr/>
        <w:t>基于车规要求不断提升各项技术指标。</w:t>
      </w:r>
      <w:r>
        <w:rPr>
          <w:rFonts w:ascii="宋体" w:hAnsi="宋体" w:cs="宋体" w:eastAsia="宋体" w:hint="default"/>
        </w:rPr>
        <w:t> </w:t>
      </w:r>
    </w:p>
    <w:p>
      <w:pPr>
        <w:pStyle w:val="Heading6"/>
        <w:spacing w:line="408" w:lineRule="auto"/>
        <w:ind w:right="0"/>
        <w:jc w:val="left"/>
      </w:pPr>
      <w:r>
        <w:rPr>
          <w:spacing w:val="-3"/>
        </w:rPr>
        <w:t>报告期内，公司高精度地图</w:t>
      </w:r>
      <w:r>
        <w:rPr>
          <w:rFonts w:ascii="宋体" w:hAnsi="宋体" w:cs="宋体" w:eastAsia="宋体" w:hint="default"/>
          <w:spacing w:val="-3"/>
        </w:rPr>
        <w:t>+</w:t>
      </w:r>
      <w:r>
        <w:rPr>
          <w:spacing w:val="-3"/>
        </w:rPr>
        <w:t>高精度定位</w:t>
      </w:r>
      <w:r>
        <w:rPr>
          <w:rFonts w:ascii="宋体" w:hAnsi="宋体" w:cs="宋体" w:eastAsia="宋体" w:hint="default"/>
          <w:spacing w:val="-3"/>
        </w:rPr>
        <w:t>+</w:t>
      </w:r>
      <w:r>
        <w:rPr>
          <w:spacing w:val="-3"/>
        </w:rPr>
        <w:t>芯片</w:t>
      </w:r>
      <w:r>
        <w:rPr>
          <w:rFonts w:ascii="宋体" w:hAnsi="宋体" w:cs="宋体" w:eastAsia="宋体" w:hint="default"/>
          <w:spacing w:val="-3"/>
        </w:rPr>
        <w:t>+</w:t>
      </w:r>
      <w:r>
        <w:rPr>
          <w:spacing w:val="-3"/>
        </w:rPr>
        <w:t>算法</w:t>
      </w:r>
      <w:r>
        <w:rPr>
          <w:rFonts w:ascii="宋体" w:hAnsi="宋体" w:cs="宋体" w:eastAsia="宋体" w:hint="default"/>
          <w:spacing w:val="-3"/>
        </w:rPr>
        <w:t>+</w:t>
      </w:r>
      <w:r>
        <w:rPr>
          <w:spacing w:val="-3"/>
        </w:rPr>
        <w:t>系统平台的自动驾驶核心能力持续提升，</w:t>
      </w:r>
      <w:r>
        <w:rPr>
          <w:rFonts w:ascii="宋体" w:hAnsi="宋体" w:cs="宋体" w:eastAsia="宋体" w:hint="default"/>
          <w:spacing w:val="-3"/>
        </w:rPr>
        <w:t>ADAS</w:t>
      </w:r>
      <w:r>
        <w:rPr>
          <w:rFonts w:ascii="宋体" w:hAnsi="宋体" w:cs="宋体" w:eastAsia="宋体" w:hint="default"/>
          <w:spacing w:val="-19"/>
        </w:rPr>
        <w:t> </w:t>
      </w:r>
      <w:r>
        <w:rPr/>
        <w:t>地</w:t>
      </w:r>
      <w:r>
        <w:rPr>
          <w:w w:val="100"/>
        </w:rPr>
        <w:t> </w:t>
      </w:r>
      <w:r>
        <w:rPr>
          <w:spacing w:val="-3"/>
        </w:rPr>
        <w:t>图产出量成倍增长，</w:t>
      </w:r>
      <w:r>
        <w:rPr>
          <w:rFonts w:ascii="宋体" w:hAnsi="宋体" w:cs="宋体" w:eastAsia="宋体" w:hint="default"/>
          <w:spacing w:val="-3"/>
        </w:rPr>
        <w:t>ADAS</w:t>
      </w:r>
      <w:r>
        <w:rPr>
          <w:rFonts w:ascii="宋体" w:hAnsi="宋体" w:cs="宋体" w:eastAsia="宋体" w:hint="default"/>
          <w:spacing w:val="-42"/>
        </w:rPr>
        <w:t> </w:t>
      </w:r>
      <w:r>
        <w:rPr>
          <w:spacing w:val="-4"/>
        </w:rPr>
        <w:t>应用产品“安行</w:t>
      </w:r>
      <w:r>
        <w:rPr>
          <w:spacing w:val="-42"/>
        </w:rPr>
        <w:t> </w:t>
      </w:r>
      <w:r>
        <w:rPr>
          <w:rFonts w:ascii="宋体" w:hAnsi="宋体" w:cs="宋体" w:eastAsia="宋体" w:hint="default"/>
          <w:spacing w:val="-4"/>
        </w:rPr>
        <w:t>API</w:t>
      </w:r>
      <w:r>
        <w:rPr>
          <w:spacing w:val="-4"/>
        </w:rPr>
        <w:t>”</w:t>
      </w:r>
      <w:r>
        <w:rPr>
          <w:rFonts w:ascii="宋体" w:hAnsi="宋体" w:cs="宋体" w:eastAsia="宋体" w:hint="default"/>
          <w:spacing w:val="-4"/>
        </w:rPr>
        <w:t>V1.0</w:t>
      </w:r>
      <w:r>
        <w:rPr>
          <w:rFonts w:ascii="宋体" w:hAnsi="宋体" w:cs="宋体" w:eastAsia="宋体" w:hint="default"/>
          <w:spacing w:val="-40"/>
        </w:rPr>
        <w:t> </w:t>
      </w:r>
      <w:r>
        <w:rPr/>
        <w:t>成功发布并可支持</w:t>
      </w:r>
      <w:r>
        <w:rPr>
          <w:spacing w:val="-42"/>
        </w:rPr>
        <w:t> </w:t>
      </w:r>
      <w:r>
        <w:rPr>
          <w:rFonts w:ascii="宋体" w:hAnsi="宋体" w:cs="宋体" w:eastAsia="宋体" w:hint="default"/>
        </w:rPr>
        <w:t>C</w:t>
      </w:r>
      <w:r>
        <w:rPr>
          <w:rFonts w:ascii="宋体" w:hAnsi="宋体" w:cs="宋体" w:eastAsia="宋体" w:hint="default"/>
          <w:spacing w:val="-40"/>
        </w:rPr>
        <w:t> </w:t>
      </w:r>
      <w:r>
        <w:rPr>
          <w:spacing w:val="-3"/>
        </w:rPr>
        <w:t>端使用。公司结合先进的智能导</w:t>
      </w:r>
    </w:p>
    <w:p>
      <w:pPr>
        <w:spacing w:after="0" w:line="408" w:lineRule="auto"/>
        <w:jc w:val="left"/>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206" w:firstLine="0"/>
        <w:jc w:val="both"/>
        <w:rPr>
          <w:rFonts w:ascii="宋体" w:hAnsi="宋体" w:cs="宋体" w:eastAsia="宋体" w:hint="default"/>
        </w:rPr>
      </w:pPr>
      <w:r>
        <w:rPr/>
        <w:t>航引擎和 </w:t>
      </w:r>
      <w:r>
        <w:rPr>
          <w:rFonts w:ascii="宋体" w:hAnsi="宋体" w:cs="宋体" w:eastAsia="宋体" w:hint="default"/>
        </w:rPr>
        <w:t>ADAS</w:t>
      </w:r>
      <w:r>
        <w:rPr>
          <w:rFonts w:ascii="宋体" w:hAnsi="宋体" w:cs="宋体" w:eastAsia="宋体" w:hint="default"/>
          <w:spacing w:val="-30"/>
        </w:rPr>
        <w:t> </w:t>
      </w:r>
      <w:r>
        <w:rPr/>
        <w:t>数据的融合，将道路的曲率、坡度、弯道信息等关键数据输出给车载运算单元，帮助车厂</w:t>
      </w:r>
      <w:r>
        <w:rPr>
          <w:w w:val="100"/>
        </w:rPr>
        <w:t> </w:t>
      </w:r>
      <w:r>
        <w:rPr>
          <w:spacing w:val="-2"/>
        </w:rPr>
        <w:t>根据运算结果实现对车辆的有效控制，如调节发动机的喷油量、调节大灯方向、控制车速等功能，从而对</w:t>
      </w:r>
      <w:r>
        <w:rPr>
          <w:spacing w:val="-47"/>
        </w:rPr>
        <w:t> </w:t>
      </w:r>
      <w:r>
        <w:rPr>
          <w:spacing w:val="-47"/>
        </w:rPr>
      </w:r>
      <w:r>
        <w:rPr/>
        <w:t>节油减排和驾驶安全起着非常大的促进作用。公司自主研发的支持 </w:t>
      </w:r>
      <w:r>
        <w:rPr>
          <w:rFonts w:ascii="宋体" w:hAnsi="宋体" w:cs="宋体" w:eastAsia="宋体" w:hint="default"/>
        </w:rPr>
        <w:t>ADAS</w:t>
      </w:r>
      <w:r>
        <w:rPr>
          <w:rFonts w:ascii="宋体" w:hAnsi="宋体" w:cs="宋体" w:eastAsia="宋体" w:hint="default"/>
          <w:spacing w:val="-28"/>
        </w:rPr>
        <w:t> </w:t>
      </w:r>
      <w:r>
        <w:rPr/>
        <w:t>功能的首款国产芯片开始量产，</w:t>
      </w:r>
      <w:r>
        <w:rPr>
          <w:w w:val="100"/>
        </w:rPr>
        <w:t> </w:t>
      </w:r>
      <w:r>
        <w:rPr/>
        <w:t>针对专用</w:t>
      </w:r>
      <w:r>
        <w:rPr>
          <w:spacing w:val="-35"/>
        </w:rPr>
        <w:t> </w:t>
      </w:r>
      <w:r>
        <w:rPr>
          <w:rFonts w:ascii="宋体" w:hAnsi="宋体" w:cs="宋体" w:eastAsia="宋体" w:hint="default"/>
        </w:rPr>
        <w:t>ADAS</w:t>
      </w:r>
      <w:r>
        <w:rPr>
          <w:rFonts w:ascii="宋体" w:hAnsi="宋体" w:cs="宋体" w:eastAsia="宋体" w:hint="default"/>
          <w:spacing w:val="-33"/>
        </w:rPr>
        <w:t> </w:t>
      </w:r>
      <w:r>
        <w:rPr/>
        <w:t>的订制化芯片研发和基于深度学习的图像识别算法也在积极研发当中。基于</w:t>
      </w:r>
      <w:r>
        <w:rPr>
          <w:spacing w:val="-33"/>
        </w:rPr>
        <w:t> </w:t>
      </w:r>
      <w:r>
        <w:rPr>
          <w:rFonts w:ascii="宋体" w:hAnsi="宋体" w:cs="宋体" w:eastAsia="宋体" w:hint="default"/>
        </w:rPr>
        <w:t>HAD</w:t>
      </w:r>
      <w:r>
        <w:rPr>
          <w:rFonts w:ascii="宋体" w:hAnsi="宋体" w:cs="宋体" w:eastAsia="宋体" w:hint="default"/>
          <w:spacing w:val="-36"/>
        </w:rPr>
        <w:t> </w:t>
      </w:r>
      <w:r>
        <w:rPr/>
        <w:t>高精度地</w:t>
      </w:r>
      <w:r>
        <w:rPr>
          <w:w w:val="100"/>
        </w:rPr>
        <w:t> </w:t>
      </w:r>
      <w:r>
        <w:rPr>
          <w:spacing w:val="-2"/>
        </w:rPr>
        <w:t>图数据及导航引擎等产品及技术验证，正在联合宝马、长城、博世以及其它研究机构快速推进。在高精度</w:t>
      </w:r>
      <w:r>
        <w:rPr>
          <w:spacing w:val="-47"/>
        </w:rPr>
        <w:t> </w:t>
      </w:r>
      <w:r>
        <w:rPr>
          <w:spacing w:val="-47"/>
        </w:rPr>
      </w:r>
      <w:r>
        <w:rPr>
          <w:spacing w:val="-2"/>
        </w:rPr>
        <w:t>地图与车端保密插件加密算法研究上取得阶段性成果，对经非线性保密技术处理后的高精度地图数据与保</w:t>
      </w:r>
      <w:r>
        <w:rPr>
          <w:spacing w:val="-43"/>
        </w:rPr>
        <w:t> </w:t>
      </w:r>
      <w:r>
        <w:rPr>
          <w:spacing w:val="-43"/>
        </w:rPr>
      </w:r>
      <w:r>
        <w:rPr>
          <w:spacing w:val="-2"/>
        </w:rPr>
        <w:t>密插件处理后的车端定位数据的匹配精度进行优化，为高精度地图面向未来的实际应用迈出坚实一步。公</w:t>
      </w:r>
      <w:r>
        <w:rPr>
          <w:spacing w:val="-43"/>
        </w:rPr>
        <w:t> </w:t>
      </w:r>
      <w:r>
        <w:rPr>
          <w:spacing w:val="-43"/>
        </w:rPr>
      </w:r>
      <w:r>
        <w:rPr>
          <w:spacing w:val="-2"/>
        </w:rPr>
        <w:t>司积极打造可以应对复杂路况通用服务能力需求的自动驾驶完整解决方案，通过自动驾驶车队实际道路验</w:t>
      </w:r>
      <w:r>
        <w:rPr>
          <w:spacing w:val="-43"/>
        </w:rPr>
        <w:t> </w:t>
      </w:r>
      <w:r>
        <w:rPr>
          <w:spacing w:val="-43"/>
        </w:rPr>
      </w:r>
      <w:r>
        <w:rPr>
          <w:spacing w:val="-2"/>
        </w:rPr>
        <w:t>证、聚集海量复杂路况应用场景集的仿真平台验证等不同方式，优化自动驾驶能力模型，提升解决方案应</w:t>
      </w:r>
      <w:r>
        <w:rPr>
          <w:spacing w:val="-42"/>
        </w:rPr>
        <w:t> </w:t>
      </w:r>
      <w:r>
        <w:rPr>
          <w:spacing w:val="-42"/>
        </w:rPr>
      </w:r>
      <w:r>
        <w:rPr/>
        <w:t>用场景的适应能力。</w:t>
      </w:r>
      <w:r>
        <w:rPr>
          <w:rFonts w:ascii="宋体" w:hAnsi="宋体" w:cs="宋体" w:eastAsia="宋体" w:hint="default"/>
        </w:rPr>
        <w:t> </w:t>
      </w:r>
    </w:p>
    <w:p>
      <w:pPr>
        <w:spacing w:line="240" w:lineRule="auto" w:before="3"/>
        <w:rPr>
          <w:rFonts w:ascii="宋体" w:hAnsi="宋体" w:cs="宋体" w:eastAsia="宋体" w:hint="default"/>
          <w:sz w:val="4"/>
          <w:szCs w:val="4"/>
        </w:rPr>
      </w:pPr>
    </w:p>
    <w:p>
      <w:pPr>
        <w:spacing w:line="2958" w:lineRule="exact"/>
        <w:ind w:left="796" w:right="0" w:firstLine="0"/>
        <w:rPr>
          <w:rFonts w:ascii="宋体" w:hAnsi="宋体" w:cs="宋体" w:eastAsia="宋体" w:hint="default"/>
          <w:sz w:val="20"/>
          <w:szCs w:val="20"/>
        </w:rPr>
      </w:pPr>
      <w:r>
        <w:rPr>
          <w:rFonts w:ascii="宋体" w:hAnsi="宋体" w:cs="宋体" w:eastAsia="宋体" w:hint="default"/>
          <w:position w:val="-58"/>
          <w:sz w:val="20"/>
          <w:szCs w:val="20"/>
        </w:rPr>
        <w:drawing>
          <wp:inline distT="0" distB="0" distL="0" distR="0">
            <wp:extent cx="5548346" cy="1878329"/>
            <wp:effectExtent l="0" t="0" r="0" b="0"/>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28" cstate="print"/>
                    <a:stretch>
                      <a:fillRect/>
                    </a:stretch>
                  </pic:blipFill>
                  <pic:spPr>
                    <a:xfrm>
                      <a:off x="0" y="0"/>
                      <a:ext cx="5548346" cy="1878329"/>
                    </a:xfrm>
                    <a:prstGeom prst="rect">
                      <a:avLst/>
                    </a:prstGeom>
                  </pic:spPr>
                </pic:pic>
              </a:graphicData>
            </a:graphic>
          </wp:inline>
        </w:drawing>
      </w:r>
      <w:r>
        <w:rPr>
          <w:rFonts w:ascii="宋体" w:hAnsi="宋体" w:cs="宋体" w:eastAsia="宋体" w:hint="default"/>
          <w:position w:val="-58"/>
          <w:sz w:val="20"/>
          <w:szCs w:val="20"/>
        </w:rPr>
      </w:r>
    </w:p>
    <w:p>
      <w:pPr>
        <w:pStyle w:val="Heading6"/>
        <w:spacing w:line="240" w:lineRule="auto" w:before="128"/>
        <w:ind w:left="168" w:right="226" w:firstLine="0"/>
        <w:jc w:val="center"/>
        <w:rPr>
          <w:rFonts w:ascii="华文中宋" w:hAnsi="华文中宋" w:cs="华文中宋" w:eastAsia="华文中宋" w:hint="default"/>
        </w:rPr>
      </w:pPr>
      <w:r>
        <w:rPr>
          <w:rFonts w:ascii="华文中宋" w:hAnsi="华文中宋" w:cs="华文中宋" w:eastAsia="华文中宋" w:hint="default"/>
        </w:rPr>
        <w:t>四维图新 </w:t>
      </w:r>
      <w:r>
        <w:rPr>
          <w:rFonts w:ascii="华文中宋" w:hAnsi="华文中宋" w:cs="华文中宋" w:eastAsia="华文中宋" w:hint="default"/>
        </w:rPr>
        <w:t>HAD</w:t>
      </w:r>
      <w:r>
        <w:rPr>
          <w:rFonts w:ascii="华文中宋" w:hAnsi="华文中宋" w:cs="华文中宋" w:eastAsia="华文中宋" w:hint="default"/>
          <w:spacing w:val="-27"/>
        </w:rPr>
        <w:t> </w:t>
      </w:r>
      <w:r>
        <w:rPr>
          <w:rFonts w:ascii="华文中宋" w:hAnsi="华文中宋" w:cs="华文中宋" w:eastAsia="华文中宋" w:hint="default"/>
          <w:spacing w:val="-3"/>
        </w:rPr>
        <w:t>地图</w:t>
      </w:r>
      <w:r>
        <w:rPr>
          <w:rFonts w:ascii="华文中宋" w:hAnsi="华文中宋" w:cs="华文中宋" w:eastAsia="华文中宋" w:hint="default"/>
        </w:rPr>
      </w:r>
    </w:p>
    <w:p>
      <w:pPr>
        <w:spacing w:line="240" w:lineRule="auto" w:before="2"/>
        <w:rPr>
          <w:rFonts w:ascii="华文中宋" w:hAnsi="华文中宋" w:cs="华文中宋" w:eastAsia="华文中宋" w:hint="default"/>
          <w:sz w:val="12"/>
          <w:szCs w:val="12"/>
        </w:rPr>
      </w:pPr>
    </w:p>
    <w:p>
      <w:pPr>
        <w:pStyle w:val="Heading6"/>
        <w:spacing w:line="408" w:lineRule="auto" w:before="0"/>
        <w:ind w:right="206" w:firstLine="422"/>
        <w:jc w:val="both"/>
        <w:rPr>
          <w:rFonts w:ascii="宋体" w:hAnsi="宋体" w:cs="宋体" w:eastAsia="宋体" w:hint="default"/>
        </w:rPr>
      </w:pPr>
      <w:r>
        <w:rPr>
          <w:rFonts w:ascii="宋体" w:hAnsi="宋体" w:cs="宋体" w:eastAsia="宋体" w:hint="default"/>
          <w:b/>
          <w:bCs/>
          <w:spacing w:val="-2"/>
        </w:rPr>
        <w:t>在位置大数据服务方面，</w:t>
      </w:r>
      <w:r>
        <w:rPr>
          <w:spacing w:val="-2"/>
        </w:rPr>
        <w:t>公司继续加快包括互联网数据、车辆物流数据、移动终端数据、通讯信令数</w:t>
      </w:r>
      <w:r>
        <w:rPr>
          <w:w w:val="100"/>
        </w:rPr>
        <w:t> </w:t>
      </w:r>
      <w:r>
        <w:rPr>
          <w:spacing w:val="-2"/>
        </w:rPr>
        <w:t>据等在内的多源数据融合及在线处理技术的研发和升级，并基于丰富海量交通出行大数据及大数据生态系</w:t>
      </w:r>
      <w:r>
        <w:rPr>
          <w:spacing w:val="-43"/>
        </w:rPr>
        <w:t> </w:t>
      </w:r>
      <w:r>
        <w:rPr>
          <w:spacing w:val="-43"/>
        </w:rPr>
      </w:r>
      <w:r>
        <w:rPr>
          <w:spacing w:val="-2"/>
        </w:rPr>
        <w:t>统，构建权威的全国位置数据仓库。同时，公司继续加大产品研发和创新培育，在提升用户体验和技术服</w:t>
      </w:r>
      <w:r>
        <w:rPr>
          <w:spacing w:val="-47"/>
        </w:rPr>
        <w:t> </w:t>
      </w:r>
      <w:r>
        <w:rPr>
          <w:spacing w:val="-47"/>
        </w:rPr>
      </w:r>
      <w:r>
        <w:rPr>
          <w:spacing w:val="-2"/>
        </w:rPr>
        <w:t>务层面实现突破，在信息服务的深度、广度、鲜度、精度及应用灵活度方面不断强化竞争优势。与武大信</w:t>
      </w:r>
      <w:r>
        <w:rPr>
          <w:spacing w:val="-41"/>
        </w:rPr>
        <w:t> </w:t>
      </w:r>
      <w:r>
        <w:rPr>
          <w:spacing w:val="-41"/>
        </w:rPr>
      </w:r>
      <w:r>
        <w:rPr>
          <w:spacing w:val="-2"/>
        </w:rPr>
        <w:t>息资源研究中心、公安部一所、中规院交通分院、苏州科达、上海电科、海信、浙江大华等多家行业领先</w:t>
      </w:r>
      <w:r>
        <w:rPr>
          <w:spacing w:val="-42"/>
        </w:rPr>
        <w:t> </w:t>
      </w:r>
      <w:r>
        <w:rPr>
          <w:spacing w:val="-42"/>
        </w:rPr>
      </w:r>
      <w:r>
        <w:rPr/>
        <w:t>机构达成战略合作，共同推进位置大数据、出行信息服务等领域的应用创新，提升产业赋能价值。</w:t>
      </w:r>
      <w:r>
        <w:rPr>
          <w:rFonts w:ascii="宋体" w:hAnsi="宋体" w:cs="宋体" w:eastAsia="宋体" w:hint="default"/>
        </w:rPr>
        <w:t> </w:t>
      </w:r>
    </w:p>
    <w:p>
      <w:pPr>
        <w:pStyle w:val="Heading6"/>
        <w:spacing w:line="408" w:lineRule="auto"/>
        <w:ind w:right="105"/>
        <w:jc w:val="both"/>
        <w:rPr>
          <w:rFonts w:ascii="宋体" w:hAnsi="宋体" w:cs="宋体" w:eastAsia="宋体" w:hint="default"/>
        </w:rPr>
      </w:pPr>
      <w:r>
        <w:rPr>
          <w:spacing w:val="-4"/>
        </w:rPr>
        <w:t>报告期内，公司位置大数据创新应用产品 </w:t>
      </w:r>
      <w:r>
        <w:rPr>
          <w:rFonts w:ascii="宋体" w:hAnsi="宋体" w:cs="宋体" w:eastAsia="宋体" w:hint="default"/>
        </w:rPr>
        <w:t>MineData</w:t>
      </w:r>
      <w:r>
        <w:rPr>
          <w:rFonts w:ascii="宋体" w:hAnsi="宋体" w:cs="宋体" w:eastAsia="宋体" w:hint="default"/>
          <w:spacing w:val="-81"/>
        </w:rPr>
        <w:t> </w:t>
      </w:r>
      <w:r>
        <w:rPr>
          <w:spacing w:val="-5"/>
        </w:rPr>
        <w:t>正式发布，该产品作为“数据</w:t>
      </w:r>
      <w:r>
        <w:rPr>
          <w:rFonts w:ascii="宋体" w:hAnsi="宋体" w:cs="宋体" w:eastAsia="宋体" w:hint="default"/>
          <w:spacing w:val="-5"/>
        </w:rPr>
        <w:t>+</w:t>
      </w:r>
      <w:r>
        <w:rPr>
          <w:spacing w:val="-5"/>
        </w:rPr>
        <w:t>可视化</w:t>
      </w:r>
      <w:r>
        <w:rPr>
          <w:rFonts w:ascii="宋体" w:hAnsi="宋体" w:cs="宋体" w:eastAsia="宋体" w:hint="default"/>
          <w:spacing w:val="-5"/>
        </w:rPr>
        <w:t>+</w:t>
      </w:r>
      <w:r>
        <w:rPr>
          <w:spacing w:val="-5"/>
        </w:rPr>
        <w:t>分析研判”</w:t>
      </w:r>
      <w:r>
        <w:rPr>
          <w:w w:val="100"/>
        </w:rPr>
        <w:t> </w:t>
      </w:r>
      <w:r>
        <w:rPr/>
        <w:t>的一站式位置大数据服务平台可为各行业提供深度定制的全方位解决方案，已荣获 </w:t>
      </w:r>
      <w:r>
        <w:rPr>
          <w:rFonts w:ascii="宋体" w:hAnsi="宋体" w:cs="宋体" w:eastAsia="宋体" w:hint="default"/>
        </w:rPr>
        <w:t>ITS Asia</w:t>
      </w:r>
      <w:r>
        <w:rPr>
          <w:rFonts w:ascii="宋体" w:hAnsi="宋体" w:cs="宋体" w:eastAsia="宋体" w:hint="default"/>
          <w:spacing w:val="-28"/>
        </w:rPr>
        <w:t> </w:t>
      </w:r>
      <w:r>
        <w:rPr>
          <w:rFonts w:ascii="宋体" w:hAnsi="宋体" w:cs="宋体" w:eastAsia="宋体" w:hint="default"/>
        </w:rPr>
        <w:t>2017</w:t>
      </w:r>
      <w:r>
        <w:rPr/>
        <w:t>“创新</w:t>
      </w:r>
      <w:r>
        <w:rPr>
          <w:w w:val="100"/>
        </w:rPr>
        <w:t> </w:t>
      </w:r>
      <w:r>
        <w:rPr>
          <w:spacing w:val="-3"/>
        </w:rPr>
        <w:t>产品奖”。依托</w:t>
      </w:r>
      <w:r>
        <w:rPr>
          <w:spacing w:val="-54"/>
        </w:rPr>
        <w:t> </w:t>
      </w:r>
      <w:r>
        <w:rPr>
          <w:rFonts w:ascii="宋体" w:hAnsi="宋体" w:cs="宋体" w:eastAsia="宋体" w:hint="default"/>
        </w:rPr>
        <w:t>MinData</w:t>
      </w:r>
      <w:r>
        <w:rPr>
          <w:rFonts w:ascii="宋体" w:hAnsi="宋体" w:cs="宋体" w:eastAsia="宋体" w:hint="default"/>
          <w:spacing w:val="-57"/>
        </w:rPr>
        <w:t> </w:t>
      </w:r>
      <w:r>
        <w:rPr/>
        <w:t>大数据平台，相继推出交警大数据平台、公安地图大数据平台、城市交通画像大</w:t>
      </w:r>
      <w:r>
        <w:rPr>
          <w:w w:val="100"/>
        </w:rPr>
        <w:t> </w:t>
      </w:r>
      <w:r>
        <w:rPr>
          <w:spacing w:val="-6"/>
        </w:rPr>
        <w:t>数据平台、车联网大数据平台，并在</w:t>
      </w:r>
      <w:r>
        <w:rPr>
          <w:spacing w:val="-51"/>
        </w:rPr>
        <w:t> </w:t>
      </w:r>
      <w:r>
        <w:rPr>
          <w:rFonts w:ascii="宋体" w:hAnsi="宋体" w:cs="宋体" w:eastAsia="宋体" w:hint="default"/>
        </w:rPr>
        <w:t>2017</w:t>
      </w:r>
      <w:r>
        <w:rPr>
          <w:rFonts w:ascii="宋体" w:hAnsi="宋体" w:cs="宋体" w:eastAsia="宋体" w:hint="default"/>
          <w:spacing w:val="-54"/>
        </w:rPr>
        <w:t> </w:t>
      </w:r>
      <w:r>
        <w:rPr/>
        <w:t>年</w:t>
      </w:r>
      <w:r>
        <w:rPr>
          <w:spacing w:val="-52"/>
        </w:rPr>
        <w:t> </w:t>
      </w:r>
      <w:r>
        <w:rPr>
          <w:rFonts w:ascii="宋体" w:hAnsi="宋体" w:cs="宋体" w:eastAsia="宋体" w:hint="default"/>
        </w:rPr>
        <w:t>11</w:t>
      </w:r>
      <w:r>
        <w:rPr>
          <w:rFonts w:ascii="宋体" w:hAnsi="宋体" w:cs="宋体" w:eastAsia="宋体" w:hint="default"/>
          <w:spacing w:val="-54"/>
        </w:rPr>
        <w:t> </w:t>
      </w:r>
      <w:r>
        <w:rPr/>
        <w:t>月份召开的</w:t>
      </w:r>
      <w:r>
        <w:rPr>
          <w:spacing w:val="-51"/>
        </w:rPr>
        <w:t> </w:t>
      </w:r>
      <w:r>
        <w:rPr>
          <w:rFonts w:ascii="宋体" w:hAnsi="宋体" w:cs="宋体" w:eastAsia="宋体" w:hint="default"/>
        </w:rPr>
        <w:t>RTIC</w:t>
      </w:r>
      <w:r>
        <w:rPr>
          <w:rFonts w:ascii="宋体" w:hAnsi="宋体" w:cs="宋体" w:eastAsia="宋体" w:hint="default"/>
          <w:spacing w:val="-51"/>
        </w:rPr>
        <w:t> </w:t>
      </w:r>
      <w:r>
        <w:rPr>
          <w:rFonts w:ascii="宋体" w:hAnsi="宋体" w:cs="宋体" w:eastAsia="宋体" w:hint="default"/>
        </w:rPr>
        <w:t>FORUM</w:t>
      </w:r>
      <w:r>
        <w:rPr>
          <w:rFonts w:ascii="宋体" w:hAnsi="宋体" w:cs="宋体" w:eastAsia="宋体" w:hint="default"/>
          <w:spacing w:val="-52"/>
        </w:rPr>
        <w:t> </w:t>
      </w:r>
      <w:r>
        <w:rPr/>
        <w:t>上正式发布交通气象大数据平台。</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44"/>
        </w:rPr>
        <w:t> </w:t>
      </w:r>
      <w:r>
        <w:rPr/>
        <w:t>年</w:t>
      </w:r>
      <w:r>
        <w:rPr>
          <w:spacing w:val="-46"/>
        </w:rPr>
        <w:t> </w:t>
      </w:r>
      <w:r>
        <w:rPr>
          <w:rFonts w:ascii="宋体" w:hAnsi="宋体" w:cs="宋体" w:eastAsia="宋体" w:hint="default"/>
        </w:rPr>
        <w:t>12</w:t>
      </w:r>
      <w:r>
        <w:rPr>
          <w:rFonts w:ascii="宋体" w:hAnsi="宋体" w:cs="宋体" w:eastAsia="宋体" w:hint="default"/>
          <w:spacing w:val="-44"/>
        </w:rPr>
        <w:t> </w:t>
      </w:r>
      <w:r>
        <w:rPr/>
        <w:t>月份，公司联合武汉大学成立联合实验室，共同推进双方在大数据领域的技术创新，以及</w:t>
      </w:r>
      <w:r>
        <w:rPr>
          <w:w w:val="100"/>
        </w:rPr>
        <w:t> </w:t>
      </w:r>
      <w:r>
        <w:rPr/>
        <w:t>大数据业务领域的进一步拓展，同时提升双方在大数据领域的创新能力和品牌影响力。</w:t>
      </w:r>
      <w:r>
        <w:rPr>
          <w:rFonts w:ascii="宋体" w:hAnsi="宋体" w:cs="宋体" w:eastAsia="宋体" w:hint="default"/>
        </w:rPr>
        <w:t> </w:t>
      </w:r>
    </w:p>
    <w:p>
      <w:pPr>
        <w:spacing w:after="0" w:line="408" w:lineRule="auto"/>
        <w:jc w:val="both"/>
        <w:rPr>
          <w:rFonts w:ascii="宋体" w:hAnsi="宋体" w:cs="宋体" w:eastAsia="宋体" w:hint="default"/>
        </w:rPr>
        <w:sectPr>
          <w:footerReference w:type="default" r:id="rId27"/>
          <w:pgSz w:w="11910" w:h="16840"/>
          <w:pgMar w:footer="979" w:header="745" w:top="1060" w:bottom="1160" w:left="980" w:right="920"/>
          <w:pgNumType w:start="26"/>
        </w:sectPr>
      </w:pPr>
    </w:p>
    <w:p>
      <w:pPr>
        <w:spacing w:line="240" w:lineRule="auto" w:before="0"/>
        <w:rPr>
          <w:rFonts w:ascii="宋体" w:hAnsi="宋体" w:cs="宋体" w:eastAsia="宋体" w:hint="default"/>
          <w:sz w:val="20"/>
          <w:szCs w:val="20"/>
        </w:rPr>
      </w:pPr>
    </w:p>
    <w:p>
      <w:pPr>
        <w:pStyle w:val="Heading6"/>
        <w:spacing w:line="408" w:lineRule="auto" w:before="176"/>
        <w:ind w:right="0" w:firstLine="422"/>
        <w:jc w:val="left"/>
        <w:rPr>
          <w:rFonts w:ascii="宋体" w:hAnsi="宋体" w:cs="宋体" w:eastAsia="宋体" w:hint="default"/>
        </w:rPr>
      </w:pPr>
      <w:r>
        <w:rPr>
          <w:rFonts w:ascii="宋体" w:hAnsi="宋体" w:cs="宋体" w:eastAsia="宋体" w:hint="default"/>
          <w:b/>
          <w:bCs/>
          <w:spacing w:val="-2"/>
        </w:rPr>
        <w:t>在市场和客户拓展方面，</w:t>
      </w:r>
      <w:r>
        <w:rPr>
          <w:spacing w:val="-2"/>
        </w:rPr>
        <w:t>公司在前装车载导航电子地图领域继续保持了领先的市场份额，与重要互联</w:t>
      </w:r>
      <w:r>
        <w:rPr>
          <w:w w:val="100"/>
        </w:rPr>
        <w:t> </w:t>
      </w:r>
      <w:r>
        <w:rPr>
          <w:spacing w:val="-2"/>
        </w:rPr>
        <w:t>网客户及行业客户保持了良好的战略合作关系；面对激烈的市场竞争环境，公司主动走向用户深入挖掘用</w:t>
      </w:r>
      <w:r>
        <w:rPr>
          <w:spacing w:val="-43"/>
        </w:rPr>
        <w:t> </w:t>
      </w:r>
      <w:r>
        <w:rPr>
          <w:spacing w:val="-43"/>
        </w:rPr>
      </w:r>
      <w:r>
        <w:rPr/>
        <w:t>户痛点及新兴需求，积极寻求产品服务创新及业务突破。报告期内，公司在服务好宝马、戴姆勒、丰田、</w:t>
      </w:r>
      <w:r>
        <w:rPr>
          <w:spacing w:val="-24"/>
        </w:rPr>
        <w:t> </w:t>
      </w:r>
      <w:r>
        <w:rPr>
          <w:spacing w:val="-24"/>
        </w:rPr>
      </w:r>
      <w:r>
        <w:rPr>
          <w:spacing w:val="-7"/>
        </w:rPr>
        <w:t>大众、通用、福特等现有国际车厂客户、提升用户满意度的同时，进一步拓展与长城、五菱、北汽、青汽、</w:t>
      </w:r>
      <w:r>
        <w:rPr>
          <w:spacing w:val="-18"/>
        </w:rPr>
        <w:t> </w:t>
      </w:r>
      <w:r>
        <w:rPr>
          <w:spacing w:val="-18"/>
        </w:rPr>
      </w:r>
      <w:r>
        <w:rPr>
          <w:spacing w:val="-2"/>
        </w:rPr>
        <w:t>上汽红岩等本土车厂合作项目，积极推进与特斯拉、蔚来汽车、爱驰亿维、赛麟、前途等新一代汽车科技</w:t>
      </w:r>
      <w:r>
        <w:rPr>
          <w:spacing w:val="-43"/>
        </w:rPr>
        <w:t> </w:t>
      </w:r>
      <w:r>
        <w:rPr>
          <w:spacing w:val="-43"/>
        </w:rPr>
      </w:r>
      <w:r>
        <w:rPr>
          <w:spacing w:val="-2"/>
        </w:rPr>
        <w:t>企业及新能源汽车企业展开全面合作，并面向后装市场拓展产品的应用领域；合作领域从传统的地图数据</w:t>
      </w:r>
      <w:r>
        <w:rPr>
          <w:spacing w:val="-44"/>
        </w:rPr>
        <w:t> </w:t>
      </w:r>
      <w:r>
        <w:rPr>
          <w:spacing w:val="-44"/>
        </w:rPr>
      </w:r>
      <w:r>
        <w:rPr>
          <w:spacing w:val="-7"/>
        </w:rPr>
        <w:t>服务向高精度地图、车联网解决方案、芯片解决方案、自动驾驶解决方案、大数据应用等领域拓展及深化；</w:t>
      </w:r>
      <w:r>
        <w:rPr>
          <w:spacing w:val="-19"/>
        </w:rPr>
        <w:t> </w:t>
      </w:r>
      <w:r>
        <w:rPr>
          <w:spacing w:val="-19"/>
        </w:rPr>
      </w:r>
      <w:r>
        <w:rPr>
          <w:spacing w:val="-2"/>
        </w:rPr>
        <w:t>数据服务范围从中国国内向东南亚等国际区域不断拓展。面对互联网行业快速发展且复杂多变的应用场景</w:t>
      </w:r>
      <w:r>
        <w:rPr>
          <w:spacing w:val="-43"/>
        </w:rPr>
        <w:t> </w:t>
      </w:r>
      <w:r>
        <w:rPr>
          <w:spacing w:val="-43"/>
        </w:rPr>
      </w:r>
      <w:r>
        <w:rPr>
          <w:spacing w:val="-3"/>
        </w:rPr>
        <w:t>和新兴需求，公司积极调整市场策略，并建立快速应对机制。报告期内，公司与 </w:t>
      </w:r>
      <w:r>
        <w:rPr>
          <w:rFonts w:ascii="宋体" w:hAnsi="宋体" w:cs="宋体" w:eastAsia="宋体" w:hint="default"/>
          <w:spacing w:val="-4"/>
        </w:rPr>
        <w:t>Here</w:t>
      </w:r>
      <w:r>
        <w:rPr>
          <w:spacing w:val="-4"/>
        </w:rPr>
        <w:t>、腾讯、滴滴、华为</w:t>
      </w:r>
      <w:r>
        <w:rPr>
          <w:spacing w:val="-88"/>
        </w:rPr>
        <w:t> </w:t>
      </w:r>
      <w:r>
        <w:rPr>
          <w:spacing w:val="-88"/>
        </w:rPr>
      </w:r>
      <w:r>
        <w:rPr/>
        <w:t>等高科技领先企业开展多层次的交流和合作，面向未来共同探讨多元化的产品及商务模式。</w:t>
      </w:r>
      <w:r>
        <w:rPr>
          <w:rFonts w:ascii="宋体" w:hAnsi="宋体" w:cs="宋体" w:eastAsia="宋体" w:hint="default"/>
        </w:rPr>
        <w:t> </w:t>
      </w:r>
    </w:p>
    <w:p>
      <w:pPr>
        <w:spacing w:line="240" w:lineRule="auto" w:before="4"/>
        <w:rPr>
          <w:rFonts w:ascii="宋体" w:hAnsi="宋体" w:cs="宋体" w:eastAsia="宋体" w:hint="default"/>
          <w:sz w:val="6"/>
          <w:szCs w:val="6"/>
        </w:rPr>
      </w:pPr>
    </w:p>
    <w:p>
      <w:pPr>
        <w:spacing w:line="5070" w:lineRule="exact"/>
        <w:ind w:left="458" w:right="0" w:firstLine="0"/>
        <w:rPr>
          <w:rFonts w:ascii="宋体" w:hAnsi="宋体" w:cs="宋体" w:eastAsia="宋体" w:hint="default"/>
          <w:sz w:val="20"/>
          <w:szCs w:val="20"/>
        </w:rPr>
      </w:pPr>
      <w:r>
        <w:rPr>
          <w:rFonts w:ascii="宋体" w:hAnsi="宋体" w:cs="宋体" w:eastAsia="宋体" w:hint="default"/>
          <w:position w:val="-100"/>
          <w:sz w:val="20"/>
          <w:szCs w:val="20"/>
        </w:rPr>
        <w:drawing>
          <wp:inline distT="0" distB="0" distL="0" distR="0">
            <wp:extent cx="5707638" cy="3219450"/>
            <wp:effectExtent l="0" t="0" r="0" b="0"/>
            <wp:docPr id="25" name="image13.jpeg" descr=""/>
            <wp:cNvGraphicFramePr>
              <a:graphicFrameLocks noChangeAspect="1"/>
            </wp:cNvGraphicFramePr>
            <a:graphic>
              <a:graphicData uri="http://schemas.openxmlformats.org/drawingml/2006/picture">
                <pic:pic>
                  <pic:nvPicPr>
                    <pic:cNvPr id="26" name="image13.jpeg"/>
                    <pic:cNvPicPr/>
                  </pic:nvPicPr>
                  <pic:blipFill>
                    <a:blip r:embed="rId29" cstate="print"/>
                    <a:stretch>
                      <a:fillRect/>
                    </a:stretch>
                  </pic:blipFill>
                  <pic:spPr>
                    <a:xfrm>
                      <a:off x="0" y="0"/>
                      <a:ext cx="5707638" cy="3219450"/>
                    </a:xfrm>
                    <a:prstGeom prst="rect">
                      <a:avLst/>
                    </a:prstGeom>
                  </pic:spPr>
                </pic:pic>
              </a:graphicData>
            </a:graphic>
          </wp:inline>
        </w:drawing>
      </w:r>
      <w:r>
        <w:rPr>
          <w:rFonts w:ascii="宋体" w:hAnsi="宋体" w:cs="宋体" w:eastAsia="宋体" w:hint="default"/>
          <w:position w:val="-100"/>
          <w:sz w:val="20"/>
          <w:szCs w:val="20"/>
        </w:rPr>
      </w:r>
    </w:p>
    <w:p>
      <w:pPr>
        <w:pStyle w:val="Heading6"/>
        <w:spacing w:line="240" w:lineRule="auto" w:before="173"/>
        <w:ind w:left="168" w:right="226" w:firstLine="0"/>
        <w:jc w:val="center"/>
        <w:rPr>
          <w:rFonts w:ascii="华文中宋" w:hAnsi="华文中宋" w:cs="华文中宋" w:eastAsia="华文中宋" w:hint="default"/>
        </w:rPr>
      </w:pPr>
      <w:r>
        <w:rPr>
          <w:rFonts w:ascii="华文中宋" w:hAnsi="华文中宋" w:cs="华文中宋" w:eastAsia="华文中宋" w:hint="default"/>
        </w:rPr>
        <w:t>四维图新客户遍及全球</w:t>
      </w:r>
    </w:p>
    <w:p>
      <w:pPr>
        <w:spacing w:line="240" w:lineRule="auto" w:before="2"/>
        <w:rPr>
          <w:rFonts w:ascii="华文中宋" w:hAnsi="华文中宋" w:cs="华文中宋" w:eastAsia="华文中宋" w:hint="default"/>
          <w:sz w:val="12"/>
          <w:szCs w:val="12"/>
        </w:rPr>
      </w:pPr>
    </w:p>
    <w:p>
      <w:pPr>
        <w:pStyle w:val="Heading6"/>
        <w:spacing w:line="408" w:lineRule="auto" w:before="0"/>
        <w:ind w:right="0" w:firstLine="422"/>
        <w:jc w:val="left"/>
        <w:rPr>
          <w:rFonts w:ascii="宋体" w:hAnsi="宋体" w:cs="宋体" w:eastAsia="宋体" w:hint="default"/>
        </w:rPr>
      </w:pPr>
      <w:r>
        <w:rPr>
          <w:rFonts w:ascii="宋体" w:hAnsi="宋体" w:cs="宋体" w:eastAsia="宋体" w:hint="default"/>
          <w:b/>
          <w:bCs/>
          <w:spacing w:val="-5"/>
        </w:rPr>
        <w:t>在研发投入及新产品开发方面，</w:t>
      </w:r>
      <w:r>
        <w:rPr>
          <w:spacing w:val="-5"/>
        </w:rPr>
        <w:t>公司立足于以位置为核心的海量多源大数据优势，基于公司发展战略，</w:t>
      </w:r>
      <w:r>
        <w:rPr>
          <w:w w:val="100"/>
        </w:rPr>
        <w:t> </w:t>
      </w:r>
      <w:r>
        <w:rPr/>
        <w:t>对技术研发资源进行整合和优化；面向新兴市场及客户需求，进行产品开发及商用孵化；面向自动驾驶等</w:t>
      </w:r>
      <w:r>
        <w:rPr>
          <w:w w:val="100"/>
        </w:rPr>
        <w:t> </w:t>
      </w:r>
      <w:r>
        <w:rPr/>
        <w:t>未来领域，继续加大研发投入、加强核心关键技术和底层技术的攻关力度。</w:t>
      </w:r>
      <w:r>
        <w:rPr>
          <w:rFonts w:ascii="宋体" w:hAnsi="宋体" w:cs="宋体" w:eastAsia="宋体" w:hint="default"/>
        </w:rPr>
        <w:t> </w:t>
      </w:r>
    </w:p>
    <w:p>
      <w:pPr>
        <w:pStyle w:val="Heading6"/>
        <w:spacing w:line="408" w:lineRule="auto"/>
        <w:ind w:right="206"/>
        <w:jc w:val="both"/>
      </w:pPr>
      <w:r>
        <w:rPr>
          <w:spacing w:val="-2"/>
        </w:rPr>
        <w:t>报告期内，公司导航业务的核心能力和用户体验持续提升，获得国际高端车厂和行业客户的认可，新</w:t>
      </w:r>
      <w:r>
        <w:rPr>
          <w:w w:val="100"/>
        </w:rPr>
        <w:t> </w:t>
      </w:r>
      <w:r>
        <w:rPr>
          <w:spacing w:val="-2"/>
        </w:rPr>
        <w:t>产品开发及落地按计划推进。车联网服务平台完善成熟的产品系列、技术体系和服务体系，可以同步支撑</w:t>
      </w:r>
      <w:r>
        <w:rPr>
          <w:spacing w:val="-44"/>
        </w:rPr>
        <w:t> </w:t>
      </w:r>
      <w:r>
        <w:rPr>
          <w:spacing w:val="-44"/>
        </w:rPr>
      </w:r>
      <w:r>
        <w:rPr>
          <w:spacing w:val="-2"/>
        </w:rPr>
        <w:t>乘用车和商用车车联网服务，正在加强面向自动驾驶应用场景、基于大数据的车联网服务以及车联网智能</w:t>
      </w:r>
      <w:r>
        <w:rPr>
          <w:spacing w:val="-44"/>
        </w:rPr>
        <w:t> </w:t>
      </w:r>
      <w:r>
        <w:rPr>
          <w:spacing w:val="-44"/>
        </w:rPr>
      </w:r>
      <w:r>
        <w:rPr>
          <w:spacing w:val="-2"/>
        </w:rPr>
        <w:t>出行领域的技术攻关和产品开发。面对主动安全、智能网联、自动驾驶等芯片应用领域巨大的市场发展空</w:t>
      </w:r>
    </w:p>
    <w:p>
      <w:pPr>
        <w:spacing w:after="0" w:line="408" w:lineRule="auto"/>
        <w:jc w:val="both"/>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0" w:firstLine="0"/>
        <w:jc w:val="left"/>
        <w:rPr>
          <w:rFonts w:ascii="宋体" w:hAnsi="宋体" w:cs="宋体" w:eastAsia="宋体" w:hint="default"/>
        </w:rPr>
      </w:pPr>
      <w:r>
        <w:rPr>
          <w:spacing w:val="-3"/>
        </w:rPr>
        <w:t>间，公司在加速</w:t>
      </w:r>
      <w:r>
        <w:rPr>
          <w:spacing w:val="-55"/>
        </w:rPr>
        <w:t> </w:t>
      </w:r>
      <w:r>
        <w:rPr>
          <w:rFonts w:ascii="宋体" w:hAnsi="宋体" w:cs="宋体" w:eastAsia="宋体" w:hint="default"/>
        </w:rPr>
        <w:t>IVI</w:t>
      </w:r>
      <w:r>
        <w:rPr>
          <w:rFonts w:ascii="宋体" w:hAnsi="宋体" w:cs="宋体" w:eastAsia="宋体" w:hint="default"/>
          <w:spacing w:val="-57"/>
        </w:rPr>
        <w:t> </w:t>
      </w:r>
      <w:r>
        <w:rPr/>
        <w:t>车载信息娱乐系统芯片产品迭代升级的基础上，加大新产品开发及验证力度。高精度</w:t>
      </w:r>
      <w:r>
        <w:rPr>
          <w:w w:val="100"/>
        </w:rPr>
        <w:t> </w:t>
      </w:r>
      <w:r>
        <w:rPr>
          <w:spacing w:val="-2"/>
        </w:rPr>
        <w:t>数据采集制作的核心技术全面达到国际领先水平，并具备了行业领先的高精度数据生产能力和规模生产能</w:t>
      </w:r>
      <w:r>
        <w:rPr>
          <w:spacing w:val="-43"/>
        </w:rPr>
        <w:t> </w:t>
      </w:r>
      <w:r>
        <w:rPr>
          <w:spacing w:val="-43"/>
        </w:rPr>
      </w:r>
      <w:r>
        <w:rPr>
          <w:spacing w:val="-4"/>
        </w:rPr>
        <w:t>力。基于</w:t>
      </w:r>
      <w:r>
        <w:rPr>
          <w:spacing w:val="-56"/>
        </w:rPr>
        <w:t> </w:t>
      </w:r>
      <w:r>
        <w:rPr>
          <w:rFonts w:ascii="宋体" w:hAnsi="宋体" w:cs="宋体" w:eastAsia="宋体" w:hint="default"/>
        </w:rPr>
        <w:t>RTK</w:t>
      </w:r>
      <w:r>
        <w:rPr>
          <w:rFonts w:ascii="宋体" w:hAnsi="宋体" w:cs="宋体" w:eastAsia="宋体" w:hint="default"/>
          <w:spacing w:val="-57"/>
        </w:rPr>
        <w:t> </w:t>
      </w:r>
      <w:r>
        <w:rPr/>
        <w:t>的高精定位组网和高精度定位接收终端已经完成技术验证和检测，达到或高于市场同类产品</w:t>
      </w:r>
      <w:r>
        <w:rPr>
          <w:w w:val="100"/>
        </w:rPr>
        <w:t> </w:t>
      </w:r>
      <w:r>
        <w:rPr/>
        <w:t>水准，初步具备量产化能力。与众多车厂共同打造的高级辅助驾驶产品系列正在加快推向产品化及量产，</w:t>
      </w:r>
      <w:r>
        <w:rPr>
          <w:spacing w:val="-24"/>
        </w:rPr>
        <w:t> </w:t>
      </w:r>
      <w:r>
        <w:rPr>
          <w:spacing w:val="-24"/>
        </w:rPr>
      </w:r>
      <w:r>
        <w:rPr/>
        <w:t>基于深度学习领域的技术成果已应用于生产与研发之中，公司 </w:t>
      </w:r>
      <w:r>
        <w:rPr>
          <w:rFonts w:ascii="宋体" w:hAnsi="宋体" w:cs="宋体" w:eastAsia="宋体" w:hint="default"/>
        </w:rPr>
        <w:t>L4</w:t>
      </w:r>
      <w:r>
        <w:rPr>
          <w:rFonts w:ascii="宋体" w:hAnsi="宋体" w:cs="宋体" w:eastAsia="宋体" w:hint="default"/>
          <w:spacing w:val="-28"/>
        </w:rPr>
        <w:t> </w:t>
      </w:r>
      <w:r>
        <w:rPr/>
        <w:t>级别全自动驾驶相关技术解决方案正在</w:t>
      </w:r>
      <w:r>
        <w:rPr>
          <w:w w:val="100"/>
        </w:rPr>
        <w:t> </w:t>
      </w:r>
      <w:r>
        <w:rPr/>
        <w:t>搭建和测试验证。</w:t>
      </w:r>
      <w:r>
        <w:rPr>
          <w:rFonts w:ascii="宋体" w:hAnsi="宋体" w:cs="宋体" w:eastAsia="宋体" w:hint="default"/>
        </w:rPr>
        <w:t> </w:t>
      </w:r>
    </w:p>
    <w:p>
      <w:pPr>
        <w:pStyle w:val="Heading6"/>
        <w:spacing w:line="240" w:lineRule="auto"/>
        <w:ind w:left="573" w:right="0" w:firstLine="0"/>
        <w:jc w:val="left"/>
      </w:pPr>
      <w:r>
        <w:rPr/>
        <w:t>报告期内，集团（含子公司）新增授权专利</w:t>
      </w:r>
      <w:r>
        <w:rPr>
          <w:spacing w:val="-42"/>
        </w:rPr>
        <w:t> </w:t>
      </w:r>
      <w:r>
        <w:rPr>
          <w:rFonts w:ascii="宋体" w:hAnsi="宋体" w:cs="宋体" w:eastAsia="宋体" w:hint="default"/>
        </w:rPr>
        <w:t>27</w:t>
      </w:r>
      <w:r>
        <w:rPr>
          <w:rFonts w:ascii="宋体" w:hAnsi="宋体" w:cs="宋体" w:eastAsia="宋体" w:hint="default"/>
          <w:spacing w:val="-42"/>
        </w:rPr>
        <w:t> </w:t>
      </w:r>
      <w:r>
        <w:rPr/>
        <w:t>件、注册的国内商标</w:t>
      </w:r>
      <w:r>
        <w:rPr>
          <w:spacing w:val="-39"/>
        </w:rPr>
        <w:t> </w:t>
      </w:r>
      <w:r>
        <w:rPr>
          <w:rFonts w:ascii="宋体" w:hAnsi="宋体" w:cs="宋体" w:eastAsia="宋体" w:hint="default"/>
        </w:rPr>
        <w:t>61</w:t>
      </w:r>
      <w:r>
        <w:rPr>
          <w:rFonts w:ascii="宋体" w:hAnsi="宋体" w:cs="宋体" w:eastAsia="宋体" w:hint="default"/>
          <w:spacing w:val="-39"/>
        </w:rPr>
        <w:t> </w:t>
      </w:r>
      <w:r>
        <w:rPr/>
        <w:t>件、注册的国际商标</w:t>
      </w:r>
      <w:r>
        <w:rPr>
          <w:spacing w:val="-41"/>
        </w:rPr>
        <w:t> </w:t>
      </w:r>
      <w:r>
        <w:rPr>
          <w:rFonts w:ascii="宋体" w:hAnsi="宋体" w:cs="宋体" w:eastAsia="宋体" w:hint="default"/>
        </w:rPr>
        <w:t>26</w:t>
      </w:r>
      <w:r>
        <w:rPr>
          <w:rFonts w:ascii="宋体" w:hAnsi="宋体" w:cs="宋体" w:eastAsia="宋体" w:hint="default"/>
          <w:spacing w:val="-42"/>
        </w:rPr>
        <w:t> </w:t>
      </w:r>
      <w:r>
        <w:rPr/>
        <w:t>件、</w:t>
      </w:r>
    </w:p>
    <w:p>
      <w:pPr>
        <w:spacing w:line="240" w:lineRule="auto" w:before="10"/>
        <w:rPr>
          <w:rFonts w:ascii="宋体" w:hAnsi="宋体" w:cs="宋体" w:eastAsia="宋体" w:hint="default"/>
          <w:sz w:val="14"/>
          <w:szCs w:val="14"/>
        </w:rPr>
      </w:pPr>
    </w:p>
    <w:p>
      <w:pPr>
        <w:pStyle w:val="Heading6"/>
        <w:spacing w:line="410" w:lineRule="auto" w:before="0"/>
        <w:ind w:left="575" w:right="0" w:hanging="423"/>
        <w:jc w:val="left"/>
      </w:pPr>
      <w:r>
        <w:rPr/>
        <w:t>软件著作权</w:t>
      </w:r>
      <w:r>
        <w:rPr>
          <w:spacing w:val="-52"/>
        </w:rPr>
        <w:t> </w:t>
      </w:r>
      <w:r>
        <w:rPr>
          <w:rFonts w:ascii="宋体" w:hAnsi="宋体" w:cs="宋体" w:eastAsia="宋体" w:hint="default"/>
        </w:rPr>
        <w:t>68</w:t>
      </w:r>
      <w:r>
        <w:rPr>
          <w:rFonts w:ascii="宋体" w:hAnsi="宋体" w:cs="宋体" w:eastAsia="宋体" w:hint="default"/>
          <w:spacing w:val="-55"/>
        </w:rPr>
        <w:t> </w:t>
      </w:r>
      <w:r>
        <w:rPr/>
        <w:t>件、作品著作权</w:t>
      </w:r>
      <w:r>
        <w:rPr>
          <w:spacing w:val="-52"/>
        </w:rPr>
        <w:t> </w:t>
      </w:r>
      <w:r>
        <w:rPr>
          <w:rFonts w:ascii="宋体" w:hAnsi="宋体" w:cs="宋体" w:eastAsia="宋体" w:hint="default"/>
        </w:rPr>
        <w:t>6</w:t>
      </w:r>
      <w:r>
        <w:rPr>
          <w:rFonts w:ascii="宋体" w:hAnsi="宋体" w:cs="宋体" w:eastAsia="宋体" w:hint="default"/>
          <w:spacing w:val="-55"/>
        </w:rPr>
        <w:t> </w:t>
      </w:r>
      <w:r>
        <w:rPr/>
        <w:t>件。</w:t>
      </w:r>
      <w:r>
        <w:rPr>
          <w:rFonts w:ascii="宋体" w:hAnsi="宋体" w:cs="宋体" w:eastAsia="宋体" w:hint="default"/>
          <w:w w:val="100"/>
        </w:rPr>
        <w:t> </w:t>
      </w:r>
      <w:r>
        <w:rPr>
          <w:rFonts w:ascii="宋体" w:hAnsi="宋体" w:cs="宋体" w:eastAsia="宋体" w:hint="default"/>
          <w:b/>
          <w:bCs/>
          <w:spacing w:val="-2"/>
        </w:rPr>
        <w:t>在对外投资及战略合作方面，</w:t>
      </w:r>
      <w:r>
        <w:rPr>
          <w:spacing w:val="-2"/>
        </w:rPr>
        <w:t>公司通过资本合作、战略协同等多种方式，继续加强在自动驾驶和车联</w:t>
      </w:r>
    </w:p>
    <w:p>
      <w:pPr>
        <w:pStyle w:val="Heading6"/>
        <w:spacing w:line="408" w:lineRule="auto" w:before="44"/>
        <w:ind w:right="204" w:firstLine="0"/>
        <w:jc w:val="left"/>
      </w:pPr>
      <w:r>
        <w:rPr>
          <w:spacing w:val="-2"/>
        </w:rPr>
        <w:t>网领域布局。报告期内，公司通过发行股份及支付现金购买资产的形式，收购杰发科技的全部股权，本次</w:t>
      </w:r>
      <w:r>
        <w:rPr>
          <w:spacing w:val="-47"/>
        </w:rPr>
        <w:t> </w:t>
      </w:r>
      <w:r>
        <w:rPr>
          <w:spacing w:val="-47"/>
        </w:rPr>
      </w:r>
      <w:r>
        <w:rPr/>
        <w:t>交易已于</w:t>
      </w:r>
      <w:r>
        <w:rPr>
          <w:spacing w:val="-34"/>
        </w:rPr>
        <w:t> </w:t>
      </w:r>
      <w:r>
        <w:rPr>
          <w:rFonts w:ascii="宋体" w:hAnsi="宋体" w:cs="宋体" w:eastAsia="宋体" w:hint="default"/>
        </w:rPr>
        <w:t>2017</w:t>
      </w:r>
      <w:r>
        <w:rPr>
          <w:rFonts w:ascii="宋体" w:hAnsi="宋体" w:cs="宋体" w:eastAsia="宋体" w:hint="default"/>
          <w:spacing w:val="-35"/>
        </w:rPr>
        <w:t> </w:t>
      </w:r>
      <w:r>
        <w:rPr/>
        <w:t>年</w:t>
      </w:r>
      <w:r>
        <w:rPr>
          <w:spacing w:val="-34"/>
        </w:rPr>
        <w:t> </w:t>
      </w:r>
      <w:r>
        <w:rPr>
          <w:rFonts w:ascii="宋体" w:hAnsi="宋体" w:cs="宋体" w:eastAsia="宋体" w:hint="default"/>
        </w:rPr>
        <w:t>1</w:t>
      </w:r>
      <w:r>
        <w:rPr>
          <w:rFonts w:ascii="宋体" w:hAnsi="宋体" w:cs="宋体" w:eastAsia="宋体" w:hint="default"/>
          <w:spacing w:val="-32"/>
        </w:rPr>
        <w:t> </w:t>
      </w:r>
      <w:r>
        <w:rPr/>
        <w:t>月收到证监会《关于核准北京四维图新科技股份有限公司向合肥高新科技创业投资有</w:t>
      </w:r>
    </w:p>
    <w:p>
      <w:pPr>
        <w:pStyle w:val="Heading6"/>
        <w:spacing w:line="408" w:lineRule="auto"/>
        <w:ind w:right="0" w:firstLine="0"/>
        <w:jc w:val="left"/>
        <w:rPr>
          <w:rFonts w:ascii="宋体" w:hAnsi="宋体" w:cs="宋体" w:eastAsia="宋体" w:hint="default"/>
        </w:rPr>
      </w:pPr>
      <w:r>
        <w:rPr/>
        <w:t>限公司等发行股份购买资产并募集配套资金的批复》，并于</w:t>
      </w:r>
      <w:r>
        <w:rPr>
          <w:spacing w:val="-51"/>
        </w:rPr>
        <w:t> </w:t>
      </w:r>
      <w:r>
        <w:rPr>
          <w:rFonts w:ascii="宋体" w:hAnsi="宋体" w:cs="宋体" w:eastAsia="宋体" w:hint="default"/>
        </w:rPr>
        <w:t>2017</w:t>
      </w:r>
      <w:r>
        <w:rPr>
          <w:rFonts w:ascii="宋体" w:hAnsi="宋体" w:cs="宋体" w:eastAsia="宋体" w:hint="default"/>
          <w:spacing w:val="-49"/>
        </w:rPr>
        <w:t> </w:t>
      </w:r>
      <w:r>
        <w:rPr/>
        <w:t>年</w:t>
      </w:r>
      <w:r>
        <w:rPr>
          <w:spacing w:val="-51"/>
        </w:rPr>
        <w:t> </w:t>
      </w:r>
      <w:r>
        <w:rPr>
          <w:rFonts w:ascii="宋体" w:hAnsi="宋体" w:cs="宋体" w:eastAsia="宋体" w:hint="default"/>
        </w:rPr>
        <w:t>3</w:t>
      </w:r>
      <w:r>
        <w:rPr>
          <w:rFonts w:ascii="宋体" w:hAnsi="宋体" w:cs="宋体" w:eastAsia="宋体" w:hint="default"/>
          <w:spacing w:val="-51"/>
        </w:rPr>
        <w:t> </w:t>
      </w:r>
      <w:r>
        <w:rPr/>
        <w:t>月</w:t>
      </w:r>
      <w:r>
        <w:rPr>
          <w:spacing w:val="-49"/>
        </w:rPr>
        <w:t> </w:t>
      </w:r>
      <w:r>
        <w:rPr>
          <w:rFonts w:ascii="宋体" w:hAnsi="宋体" w:cs="宋体" w:eastAsia="宋体" w:hint="default"/>
        </w:rPr>
        <w:t>2</w:t>
      </w:r>
      <w:r>
        <w:rPr>
          <w:rFonts w:ascii="宋体" w:hAnsi="宋体" w:cs="宋体" w:eastAsia="宋体" w:hint="default"/>
          <w:spacing w:val="-51"/>
        </w:rPr>
        <w:t> </w:t>
      </w:r>
      <w:r>
        <w:rPr/>
        <w:t>日完成杰发科技</w:t>
      </w:r>
      <w:r>
        <w:rPr>
          <w:spacing w:val="-51"/>
        </w:rPr>
        <w:t> </w:t>
      </w:r>
      <w:r>
        <w:rPr>
          <w:rFonts w:ascii="宋体" w:hAnsi="宋体" w:cs="宋体" w:eastAsia="宋体" w:hint="default"/>
        </w:rPr>
        <w:t>100%</w:t>
      </w:r>
      <w:r>
        <w:rPr/>
        <w:t>股权的过</w:t>
      </w:r>
      <w:r>
        <w:rPr>
          <w:w w:val="100"/>
        </w:rPr>
        <w:t> </w:t>
      </w:r>
      <w:r>
        <w:rPr/>
        <w:t>户手续及相关工商登记。</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报告期内，公司与 </w:t>
      </w:r>
      <w:r>
        <w:rPr>
          <w:rFonts w:ascii="宋体" w:hAnsi="宋体" w:cs="宋体" w:eastAsia="宋体" w:hint="default"/>
        </w:rPr>
        <w:t>HERE</w:t>
      </w:r>
      <w:r>
        <w:rPr>
          <w:rFonts w:ascii="宋体" w:hAnsi="宋体" w:cs="宋体" w:eastAsia="宋体" w:hint="default"/>
          <w:spacing w:val="-31"/>
        </w:rPr>
        <w:t> </w:t>
      </w:r>
      <w:r>
        <w:rPr/>
        <w:t>的合资公司北京图新瀚和科技有限公司设立完成，该公司将负责在中国运营</w:t>
      </w:r>
      <w:r>
        <w:rPr>
          <w:rFonts w:ascii="宋体" w:hAnsi="宋体" w:cs="宋体" w:eastAsia="宋体" w:hint="default"/>
          <w:w w:val="100"/>
        </w:rPr>
        <w:t> </w:t>
      </w:r>
      <w:r>
        <w:rPr>
          <w:rFonts w:ascii="宋体" w:hAnsi="宋体" w:cs="宋体" w:eastAsia="宋体" w:hint="default"/>
        </w:rPr>
        <w:t>HERE </w:t>
      </w:r>
      <w:r>
        <w:rPr>
          <w:spacing w:val="-4"/>
        </w:rPr>
        <w:t>全球领先的位置服务平台，提供包括中国地图数据及动态信息在内的内容端和服务端的解决方案，满</w:t>
      </w:r>
      <w:r>
        <w:rPr>
          <w:spacing w:val="-67"/>
        </w:rPr>
        <w:t> </w:t>
      </w:r>
      <w:r>
        <w:rPr>
          <w:spacing w:val="-67"/>
        </w:rPr>
      </w:r>
      <w:r>
        <w:rPr>
          <w:spacing w:val="-2"/>
        </w:rPr>
        <w:t>足国内外客户对于位置大数据服务快速增长的需求，进一步增强四维图新在位置大数据和自动驾驶领域的</w:t>
      </w:r>
      <w:r>
        <w:rPr>
          <w:spacing w:val="-43"/>
        </w:rPr>
        <w:t> </w:t>
      </w:r>
      <w:r>
        <w:rPr>
          <w:spacing w:val="-43"/>
        </w:rPr>
      </w:r>
      <w:r>
        <w:rPr/>
        <w:t>领先市场地位和竞争力。</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w w:val="100"/>
        </w:rPr>
        <w:t>报告期内，公司以自有资金参与设立北京四维互联基金管理中心（有限合伙），该基金总规模不超过</w:t>
      </w:r>
      <w:r>
        <w:rPr>
          <w:w w:val="100"/>
        </w:rPr>
        <w:t> </w:t>
      </w:r>
      <w:r>
        <w:rPr>
          <w:rFonts w:ascii="宋体" w:hAnsi="宋体" w:cs="宋体" w:eastAsia="宋体" w:hint="default"/>
        </w:rPr>
        <w:t>10 </w:t>
      </w:r>
      <w:r>
        <w:rPr>
          <w:spacing w:val="-4"/>
        </w:rPr>
        <w:t>亿元人民币，旨在实现公司发展战略，加速公司在自动驾驶、车联网及人工智能领域的布局，发挥四维</w:t>
      </w:r>
      <w:r>
        <w:rPr>
          <w:spacing w:val="-59"/>
        </w:rPr>
        <w:t> </w:t>
      </w:r>
      <w:r>
        <w:rPr>
          <w:spacing w:val="-59"/>
        </w:rPr>
      </w:r>
      <w:r>
        <w:rPr/>
        <w:t>图新产业领军和数据优势，打造自动驾驶生态圈。</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7"/>
          <w:w w:val="100"/>
        </w:rPr>
        <w:t>报告期内，公司投资北京未来导航科技有限公司（以下简称“未来导航”）。通过本次交易，有助于四</w:t>
      </w:r>
      <w:r>
        <w:rPr>
          <w:w w:val="100"/>
        </w:rPr>
        <w:t> </w:t>
      </w:r>
      <w:r>
        <w:rPr>
          <w:spacing w:val="-2"/>
        </w:rPr>
        <w:t>维图新进入和了解基于低轨微小卫星的高精度定位运营服务，进一步扩大和增强对于高精度定位和自动驾</w:t>
      </w:r>
      <w:r>
        <w:rPr>
          <w:spacing w:val="-43"/>
        </w:rPr>
        <w:t> </w:t>
      </w:r>
      <w:r>
        <w:rPr>
          <w:spacing w:val="-43"/>
        </w:rPr>
      </w:r>
      <w:r>
        <w:rPr/>
        <w:t>驶生态圈。</w:t>
      </w:r>
      <w:r>
        <w:rPr>
          <w:rFonts w:ascii="宋体" w:hAnsi="宋体" w:cs="宋体" w:eastAsia="宋体" w:hint="default"/>
        </w:rPr>
        <w:t> </w:t>
      </w:r>
    </w:p>
    <w:p>
      <w:pPr>
        <w:pStyle w:val="Heading6"/>
        <w:spacing w:line="408" w:lineRule="auto"/>
        <w:ind w:right="208"/>
        <w:jc w:val="both"/>
        <w:rPr>
          <w:rFonts w:ascii="宋体" w:hAnsi="宋体" w:cs="宋体" w:eastAsia="宋体" w:hint="default"/>
        </w:rPr>
      </w:pPr>
      <w:r>
        <w:rPr>
          <w:spacing w:val="-7"/>
          <w:w w:val="100"/>
        </w:rPr>
        <w:t>报告期内，公司投资禾多科技（北京）有限公司（以下简称“禾多科技”）。通过本次交易，有助于增</w:t>
      </w:r>
      <w:r>
        <w:rPr>
          <w:w w:val="100"/>
        </w:rPr>
        <w:t> </w:t>
      </w:r>
      <w:r>
        <w:rPr/>
        <w:t>强四维图新对自动驾驶不同环节的布局，增加四维图新自动驾驶业务的合作伙伴。</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t>报告期内，公司使用自有资金 </w:t>
      </w:r>
      <w:r>
        <w:rPr>
          <w:rFonts w:ascii="宋体" w:hAnsi="宋体" w:cs="宋体" w:eastAsia="宋体" w:hint="default"/>
        </w:rPr>
        <w:t>6,635.09</w:t>
      </w:r>
      <w:r>
        <w:rPr>
          <w:rFonts w:ascii="宋体" w:hAnsi="宋体" w:cs="宋体" w:eastAsia="宋体" w:hint="default"/>
          <w:spacing w:val="-28"/>
        </w:rPr>
        <w:t> </w:t>
      </w:r>
      <w:r>
        <w:rPr/>
        <w:t>万元通过北京产权交易所以摘牌方式收购公司大股东中国四</w:t>
      </w:r>
      <w:r>
        <w:rPr>
          <w:w w:val="100"/>
        </w:rPr>
        <w:t> </w:t>
      </w:r>
      <w:r>
        <w:rPr/>
        <w:t>维测绘技术有限公司所持中寰卫星导航通信有限公司</w:t>
      </w:r>
      <w:r>
        <w:rPr>
          <w:spacing w:val="-28"/>
        </w:rPr>
        <w:t> </w:t>
      </w:r>
      <w:r>
        <w:rPr>
          <w:rFonts w:ascii="宋体" w:hAnsi="宋体" w:cs="宋体" w:eastAsia="宋体" w:hint="default"/>
        </w:rPr>
        <w:t>37.4%</w:t>
      </w:r>
      <w:r>
        <w:rPr/>
        <w:t>的股权，收购完成后公司持有中寰卫星导航通</w:t>
      </w:r>
      <w:r>
        <w:rPr>
          <w:w w:val="100"/>
        </w:rPr>
        <w:t> </w:t>
      </w:r>
      <w:r>
        <w:rPr/>
        <w:t>信有限公司</w:t>
      </w:r>
      <w:r>
        <w:rPr>
          <w:spacing w:val="-57"/>
        </w:rPr>
        <w:t> </w:t>
      </w:r>
      <w:r>
        <w:rPr>
          <w:rFonts w:ascii="宋体" w:hAnsi="宋体" w:cs="宋体" w:eastAsia="宋体" w:hint="default"/>
        </w:rPr>
        <w:t>76.32%</w:t>
      </w:r>
      <w:r>
        <w:rPr/>
        <w:t>的股权。</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14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32"/>
        </w:rPr>
        <w:t> </w:t>
      </w:r>
      <w:r>
        <w:rPr/>
        <w:t>年</w:t>
      </w:r>
      <w:r>
        <w:rPr>
          <w:spacing w:val="-29"/>
        </w:rPr>
        <w:t> </w:t>
      </w:r>
      <w:r>
        <w:rPr>
          <w:rFonts w:ascii="宋体" w:hAnsi="宋体" w:cs="宋体" w:eastAsia="宋体" w:hint="default"/>
        </w:rPr>
        <w:t>4</w:t>
      </w:r>
      <w:r>
        <w:rPr>
          <w:rFonts w:ascii="宋体" w:hAnsi="宋体" w:cs="宋体" w:eastAsia="宋体" w:hint="default"/>
          <w:spacing w:val="-32"/>
        </w:rPr>
        <w:t> </w:t>
      </w:r>
      <w:r>
        <w:rPr>
          <w:spacing w:val="-4"/>
        </w:rPr>
        <w:t>月，公司与北京北斗星通导航技术股份有限公司签署战略合作协议，双方将在导航引擎、车</w:t>
      </w:r>
      <w:r>
        <w:rPr>
          <w:w w:val="100"/>
        </w:rPr>
        <w:t> </w:t>
      </w:r>
      <w:r>
        <w:rPr>
          <w:spacing w:val="-2"/>
        </w:rPr>
        <w:t>联网、自动驾驶、交通大数据、车载导航影音娱乐终端及其他汽车电子芯片与解决方案等方面实现资源共</w:t>
      </w:r>
      <w:r>
        <w:rPr>
          <w:spacing w:val="-44"/>
        </w:rPr>
        <w:t> </w:t>
      </w:r>
      <w:r>
        <w:rPr>
          <w:spacing w:val="-44"/>
        </w:rPr>
      </w:r>
      <w:r>
        <w:rPr/>
        <w:t>享、共赢发展。</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31"/>
        </w:rPr>
        <w:t> </w:t>
      </w:r>
      <w:r>
        <w:rPr/>
        <w:t>年</w:t>
      </w:r>
      <w:r>
        <w:rPr>
          <w:spacing w:val="-28"/>
        </w:rPr>
        <w:t> </w:t>
      </w:r>
      <w:r>
        <w:rPr>
          <w:rFonts w:ascii="宋体" w:hAnsi="宋体" w:cs="宋体" w:eastAsia="宋体" w:hint="default"/>
        </w:rPr>
        <w:t>4</w:t>
      </w:r>
      <w:r>
        <w:rPr>
          <w:rFonts w:ascii="宋体" w:hAnsi="宋体" w:cs="宋体" w:eastAsia="宋体" w:hint="default"/>
          <w:spacing w:val="-31"/>
        </w:rPr>
        <w:t> </w:t>
      </w:r>
      <w:r>
        <w:rPr>
          <w:spacing w:val="-4"/>
        </w:rPr>
        <w:t>月，公司与全球知名汽车零部件集成供应商伟世通旗下伟世通亚太</w:t>
      </w:r>
      <w:r>
        <w:rPr>
          <w:rFonts w:ascii="宋体" w:hAnsi="宋体" w:cs="宋体" w:eastAsia="宋体" w:hint="default"/>
          <w:spacing w:val="-4"/>
        </w:rPr>
        <w:t>(</w:t>
      </w:r>
      <w:r>
        <w:rPr>
          <w:spacing w:val="-4"/>
        </w:rPr>
        <w:t>上海</w:t>
      </w:r>
      <w:r>
        <w:rPr>
          <w:rFonts w:ascii="宋体" w:hAnsi="宋体" w:cs="宋体" w:eastAsia="宋体" w:hint="default"/>
          <w:spacing w:val="-4"/>
        </w:rPr>
        <w:t>)</w:t>
      </w:r>
      <w:r>
        <w:rPr>
          <w:spacing w:val="-4"/>
        </w:rPr>
        <w:t>有限公司就进一步</w:t>
      </w:r>
      <w:r>
        <w:rPr>
          <w:w w:val="100"/>
        </w:rPr>
        <w:t> </w:t>
      </w:r>
      <w:r>
        <w:rPr>
          <w:spacing w:val="-2"/>
        </w:rPr>
        <w:t>明确自动驾驶业务领域的合作模式和内容签署战略合作协议，双方将通过研究和提供道路测试技术合作等</w:t>
      </w:r>
      <w:r>
        <w:rPr>
          <w:spacing w:val="-43"/>
        </w:rPr>
        <w:t> </w:t>
      </w:r>
      <w:r>
        <w:rPr>
          <w:spacing w:val="-43"/>
        </w:rPr>
      </w:r>
      <w:r>
        <w:rPr/>
        <w:t>方式共同探索自动驾驶领域的商业机遇以及在中国市场的商业化路径。</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31"/>
        </w:rPr>
        <w:t> </w:t>
      </w:r>
      <w:r>
        <w:rPr/>
        <w:t>年</w:t>
      </w:r>
      <w:r>
        <w:rPr>
          <w:spacing w:val="-28"/>
        </w:rPr>
        <w:t> </w:t>
      </w:r>
      <w:r>
        <w:rPr>
          <w:rFonts w:ascii="宋体" w:hAnsi="宋体" w:cs="宋体" w:eastAsia="宋体" w:hint="default"/>
        </w:rPr>
        <w:t>5</w:t>
      </w:r>
      <w:r>
        <w:rPr>
          <w:rFonts w:ascii="宋体" w:hAnsi="宋体" w:cs="宋体" w:eastAsia="宋体" w:hint="default"/>
          <w:spacing w:val="-31"/>
        </w:rPr>
        <w:t> </w:t>
      </w:r>
      <w:r>
        <w:rPr>
          <w:spacing w:val="-4"/>
        </w:rPr>
        <w:t>月，公司与一汽解放青岛汽车有限公司签订战略合作协议并成为青汽的定点供应商，双方将</w:t>
      </w:r>
      <w:r>
        <w:rPr>
          <w:w w:val="100"/>
        </w:rPr>
        <w:t> </w:t>
      </w:r>
      <w:r>
        <w:rPr>
          <w:spacing w:val="-2"/>
        </w:rPr>
        <w:t>面向商用车市场，在智能车联网前后装终端设备及解决方案、大数据融合及应用、在线服务等领域展开合</w:t>
      </w:r>
      <w:r>
        <w:rPr>
          <w:spacing w:val="-45"/>
        </w:rPr>
        <w:t> </w:t>
      </w:r>
      <w:r>
        <w:rPr>
          <w:spacing w:val="-45"/>
        </w:rPr>
      </w:r>
      <w:r>
        <w:rPr/>
        <w:t>作。</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31"/>
        </w:rPr>
        <w:t> </w:t>
      </w:r>
      <w:r>
        <w:rPr/>
        <w:t>年</w:t>
      </w:r>
      <w:r>
        <w:rPr>
          <w:spacing w:val="-28"/>
        </w:rPr>
        <w:t> </w:t>
      </w:r>
      <w:r>
        <w:rPr>
          <w:rFonts w:ascii="宋体" w:hAnsi="宋体" w:cs="宋体" w:eastAsia="宋体" w:hint="default"/>
        </w:rPr>
        <w:t>6</w:t>
      </w:r>
      <w:r>
        <w:rPr>
          <w:rFonts w:ascii="宋体" w:hAnsi="宋体" w:cs="宋体" w:eastAsia="宋体" w:hint="default"/>
          <w:spacing w:val="-31"/>
        </w:rPr>
        <w:t> </w:t>
      </w:r>
      <w:r>
        <w:rPr>
          <w:spacing w:val="-4"/>
        </w:rPr>
        <w:t>月，公司分别与中国城市规划设计研究院城市交通研究分院、上海电科智能系统股份有限公</w:t>
      </w:r>
      <w:r>
        <w:rPr>
          <w:w w:val="100"/>
        </w:rPr>
        <w:t> </w:t>
      </w:r>
      <w:r>
        <w:rPr>
          <w:spacing w:val="-2"/>
        </w:rPr>
        <w:t>司签订战略合作协议，将与各方基于公司地理信息应用平台及地图、交通信息等数据服务开展长期深入合</w:t>
      </w:r>
      <w:r>
        <w:rPr>
          <w:spacing w:val="-44"/>
        </w:rPr>
        <w:t> </w:t>
      </w:r>
      <w:r>
        <w:rPr>
          <w:spacing w:val="-44"/>
        </w:rPr>
      </w:r>
      <w:r>
        <w:rPr/>
        <w:t>作。</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rFonts w:ascii="宋体" w:hAnsi="宋体" w:cs="宋体" w:eastAsia="宋体" w:hint="default"/>
          <w:w w:val="100"/>
        </w:rPr>
        <w:t>2017</w:t>
      </w:r>
      <w:r>
        <w:rPr>
          <w:rFonts w:ascii="宋体" w:hAnsi="宋体" w:cs="宋体" w:eastAsia="宋体" w:hint="default"/>
          <w:spacing w:val="-33"/>
          <w:w w:val="100"/>
        </w:rPr>
        <w:t> </w:t>
      </w:r>
      <w:r>
        <w:rPr>
          <w:w w:val="100"/>
        </w:rPr>
        <w:t>年</w:t>
      </w:r>
      <w:r>
        <w:rPr>
          <w:spacing w:val="-33"/>
          <w:w w:val="100"/>
        </w:rPr>
        <w:t> </w:t>
      </w:r>
      <w:r>
        <w:rPr>
          <w:rFonts w:ascii="宋体" w:hAnsi="宋体" w:cs="宋体" w:eastAsia="宋体" w:hint="default"/>
          <w:w w:val="100"/>
        </w:rPr>
        <w:t>9</w:t>
      </w:r>
      <w:r>
        <w:rPr>
          <w:rFonts w:ascii="宋体" w:hAnsi="宋体" w:cs="宋体" w:eastAsia="宋体" w:hint="default"/>
          <w:spacing w:val="-35"/>
          <w:w w:val="100"/>
        </w:rPr>
        <w:t> </w:t>
      </w:r>
      <w:r>
        <w:rPr>
          <w:spacing w:val="-5"/>
          <w:w w:val="100"/>
        </w:rPr>
        <w:t>月，公司与江西爱驰亿维实业有限公司（以下简称“爱驰亿维”）签署战略合作协议，双方</w:t>
      </w:r>
      <w:r>
        <w:rPr>
          <w:w w:val="100"/>
        </w:rPr>
        <w:t> </w:t>
      </w:r>
      <w:r>
        <w:rPr>
          <w:spacing w:val="-2"/>
        </w:rPr>
        <w:t>将建立长期稳定、优势互补的战略合作关系，共同规划、建设、运维车联网平台及服务，推动中国智能网</w:t>
      </w:r>
      <w:r>
        <w:rPr>
          <w:spacing w:val="-43"/>
        </w:rPr>
        <w:t> </w:t>
      </w:r>
      <w:r>
        <w:rPr>
          <w:spacing w:val="-43"/>
        </w:rPr>
      </w:r>
      <w:r>
        <w:rPr>
          <w:spacing w:val="-2"/>
        </w:rPr>
        <w:t>联解决方案与自动驾驶技术的建设与发展。报告期内，公司获得爱驰亿维子公司新业务车联网平台定点供</w:t>
      </w:r>
      <w:r>
        <w:rPr>
          <w:spacing w:val="-44"/>
        </w:rPr>
        <w:t> </w:t>
      </w:r>
      <w:r>
        <w:rPr>
          <w:spacing w:val="-44"/>
        </w:rPr>
      </w:r>
      <w:r>
        <w:rPr/>
        <w:t>应商确认书。</w:t>
      </w:r>
      <w:r>
        <w:rPr>
          <w:rFonts w:ascii="宋体" w:hAnsi="宋体" w:cs="宋体" w:eastAsia="宋体" w:hint="default"/>
        </w:rPr>
        <w:t> </w:t>
      </w:r>
    </w:p>
    <w:p>
      <w:pPr>
        <w:pStyle w:val="Heading6"/>
        <w:spacing w:line="240" w:lineRule="auto"/>
        <w:ind w:left="573" w:right="0" w:firstLine="0"/>
        <w:jc w:val="left"/>
      </w:pPr>
      <w:r>
        <w:rPr>
          <w:rFonts w:ascii="宋体" w:hAnsi="宋体" w:cs="宋体" w:eastAsia="宋体" w:hint="default"/>
          <w:w w:val="100"/>
        </w:rPr>
        <w:t>2017</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11</w:t>
      </w:r>
      <w:r>
        <w:rPr>
          <w:rFonts w:ascii="宋体" w:hAnsi="宋体" w:cs="宋体" w:eastAsia="宋体" w:hint="default"/>
          <w:spacing w:val="-55"/>
        </w:rPr>
        <w:t> </w:t>
      </w:r>
      <w:r>
        <w:rPr>
          <w:w w:val="100"/>
        </w:rPr>
        <w:t>月</w:t>
      </w:r>
      <w:r>
        <w:rPr>
          <w:spacing w:val="-22"/>
          <w:w w:val="100"/>
        </w:rPr>
        <w:t>，</w:t>
      </w:r>
      <w:r>
        <w:rPr>
          <w:w w:val="100"/>
        </w:rPr>
        <w:t>公</w:t>
      </w:r>
      <w:r>
        <w:rPr>
          <w:spacing w:val="-3"/>
          <w:w w:val="100"/>
        </w:rPr>
        <w:t>司</w:t>
      </w:r>
      <w:r>
        <w:rPr>
          <w:w w:val="100"/>
        </w:rPr>
        <w:t>与</w:t>
      </w:r>
      <w:r>
        <w:rPr>
          <w:spacing w:val="-3"/>
          <w:w w:val="100"/>
        </w:rPr>
        <w:t>宝</w:t>
      </w:r>
      <w:r>
        <w:rPr>
          <w:spacing w:val="-2"/>
          <w:w w:val="100"/>
        </w:rPr>
        <w:t>马</w:t>
      </w:r>
      <w:r>
        <w:rPr>
          <w:rFonts w:ascii="宋体" w:hAnsi="宋体" w:cs="宋体" w:eastAsia="宋体" w:hint="default"/>
          <w:w w:val="100"/>
        </w:rPr>
        <w:t>(</w:t>
      </w:r>
      <w:r>
        <w:rPr>
          <w:w w:val="100"/>
        </w:rPr>
        <w:t>中国</w:t>
      </w:r>
      <w:r>
        <w:rPr>
          <w:rFonts w:ascii="宋体" w:hAnsi="宋体" w:cs="宋体" w:eastAsia="宋体" w:hint="default"/>
          <w:spacing w:val="-3"/>
          <w:w w:val="100"/>
        </w:rPr>
        <w:t>)</w:t>
      </w:r>
      <w:r>
        <w:rPr>
          <w:w w:val="100"/>
        </w:rPr>
        <w:t>汽</w:t>
      </w:r>
      <w:r>
        <w:rPr>
          <w:spacing w:val="-3"/>
          <w:w w:val="100"/>
        </w:rPr>
        <w:t>车</w:t>
      </w:r>
      <w:r>
        <w:rPr>
          <w:w w:val="100"/>
        </w:rPr>
        <w:t>贸</w:t>
      </w:r>
      <w:r>
        <w:rPr>
          <w:spacing w:val="-3"/>
          <w:w w:val="100"/>
        </w:rPr>
        <w:t>易</w:t>
      </w:r>
      <w:r>
        <w:rPr>
          <w:w w:val="100"/>
        </w:rPr>
        <w:t>有</w:t>
      </w:r>
      <w:r>
        <w:rPr>
          <w:spacing w:val="-3"/>
          <w:w w:val="100"/>
        </w:rPr>
        <w:t>限</w:t>
      </w:r>
      <w:r>
        <w:rPr>
          <w:w w:val="100"/>
        </w:rPr>
        <w:t>公</w:t>
      </w:r>
      <w:r>
        <w:rPr>
          <w:spacing w:val="-22"/>
          <w:w w:val="100"/>
        </w:rPr>
        <w:t>司</w:t>
      </w:r>
      <w:r>
        <w:rPr>
          <w:w w:val="100"/>
        </w:rPr>
        <w:t>（以</w:t>
      </w:r>
      <w:r>
        <w:rPr>
          <w:spacing w:val="-3"/>
          <w:w w:val="100"/>
        </w:rPr>
        <w:t>下</w:t>
      </w:r>
      <w:r>
        <w:rPr>
          <w:w w:val="100"/>
        </w:rPr>
        <w:t>简</w:t>
      </w:r>
      <w:r>
        <w:rPr>
          <w:spacing w:val="-20"/>
          <w:w w:val="100"/>
        </w:rPr>
        <w:t>称</w:t>
      </w:r>
      <w:r>
        <w:rPr>
          <w:spacing w:val="-3"/>
          <w:w w:val="100"/>
        </w:rPr>
        <w:t>“</w:t>
      </w:r>
      <w:r>
        <w:rPr>
          <w:w w:val="100"/>
        </w:rPr>
        <w:t>宝</w:t>
      </w:r>
      <w:r>
        <w:rPr>
          <w:spacing w:val="-3"/>
          <w:w w:val="100"/>
        </w:rPr>
        <w:t>马</w:t>
      </w:r>
      <w:r>
        <w:rPr>
          <w:w w:val="100"/>
        </w:rPr>
        <w:t>汽</w:t>
      </w:r>
      <w:r>
        <w:rPr>
          <w:spacing w:val="-3"/>
          <w:w w:val="100"/>
        </w:rPr>
        <w:t>车公</w:t>
      </w:r>
      <w:r>
        <w:rPr>
          <w:w w:val="100"/>
        </w:rPr>
        <w:t>司</w:t>
      </w:r>
      <w:r>
        <w:rPr>
          <w:spacing w:val="-106"/>
          <w:w w:val="100"/>
        </w:rPr>
        <w:t>”</w:t>
      </w:r>
      <w:r>
        <w:rPr>
          <w:spacing w:val="-20"/>
          <w:w w:val="100"/>
        </w:rPr>
        <w:t>）</w:t>
      </w:r>
      <w:r>
        <w:rPr>
          <w:spacing w:val="-3"/>
          <w:w w:val="100"/>
        </w:rPr>
        <w:t>签</w:t>
      </w:r>
      <w:r>
        <w:rPr>
          <w:w w:val="100"/>
        </w:rPr>
        <w:t>署</w:t>
      </w:r>
      <w:r>
        <w:rPr>
          <w:spacing w:val="-3"/>
          <w:w w:val="100"/>
        </w:rPr>
        <w:t>了</w:t>
      </w:r>
      <w:r>
        <w:rPr>
          <w:w w:val="100"/>
        </w:rPr>
        <w:t>导</w:t>
      </w:r>
      <w:r>
        <w:rPr>
          <w:spacing w:val="-3"/>
          <w:w w:val="100"/>
        </w:rPr>
        <w:t>航</w:t>
      </w:r>
      <w:r>
        <w:rPr>
          <w:w w:val="100"/>
        </w:rPr>
        <w:t>电</w:t>
      </w:r>
      <w:r>
        <w:rPr>
          <w:spacing w:val="-3"/>
          <w:w w:val="100"/>
        </w:rPr>
        <w:t>子</w:t>
      </w:r>
      <w:r>
        <w:rPr>
          <w:w w:val="100"/>
        </w:rPr>
        <w:t>地</w:t>
      </w:r>
    </w:p>
    <w:p>
      <w:pPr>
        <w:spacing w:line="240" w:lineRule="auto" w:before="10"/>
        <w:rPr>
          <w:rFonts w:ascii="宋体" w:hAnsi="宋体" w:cs="宋体" w:eastAsia="宋体" w:hint="default"/>
          <w:sz w:val="14"/>
          <w:szCs w:val="14"/>
        </w:rPr>
      </w:pPr>
    </w:p>
    <w:p>
      <w:pPr>
        <w:pStyle w:val="Heading6"/>
        <w:spacing w:line="240" w:lineRule="auto" w:before="0"/>
        <w:ind w:right="0" w:firstLine="0"/>
        <w:jc w:val="both"/>
      </w:pPr>
      <w:r>
        <w:rPr/>
        <w:t>图许可协议，公司将为其在中国销售的宝马集团所属品牌汽车提供包括在 </w:t>
      </w:r>
      <w:r>
        <w:rPr>
          <w:rFonts w:ascii="宋体" w:hAnsi="宋体" w:cs="宋体" w:eastAsia="宋体" w:hint="default"/>
        </w:rPr>
        <w:t>2021</w:t>
      </w:r>
      <w:r>
        <w:rPr>
          <w:rFonts w:ascii="宋体" w:hAnsi="宋体" w:cs="宋体" w:eastAsia="宋体" w:hint="default"/>
          <w:spacing w:val="-33"/>
        </w:rPr>
        <w:t> </w:t>
      </w:r>
      <w:r>
        <w:rPr/>
        <w:t>年前量产上市的原有平台</w:t>
      </w:r>
    </w:p>
    <w:p>
      <w:pPr>
        <w:spacing w:line="240" w:lineRule="auto" w:before="10"/>
        <w:rPr>
          <w:rFonts w:ascii="宋体" w:hAnsi="宋体" w:cs="宋体" w:eastAsia="宋体" w:hint="default"/>
          <w:sz w:val="14"/>
          <w:szCs w:val="14"/>
        </w:rPr>
      </w:pPr>
    </w:p>
    <w:p>
      <w:pPr>
        <w:pStyle w:val="Heading6"/>
        <w:spacing w:line="444" w:lineRule="auto" w:before="0"/>
        <w:ind w:left="573" w:right="0" w:hanging="421"/>
        <w:jc w:val="left"/>
      </w:pPr>
      <w:r>
        <w:rPr/>
        <w:t>及</w:t>
      </w:r>
      <w:r>
        <w:rPr>
          <w:spacing w:val="-53"/>
        </w:rPr>
        <w:t> </w:t>
      </w:r>
      <w:r>
        <w:rPr>
          <w:rFonts w:ascii="宋体" w:hAnsi="宋体" w:cs="宋体" w:eastAsia="宋体" w:hint="default"/>
        </w:rPr>
        <w:t>2021</w:t>
      </w:r>
      <w:r>
        <w:rPr>
          <w:rFonts w:ascii="宋体" w:hAnsi="宋体" w:cs="宋体" w:eastAsia="宋体" w:hint="default"/>
          <w:spacing w:val="-54"/>
        </w:rPr>
        <w:t> </w:t>
      </w:r>
      <w:r>
        <w:rPr/>
        <w:t>年量产上市的新平台在内的导航电子地图产品。</w:t>
      </w:r>
      <w:r>
        <w:rPr>
          <w:rFonts w:ascii="宋体" w:hAnsi="宋体" w:cs="宋体" w:eastAsia="宋体" w:hint="default"/>
          <w:w w:val="100"/>
        </w:rPr>
        <w:t> </w:t>
      </w:r>
      <w:r>
        <w:rPr>
          <w:rFonts w:ascii="宋体" w:hAnsi="宋体" w:cs="宋体" w:eastAsia="宋体" w:hint="default"/>
          <w:b/>
          <w:bCs/>
          <w:spacing w:val="-2"/>
        </w:rPr>
        <w:t>在国际化拓展方面，</w:t>
      </w:r>
      <w:r>
        <w:rPr>
          <w:spacing w:val="-2"/>
        </w:rPr>
        <w:t>公司积极推进全球战略。报告期内，公司进一步加强与国际客户的合作关系，与</w:t>
      </w:r>
    </w:p>
    <w:p>
      <w:pPr>
        <w:pStyle w:val="Heading6"/>
        <w:spacing w:line="408" w:lineRule="auto" w:before="14"/>
        <w:ind w:right="146" w:firstLine="0"/>
        <w:jc w:val="both"/>
        <w:rPr>
          <w:rFonts w:ascii="宋体" w:hAnsi="宋体" w:cs="宋体" w:eastAsia="宋体" w:hint="default"/>
        </w:rPr>
      </w:pPr>
      <w:r>
        <w:rPr>
          <w:spacing w:val="-2"/>
        </w:rPr>
        <w:t>宝马、戴姆勒等国际领先车企建立起全球范围内的战略合作关系，全球地图数据编译等业务收入取得大幅</w:t>
      </w:r>
      <w:r>
        <w:rPr>
          <w:spacing w:val="-42"/>
        </w:rPr>
        <w:t> </w:t>
      </w:r>
      <w:r>
        <w:rPr>
          <w:spacing w:val="-42"/>
        </w:rPr>
      </w:r>
      <w:r>
        <w:rPr>
          <w:spacing w:val="-8"/>
        </w:rPr>
        <w:t>增长。公司与</w:t>
      </w:r>
      <w:r>
        <w:rPr>
          <w:spacing w:val="-46"/>
        </w:rPr>
        <w:t> </w:t>
      </w:r>
      <w:r>
        <w:rPr>
          <w:rFonts w:ascii="宋体" w:hAnsi="宋体" w:cs="宋体" w:eastAsia="宋体" w:hint="default"/>
        </w:rPr>
        <w:t>HERE</w:t>
      </w:r>
      <w:r>
        <w:rPr>
          <w:rFonts w:ascii="宋体" w:hAnsi="宋体" w:cs="宋体" w:eastAsia="宋体" w:hint="default"/>
          <w:spacing w:val="-47"/>
        </w:rPr>
        <w:t> </w:t>
      </w:r>
      <w:r>
        <w:rPr>
          <w:spacing w:val="-3"/>
        </w:rPr>
        <w:t>在中国成立合资公司北京图新瀚和科技有限公司，为使用</w:t>
      </w:r>
      <w:r>
        <w:rPr>
          <w:spacing w:val="-46"/>
        </w:rPr>
        <w:t> </w:t>
      </w:r>
      <w:r>
        <w:rPr>
          <w:rFonts w:ascii="宋体" w:hAnsi="宋体" w:cs="宋体" w:eastAsia="宋体" w:hint="default"/>
        </w:rPr>
        <w:t>HERE</w:t>
      </w:r>
      <w:r>
        <w:rPr>
          <w:rFonts w:ascii="宋体" w:hAnsi="宋体" w:cs="宋体" w:eastAsia="宋体" w:hint="default"/>
          <w:spacing w:val="13"/>
        </w:rPr>
        <w:t> </w:t>
      </w:r>
      <w:r>
        <w:rPr/>
        <w:t>全球位置服务平台的客</w:t>
      </w:r>
      <w:r>
        <w:rPr>
          <w:spacing w:val="-102"/>
        </w:rPr>
        <w:t> </w:t>
      </w:r>
      <w:r>
        <w:rPr>
          <w:spacing w:val="-102"/>
        </w:rPr>
      </w:r>
      <w:r>
        <w:rPr>
          <w:spacing w:val="-2"/>
        </w:rPr>
        <w:t>户提供包括中国地图数据及动态信息在内的内容端和服务端的解决方案。公司在收购芯片业务之后，为了</w:t>
      </w:r>
      <w:r>
        <w:rPr>
          <w:spacing w:val="-43"/>
        </w:rPr>
        <w:t> </w:t>
      </w:r>
      <w:r>
        <w:rPr>
          <w:spacing w:val="-43"/>
        </w:rPr>
      </w:r>
      <w:r>
        <w:rPr>
          <w:spacing w:val="-2"/>
        </w:rPr>
        <w:t>进一步增强车载芯片领域国际市场的竞争力，正在通过公司在欧洲和美国的分支机构加强同业联系，并积</w:t>
      </w:r>
      <w:r>
        <w:rPr>
          <w:spacing w:val="-42"/>
        </w:rPr>
        <w:t> </w:t>
      </w:r>
      <w:r>
        <w:rPr>
          <w:spacing w:val="-42"/>
        </w:rPr>
      </w:r>
      <w:r>
        <w:rPr/>
        <w:t>极寻求深度合作以及并购的机会。</w:t>
      </w:r>
      <w:r>
        <w:rPr>
          <w:rFonts w:ascii="宋体" w:hAnsi="宋体" w:cs="宋体" w:eastAsia="宋体" w:hint="default"/>
        </w:rPr>
        <w:t> </w:t>
      </w:r>
    </w:p>
    <w:p>
      <w:pPr>
        <w:pStyle w:val="Heading6"/>
        <w:spacing w:line="408" w:lineRule="auto" w:before="84"/>
        <w:ind w:right="146"/>
        <w:jc w:val="both"/>
        <w:rPr>
          <w:rFonts w:ascii="宋体" w:hAnsi="宋体" w:cs="宋体" w:eastAsia="宋体" w:hint="default"/>
        </w:rPr>
      </w:pPr>
      <w:r>
        <w:rPr>
          <w:spacing w:val="-2"/>
        </w:rPr>
        <w:t>公司加大与“一带一路”沿线国家和地区的合作力度，在新加坡设立全资子公司，为公司在该区域业</w:t>
      </w:r>
      <w:r>
        <w:rPr>
          <w:w w:val="100"/>
        </w:rPr>
        <w:t> </w:t>
      </w:r>
      <w:r>
        <w:rPr>
          <w:spacing w:val="-2"/>
        </w:rPr>
        <w:t>务拓展逐渐建立起广泛的产业联系；面向沿线国家公路及基础设施建设、旅游文化交流等需求，公司计划</w:t>
      </w:r>
      <w:r>
        <w:rPr>
          <w:spacing w:val="-44"/>
        </w:rPr>
        <w:t> </w:t>
      </w:r>
      <w:r>
        <w:rPr>
          <w:spacing w:val="-44"/>
        </w:rPr>
      </w:r>
      <w:r>
        <w:rPr/>
        <w:t>在东南亚地区提供与位置相关的产品和服务。</w:t>
      </w:r>
      <w:r>
        <w:rPr>
          <w:rFonts w:ascii="宋体" w:hAnsi="宋体" w:cs="宋体" w:eastAsia="宋体" w:hint="default"/>
        </w:rPr>
        <w:t> </w:t>
      </w:r>
    </w:p>
    <w:p>
      <w:pPr>
        <w:pStyle w:val="Heading6"/>
        <w:spacing w:line="240" w:lineRule="auto" w:before="87"/>
        <w:ind w:left="573" w:right="0" w:firstLine="0"/>
        <w:jc w:val="left"/>
      </w:pPr>
      <w:r>
        <w:rPr/>
        <w:t>公司面向未来自动驾驶、智能网联、新能源等领域，在欧洲、美国等全球科技创新聚集地，积极寻求</w:t>
      </w:r>
    </w:p>
    <w:p>
      <w:pPr>
        <w:spacing w:after="0" w:line="240"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pStyle w:val="Heading6"/>
        <w:spacing w:line="408" w:lineRule="auto" w:before="176"/>
        <w:ind w:right="206" w:firstLine="0"/>
        <w:jc w:val="both"/>
        <w:rPr>
          <w:rFonts w:ascii="宋体" w:hAnsi="宋体" w:cs="宋体" w:eastAsia="宋体" w:hint="default"/>
        </w:rPr>
      </w:pPr>
      <w:r>
        <w:rPr>
          <w:spacing w:val="-2"/>
        </w:rPr>
        <w:t>行业高端人才、技术骨干和创新团队。公司积极打造自身参与国际竞争的核心能力和优势，并着手建立全</w:t>
      </w:r>
      <w:r>
        <w:rPr>
          <w:spacing w:val="-44"/>
        </w:rPr>
        <w:t> </w:t>
      </w:r>
      <w:r>
        <w:rPr>
          <w:spacing w:val="-44"/>
        </w:rPr>
      </w:r>
      <w:r>
        <w:rPr/>
        <w:t>球知识产权防御机制。</w:t>
      </w:r>
      <w:r>
        <w:rPr>
          <w:rFonts w:ascii="宋体" w:hAnsi="宋体" w:cs="宋体" w:eastAsia="宋体" w:hint="default"/>
        </w:rPr>
        <w:t> </w:t>
      </w:r>
    </w:p>
    <w:p>
      <w:pPr>
        <w:pStyle w:val="Heading6"/>
        <w:spacing w:line="408" w:lineRule="auto" w:before="87"/>
        <w:ind w:right="0"/>
        <w:jc w:val="left"/>
      </w:pPr>
      <w:r>
        <w:rPr>
          <w:rFonts w:ascii="宋体" w:hAnsi="宋体" w:cs="宋体" w:eastAsia="宋体" w:hint="default"/>
          <w:b/>
          <w:bCs/>
        </w:rPr>
        <w:t>在市场推广和品牌建设方面，</w:t>
      </w:r>
      <w:r>
        <w:rPr/>
        <w:t>公司继续加强公司品牌及产品品牌建设及推广力度，在扩展和深挖传统</w:t>
      </w:r>
      <w:r>
        <w:rPr>
          <w:w w:val="100"/>
        </w:rPr>
        <w:t> </w:t>
      </w:r>
      <w:r>
        <w:rPr>
          <w:spacing w:val="-2"/>
        </w:rPr>
        <w:t>宣传渠道的基础上，积极持续探索自媒体等新兴传播方式，通过多种形式的市场活动，进一步提升四维图</w:t>
      </w:r>
      <w:r>
        <w:rPr>
          <w:spacing w:val="-43"/>
        </w:rPr>
        <w:t> </w:t>
      </w:r>
      <w:r>
        <w:rPr>
          <w:spacing w:val="-43"/>
        </w:rPr>
      </w:r>
      <w:r>
        <w:rPr>
          <w:spacing w:val="-2"/>
        </w:rPr>
        <w:t>新品牌的品牌形象及行业影响力，深入推进四维图新迈向“智能汽车大脑”形象的品牌角色转变，积极打</w:t>
      </w:r>
      <w:r>
        <w:rPr>
          <w:spacing w:val="-47"/>
        </w:rPr>
        <w:t> </w:t>
      </w:r>
      <w:r>
        <w:rPr>
          <w:spacing w:val="-47"/>
        </w:rPr>
      </w:r>
      <w:r>
        <w:rPr>
          <w:spacing w:val="-3"/>
        </w:rPr>
        <w:t>造“数字地图</w:t>
      </w:r>
      <w:r>
        <w:rPr>
          <w:rFonts w:ascii="宋体" w:hAnsi="宋体" w:cs="宋体" w:eastAsia="宋体" w:hint="default"/>
          <w:spacing w:val="-3"/>
        </w:rPr>
        <w:t>+</w:t>
      </w:r>
      <w:r>
        <w:rPr>
          <w:spacing w:val="-3"/>
        </w:rPr>
        <w:t>自动驾驶</w:t>
      </w:r>
      <w:r>
        <w:rPr>
          <w:rFonts w:ascii="宋体" w:hAnsi="宋体" w:cs="宋体" w:eastAsia="宋体" w:hint="default"/>
          <w:spacing w:val="-3"/>
        </w:rPr>
        <w:t>+</w:t>
      </w:r>
      <w:r>
        <w:rPr>
          <w:spacing w:val="-3"/>
        </w:rPr>
        <w:t>芯片</w:t>
      </w:r>
      <w:r>
        <w:rPr>
          <w:rFonts w:ascii="宋体" w:hAnsi="宋体" w:cs="宋体" w:eastAsia="宋体" w:hint="default"/>
          <w:spacing w:val="-3"/>
        </w:rPr>
        <w:t>+</w:t>
      </w:r>
      <w:r>
        <w:rPr>
          <w:spacing w:val="-3"/>
        </w:rPr>
        <w:t>大数据平台</w:t>
      </w:r>
      <w:r>
        <w:rPr>
          <w:rFonts w:ascii="宋体" w:hAnsi="宋体" w:cs="宋体" w:eastAsia="宋体" w:hint="default"/>
          <w:spacing w:val="-3"/>
        </w:rPr>
        <w:t>+</w:t>
      </w:r>
      <w:r>
        <w:rPr>
          <w:spacing w:val="-3"/>
        </w:rPr>
        <w:t>车联网”五位一体的业务布局。</w:t>
      </w:r>
      <w:r>
        <w:rPr>
          <w:rFonts w:ascii="宋体" w:hAnsi="宋体" w:cs="宋体" w:eastAsia="宋体" w:hint="default"/>
          <w:spacing w:val="-3"/>
        </w:rPr>
        <w:t>2017</w:t>
      </w:r>
      <w:r>
        <w:rPr>
          <w:rFonts w:ascii="宋体" w:hAnsi="宋体" w:cs="宋体" w:eastAsia="宋体" w:hint="default"/>
          <w:spacing w:val="-47"/>
        </w:rPr>
        <w:t> </w:t>
      </w:r>
      <w:r>
        <w:rPr/>
        <w:t>年</w:t>
      </w:r>
      <w:r>
        <w:rPr>
          <w:spacing w:val="-49"/>
        </w:rPr>
        <w:t> </w:t>
      </w:r>
      <w:r>
        <w:rPr>
          <w:rFonts w:ascii="宋体" w:hAnsi="宋体" w:cs="宋体" w:eastAsia="宋体" w:hint="default"/>
        </w:rPr>
        <w:t>3</w:t>
      </w:r>
      <w:r>
        <w:rPr>
          <w:rFonts w:ascii="宋体" w:hAnsi="宋体" w:cs="宋体" w:eastAsia="宋体" w:hint="default"/>
          <w:spacing w:val="-47"/>
        </w:rPr>
        <w:t> </w:t>
      </w:r>
      <w:r>
        <w:rPr/>
        <w:t>月和</w:t>
      </w:r>
      <w:r>
        <w:rPr>
          <w:spacing w:val="-46"/>
        </w:rPr>
        <w:t> </w:t>
      </w:r>
      <w:r>
        <w:rPr>
          <w:rFonts w:ascii="宋体" w:hAnsi="宋体" w:cs="宋体" w:eastAsia="宋体" w:hint="default"/>
        </w:rPr>
        <w:t>6</w:t>
      </w:r>
      <w:r>
        <w:rPr>
          <w:rFonts w:ascii="宋体" w:hAnsi="宋体" w:cs="宋体" w:eastAsia="宋体" w:hint="default"/>
          <w:spacing w:val="-49"/>
        </w:rPr>
        <w:t> </w:t>
      </w:r>
      <w:r>
        <w:rPr>
          <w:spacing w:val="-6"/>
        </w:rPr>
        <w:t>月，公司</w:t>
      </w:r>
      <w:r>
        <w:rPr>
          <w:spacing w:val="-49"/>
        </w:rPr>
        <w:t> </w:t>
      </w:r>
      <w:r>
        <w:rPr>
          <w:rFonts w:ascii="宋体" w:hAnsi="宋体" w:cs="宋体" w:eastAsia="宋体" w:hint="default"/>
        </w:rPr>
        <w:t>2</w:t>
      </w:r>
      <w:r>
        <w:rPr>
          <w:rFonts w:ascii="宋体" w:hAnsi="宋体" w:cs="宋体" w:eastAsia="宋体" w:hint="default"/>
          <w:spacing w:val="-49"/>
        </w:rPr>
        <w:t> </w:t>
      </w:r>
      <w:r>
        <w:rPr/>
        <w:t>次</w:t>
      </w:r>
      <w:r>
        <w:rPr>
          <w:spacing w:val="-88"/>
        </w:rPr>
        <w:t> </w:t>
      </w:r>
      <w:r>
        <w:rPr>
          <w:spacing w:val="-2"/>
          <w:w w:val="100"/>
        </w:rPr>
        <w:t>走进长安福特举办</w:t>
      </w:r>
      <w:r>
        <w:rPr>
          <w:spacing w:val="-36"/>
          <w:w w:val="100"/>
        </w:rPr>
        <w:t> </w:t>
      </w:r>
      <w:r>
        <w:rPr>
          <w:rFonts w:ascii="宋体" w:hAnsi="宋体" w:cs="宋体" w:eastAsia="宋体" w:hint="default"/>
          <w:spacing w:val="-6"/>
          <w:w w:val="100"/>
        </w:rPr>
        <w:t>Workshop</w:t>
      </w:r>
      <w:r>
        <w:rPr>
          <w:spacing w:val="-6"/>
          <w:w w:val="100"/>
        </w:rPr>
        <w:t>，向客户展示公司各产品业务线成果，加深了客户各相关人员对公司整体战略、</w:t>
      </w:r>
      <w:r>
        <w:rPr>
          <w:spacing w:val="-98"/>
          <w:w w:val="100"/>
        </w:rPr>
        <w:t> </w:t>
      </w:r>
      <w:r>
        <w:rPr>
          <w:spacing w:val="-98"/>
          <w:w w:val="100"/>
        </w:rPr>
      </w:r>
      <w:r>
        <w:rPr>
          <w:spacing w:val="-4"/>
        </w:rPr>
        <w:t>业务、产品的了解。</w:t>
      </w:r>
      <w:r>
        <w:rPr>
          <w:rFonts w:ascii="宋体" w:hAnsi="宋体" w:cs="宋体" w:eastAsia="宋体" w:hint="default"/>
          <w:spacing w:val="-4"/>
        </w:rPr>
        <w:t>2017</w:t>
      </w:r>
      <w:r>
        <w:rPr>
          <w:rFonts w:ascii="宋体" w:hAnsi="宋体" w:cs="宋体" w:eastAsia="宋体" w:hint="default"/>
          <w:spacing w:val="-44"/>
        </w:rPr>
        <w:t> </w:t>
      </w:r>
      <w:r>
        <w:rPr/>
        <w:t>年</w:t>
      </w:r>
      <w:r>
        <w:rPr>
          <w:spacing w:val="-42"/>
        </w:rPr>
        <w:t> </w:t>
      </w:r>
      <w:r>
        <w:rPr>
          <w:rFonts w:ascii="宋体" w:hAnsi="宋体" w:cs="宋体" w:eastAsia="宋体" w:hint="default"/>
        </w:rPr>
        <w:t>4</w:t>
      </w:r>
      <w:r>
        <w:rPr>
          <w:rFonts w:ascii="宋体" w:hAnsi="宋体" w:cs="宋体" w:eastAsia="宋体" w:hint="default"/>
          <w:spacing w:val="-42"/>
        </w:rPr>
        <w:t> </w:t>
      </w:r>
      <w:r>
        <w:rPr>
          <w:spacing w:val="-3"/>
        </w:rPr>
        <w:t>月，公司在上海召开产品鉴赏会，让客户同公司高层、销售以及项目产品人</w:t>
      </w:r>
      <w:r>
        <w:rPr>
          <w:spacing w:val="-76"/>
        </w:rPr>
        <w:t> </w:t>
      </w:r>
      <w:r>
        <w:rPr>
          <w:spacing w:val="-76"/>
        </w:rPr>
      </w:r>
      <w:r>
        <w:rPr>
          <w:spacing w:val="-3"/>
        </w:rPr>
        <w:t>员进行了良好沟通，也为客户间架起了交流桥梁。</w:t>
      </w:r>
      <w:r>
        <w:rPr>
          <w:rFonts w:ascii="宋体" w:hAnsi="宋体" w:cs="宋体" w:eastAsia="宋体" w:hint="default"/>
          <w:spacing w:val="-3"/>
        </w:rPr>
        <w:t>2017</w:t>
      </w:r>
      <w:r>
        <w:rPr>
          <w:rFonts w:ascii="宋体" w:hAnsi="宋体" w:cs="宋体" w:eastAsia="宋体" w:hint="default"/>
          <w:spacing w:val="-37"/>
        </w:rPr>
        <w:t> </w:t>
      </w:r>
      <w:r>
        <w:rPr/>
        <w:t>年</w:t>
      </w:r>
      <w:r>
        <w:rPr>
          <w:spacing w:val="-40"/>
        </w:rPr>
        <w:t> </w:t>
      </w:r>
      <w:r>
        <w:rPr>
          <w:rFonts w:ascii="宋体" w:hAnsi="宋体" w:cs="宋体" w:eastAsia="宋体" w:hint="default"/>
        </w:rPr>
        <w:t>6</w:t>
      </w:r>
      <w:r>
        <w:rPr>
          <w:rFonts w:ascii="宋体" w:hAnsi="宋体" w:cs="宋体" w:eastAsia="宋体" w:hint="default"/>
          <w:spacing w:val="-36"/>
        </w:rPr>
        <w:t> </w:t>
      </w:r>
      <w:r>
        <w:rPr>
          <w:spacing w:val="-5"/>
        </w:rPr>
        <w:t>月，响应国家“一带一路”战略，参加首届世</w:t>
      </w:r>
      <w:r>
        <w:rPr>
          <w:spacing w:val="-64"/>
        </w:rPr>
        <w:t> </w:t>
      </w:r>
      <w:r>
        <w:rPr>
          <w:spacing w:val="-64"/>
        </w:rPr>
      </w:r>
      <w:r>
        <w:rPr>
          <w:spacing w:val="-3"/>
        </w:rPr>
        <w:t>界交通运输大会，现场展示的创新应用产品及服务引起众多关注。</w:t>
      </w:r>
      <w:r>
        <w:rPr>
          <w:rFonts w:ascii="宋体" w:hAnsi="宋体" w:cs="宋体" w:eastAsia="宋体" w:hint="default"/>
          <w:spacing w:val="-3"/>
        </w:rPr>
        <w:t>2017</w:t>
      </w:r>
      <w:r>
        <w:rPr>
          <w:rFonts w:ascii="宋体" w:hAnsi="宋体" w:cs="宋体" w:eastAsia="宋体" w:hint="default"/>
          <w:spacing w:val="-43"/>
        </w:rPr>
        <w:t> </w:t>
      </w:r>
      <w:r>
        <w:rPr/>
        <w:t>年</w:t>
      </w:r>
      <w:r>
        <w:rPr>
          <w:spacing w:val="-40"/>
        </w:rPr>
        <w:t> </w:t>
      </w:r>
      <w:r>
        <w:rPr>
          <w:rFonts w:ascii="宋体" w:hAnsi="宋体" w:cs="宋体" w:eastAsia="宋体" w:hint="default"/>
        </w:rPr>
        <w:t>6</w:t>
      </w:r>
      <w:r>
        <w:rPr>
          <w:rFonts w:ascii="宋体" w:hAnsi="宋体" w:cs="宋体" w:eastAsia="宋体" w:hint="default"/>
          <w:spacing w:val="-43"/>
        </w:rPr>
        <w:t> </w:t>
      </w:r>
      <w:r>
        <w:rPr>
          <w:spacing w:val="-4"/>
        </w:rPr>
        <w:t>月，公司连续第三年参展亚洲</w:t>
      </w:r>
      <w:r>
        <w:rPr>
          <w:spacing w:val="-73"/>
        </w:rPr>
        <w:t> </w:t>
      </w:r>
      <w:r>
        <w:rPr>
          <w:spacing w:val="-73"/>
        </w:rPr>
      </w:r>
      <w:r>
        <w:rPr>
          <w:w w:val="100"/>
        </w:rPr>
        <w:t>消费电子展（</w:t>
      </w:r>
      <w:r>
        <w:rPr>
          <w:rFonts w:ascii="宋体" w:hAnsi="宋体" w:cs="宋体" w:eastAsia="宋体" w:hint="default"/>
          <w:w w:val="100"/>
        </w:rPr>
        <w:t>CES </w:t>
      </w:r>
      <w:r>
        <w:rPr>
          <w:rFonts w:ascii="宋体" w:hAnsi="宋体" w:cs="宋体" w:eastAsia="宋体" w:hint="default"/>
          <w:spacing w:val="-3"/>
          <w:w w:val="100"/>
        </w:rPr>
        <w:t>ASIA</w:t>
      </w:r>
      <w:r>
        <w:rPr>
          <w:spacing w:val="-3"/>
          <w:w w:val="100"/>
        </w:rPr>
        <w:t>），推出“打造未来智能汽车大脑”的公司战略方向，公司旗下杰发科技国产首款</w:t>
      </w:r>
      <w:r>
        <w:rPr>
          <w:spacing w:val="-71"/>
          <w:w w:val="100"/>
        </w:rPr>
        <w:t> </w:t>
      </w:r>
      <w:r>
        <w:rPr>
          <w:spacing w:val="-71"/>
          <w:w w:val="100"/>
        </w:rPr>
      </w:r>
      <w:r>
        <w:rPr>
          <w:spacing w:val="-3"/>
        </w:rPr>
        <w:t>车辆控制芯片亮相。</w:t>
      </w:r>
      <w:r>
        <w:rPr>
          <w:rFonts w:ascii="宋体" w:hAnsi="宋体" w:cs="宋体" w:eastAsia="宋体" w:hint="default"/>
          <w:spacing w:val="-3"/>
        </w:rPr>
        <w:t>2017</w:t>
      </w:r>
      <w:r>
        <w:rPr>
          <w:rFonts w:ascii="宋体" w:hAnsi="宋体" w:cs="宋体" w:eastAsia="宋体" w:hint="default"/>
          <w:spacing w:val="-52"/>
        </w:rPr>
        <w:t> </w:t>
      </w:r>
      <w:r>
        <w:rPr/>
        <w:t>年</w:t>
      </w:r>
      <w:r>
        <w:rPr>
          <w:spacing w:val="-50"/>
        </w:rPr>
        <w:t> </w:t>
      </w:r>
      <w:r>
        <w:rPr>
          <w:rFonts w:ascii="宋体" w:hAnsi="宋体" w:cs="宋体" w:eastAsia="宋体" w:hint="default"/>
        </w:rPr>
        <w:t>6</w:t>
      </w:r>
      <w:r>
        <w:rPr>
          <w:rFonts w:ascii="宋体" w:hAnsi="宋体" w:cs="宋体" w:eastAsia="宋体" w:hint="default"/>
          <w:spacing w:val="-50"/>
        </w:rPr>
        <w:t> </w:t>
      </w:r>
      <w:r>
        <w:rPr>
          <w:spacing w:val="-7"/>
        </w:rPr>
        <w:t>月，公司在</w:t>
      </w:r>
      <w:r>
        <w:rPr>
          <w:spacing w:val="-49"/>
        </w:rPr>
        <w:t> </w:t>
      </w:r>
      <w:r>
        <w:rPr>
          <w:rFonts w:ascii="宋体" w:hAnsi="宋体" w:cs="宋体" w:eastAsia="宋体" w:hint="default"/>
        </w:rPr>
        <w:t>WGDC</w:t>
      </w:r>
      <w:r>
        <w:rPr>
          <w:rFonts w:ascii="宋体" w:hAnsi="宋体" w:cs="宋体" w:eastAsia="宋体" w:hint="default"/>
          <w:spacing w:val="-52"/>
        </w:rPr>
        <w:t> </w:t>
      </w:r>
      <w:r>
        <w:rPr/>
        <w:t>召开四维图新位置大数据平台</w:t>
      </w:r>
      <w:r>
        <w:rPr>
          <w:spacing w:val="-52"/>
        </w:rPr>
        <w:t> </w:t>
      </w:r>
      <w:r>
        <w:rPr>
          <w:rFonts w:ascii="宋体" w:hAnsi="宋体" w:cs="宋体" w:eastAsia="宋体" w:hint="default"/>
        </w:rPr>
        <w:t>MineData</w:t>
      </w:r>
      <w:r>
        <w:rPr>
          <w:rFonts w:ascii="宋体" w:hAnsi="宋体" w:cs="宋体" w:eastAsia="宋体" w:hint="default"/>
          <w:spacing w:val="-52"/>
        </w:rPr>
        <w:t> </w:t>
      </w:r>
      <w:r>
        <w:rPr>
          <w:spacing w:val="-5"/>
        </w:rPr>
        <w:t>发布会，大数据平</w:t>
      </w:r>
      <w:r>
        <w:rPr>
          <w:spacing w:val="-96"/>
        </w:rPr>
        <w:t> </w:t>
      </w:r>
      <w:r>
        <w:rPr>
          <w:spacing w:val="-96"/>
        </w:rPr>
      </w:r>
      <w:r>
        <w:rPr>
          <w:spacing w:val="-3"/>
        </w:rPr>
        <w:t>台成为继车联网、自动驾驶业务后又一集团重要业务线。</w:t>
      </w:r>
      <w:r>
        <w:rPr>
          <w:rFonts w:ascii="宋体" w:hAnsi="宋体" w:cs="宋体" w:eastAsia="宋体" w:hint="default"/>
          <w:spacing w:val="-3"/>
        </w:rPr>
        <w:t>2017</w:t>
      </w:r>
      <w:r>
        <w:rPr>
          <w:rFonts w:ascii="宋体" w:hAnsi="宋体" w:cs="宋体" w:eastAsia="宋体" w:hint="default"/>
          <w:spacing w:val="-46"/>
        </w:rPr>
        <w:t> </w:t>
      </w:r>
      <w:r>
        <w:rPr/>
        <w:t>年</w:t>
      </w:r>
      <w:r>
        <w:rPr>
          <w:spacing w:val="-43"/>
        </w:rPr>
        <w:t> </w:t>
      </w:r>
      <w:r>
        <w:rPr>
          <w:rFonts w:ascii="宋体" w:hAnsi="宋体" w:cs="宋体" w:eastAsia="宋体" w:hint="default"/>
        </w:rPr>
        <w:t>11</w:t>
      </w:r>
      <w:r>
        <w:rPr>
          <w:rFonts w:ascii="宋体" w:hAnsi="宋体" w:cs="宋体" w:eastAsia="宋体" w:hint="default"/>
          <w:spacing w:val="-46"/>
        </w:rPr>
        <w:t> </w:t>
      </w:r>
      <w:r>
        <w:rPr>
          <w:spacing w:val="-5"/>
        </w:rPr>
        <w:t>月，公司在北京举办</w:t>
      </w:r>
      <w:r>
        <w:rPr>
          <w:spacing w:val="-42"/>
        </w:rPr>
        <w:t> </w:t>
      </w:r>
      <w:r>
        <w:rPr>
          <w:rFonts w:ascii="宋体" w:hAnsi="宋体" w:cs="宋体" w:eastAsia="宋体" w:hint="default"/>
        </w:rPr>
        <w:t>2017</w:t>
      </w:r>
      <w:r>
        <w:rPr>
          <w:rFonts w:ascii="宋体" w:hAnsi="宋体" w:cs="宋体" w:eastAsia="宋体" w:hint="default"/>
          <w:spacing w:val="-43"/>
        </w:rPr>
        <w:t> </w:t>
      </w:r>
      <w:r>
        <w:rPr/>
        <w:t>年用户大会</w:t>
      </w:r>
    </w:p>
    <w:p>
      <w:pPr>
        <w:pStyle w:val="Heading6"/>
        <w:spacing w:line="408" w:lineRule="auto"/>
        <w:ind w:right="206" w:firstLine="0"/>
        <w:jc w:val="both"/>
        <w:rPr>
          <w:rFonts w:ascii="宋体" w:hAnsi="宋体" w:cs="宋体" w:eastAsia="宋体" w:hint="default"/>
        </w:rPr>
      </w:pPr>
      <w:r>
        <w:rPr>
          <w:w w:val="100"/>
        </w:rPr>
        <w:t>（</w:t>
      </w:r>
      <w:r>
        <w:rPr>
          <w:rFonts w:ascii="宋体" w:hAnsi="宋体" w:cs="宋体" w:eastAsia="宋体" w:hint="default"/>
          <w:w w:val="100"/>
        </w:rPr>
        <w:t>2017 User</w:t>
      </w:r>
      <w:r>
        <w:rPr>
          <w:rFonts w:ascii="宋体" w:hAnsi="宋体" w:cs="宋体" w:eastAsia="宋体" w:hint="default"/>
          <w:spacing w:val="-20"/>
          <w:w w:val="100"/>
        </w:rPr>
        <w:t> </w:t>
      </w:r>
      <w:r>
        <w:rPr>
          <w:rFonts w:ascii="宋体" w:hAnsi="宋体" w:cs="宋体" w:eastAsia="宋体" w:hint="default"/>
          <w:spacing w:val="-4"/>
          <w:w w:val="100"/>
        </w:rPr>
        <w:t>Group</w:t>
      </w:r>
      <w:r>
        <w:rPr>
          <w:spacing w:val="-4"/>
          <w:w w:val="100"/>
        </w:rPr>
        <w:t>），全景式地呈现公司全面转型自动驾驶战略背景下的产业链布局，向合作伙伴和用户</w:t>
      </w:r>
      <w:r>
        <w:rPr>
          <w:w w:val="100"/>
        </w:rPr>
        <w:t> </w:t>
      </w:r>
      <w:r>
        <w:rPr>
          <w:spacing w:val="-2"/>
        </w:rPr>
        <w:t>阐述公司对于智能出行的思考与技术积累，以及致力于成为汽车智能化解决方案供应商的实力与魅力，并</w:t>
      </w:r>
      <w:r>
        <w:rPr>
          <w:spacing w:val="-44"/>
        </w:rPr>
        <w:t> </w:t>
      </w:r>
      <w:r>
        <w:rPr>
          <w:spacing w:val="-44"/>
        </w:rPr>
      </w:r>
      <w:r>
        <w:rPr>
          <w:spacing w:val="-3"/>
        </w:rPr>
        <w:t>在室外搭建了自动驾驶体验场地首次开放展示了自主搭建的自动驾驶原型车及阶段性研发成果；</w:t>
      </w:r>
      <w:r>
        <w:rPr>
          <w:rFonts w:ascii="宋体" w:hAnsi="宋体" w:cs="宋体" w:eastAsia="宋体" w:hint="default"/>
          <w:spacing w:val="-3"/>
        </w:rPr>
        <w:t>12 </w:t>
      </w:r>
      <w:r>
        <w:rPr>
          <w:spacing w:val="-14"/>
        </w:rPr>
        <w:t>月，亮</w:t>
      </w:r>
      <w:r>
        <w:rPr>
          <w:spacing w:val="-63"/>
        </w:rPr>
        <w:t> </w:t>
      </w:r>
      <w:r>
        <w:rPr>
          <w:spacing w:val="-63"/>
        </w:rPr>
      </w:r>
      <w:r>
        <w:rPr/>
        <w:t>相北京汽车产业创新大集，与汽车行业创业者们进行沟通、交流。</w:t>
      </w:r>
      <w:r>
        <w:rPr>
          <w:rFonts w:ascii="宋体" w:hAnsi="宋体" w:cs="宋体" w:eastAsia="宋体" w:hint="default"/>
        </w:rPr>
        <w:t> </w:t>
      </w:r>
    </w:p>
    <w:p>
      <w:pPr>
        <w:pStyle w:val="Heading6"/>
        <w:spacing w:line="408" w:lineRule="auto" w:before="84"/>
        <w:ind w:right="206"/>
        <w:jc w:val="both"/>
        <w:rPr>
          <w:rFonts w:ascii="宋体" w:hAnsi="宋体" w:cs="宋体" w:eastAsia="宋体" w:hint="default"/>
        </w:rPr>
      </w:pPr>
      <w:r>
        <w:rPr>
          <w:spacing w:val="-7"/>
        </w:rPr>
        <w:t>报告期内，公司以实地面度面交流等形式，不断加强与客户及行业的沟通，同时，公司利用传统媒体、</w:t>
      </w:r>
      <w:r>
        <w:rPr>
          <w:w w:val="100"/>
        </w:rPr>
        <w:t> </w:t>
      </w:r>
      <w:r>
        <w:rPr>
          <w:spacing w:val="-2"/>
        </w:rPr>
        <w:t>新媒体等不同渠道的各自优势，以稿件、视频等形式向内外传播集团重大事件、各业务产品最新进展、市</w:t>
      </w:r>
      <w:r>
        <w:rPr>
          <w:spacing w:val="-44"/>
        </w:rPr>
        <w:t> </w:t>
      </w:r>
      <w:r>
        <w:rPr>
          <w:spacing w:val="-44"/>
        </w:rPr>
      </w:r>
      <w:r>
        <w:rPr/>
        <w:t>场信息等内容，与市场及行业保持了有效沟通。</w:t>
      </w:r>
      <w:r>
        <w:rPr>
          <w:rFonts w:ascii="宋体" w:hAnsi="宋体" w:cs="宋体" w:eastAsia="宋体" w:hint="default"/>
        </w:rPr>
        <w:t> </w:t>
      </w:r>
    </w:p>
    <w:p>
      <w:pPr>
        <w:spacing w:line="240" w:lineRule="auto" w:before="12"/>
        <w:rPr>
          <w:rFonts w:ascii="宋体" w:hAnsi="宋体" w:cs="宋体" w:eastAsia="宋体" w:hint="default"/>
          <w:sz w:val="11"/>
          <w:szCs w:val="11"/>
        </w:rPr>
      </w:pPr>
    </w:p>
    <w:p>
      <w:pPr>
        <w:spacing w:line="2848" w:lineRule="exact"/>
        <w:ind w:left="908" w:right="0" w:firstLine="0"/>
        <w:rPr>
          <w:rFonts w:ascii="宋体" w:hAnsi="宋体" w:cs="宋体" w:eastAsia="宋体" w:hint="default"/>
          <w:sz w:val="20"/>
          <w:szCs w:val="20"/>
        </w:rPr>
      </w:pPr>
      <w:r>
        <w:rPr>
          <w:rFonts w:ascii="宋体" w:hAnsi="宋体" w:cs="宋体" w:eastAsia="宋体" w:hint="default"/>
          <w:position w:val="-56"/>
          <w:sz w:val="20"/>
          <w:szCs w:val="20"/>
        </w:rPr>
        <w:drawing>
          <wp:inline distT="0" distB="0" distL="0" distR="0">
            <wp:extent cx="5177017" cy="1808607"/>
            <wp:effectExtent l="0" t="0" r="0" b="0"/>
            <wp:docPr id="27" name="image14.jpeg" descr=""/>
            <wp:cNvGraphicFramePr>
              <a:graphicFrameLocks noChangeAspect="1"/>
            </wp:cNvGraphicFramePr>
            <a:graphic>
              <a:graphicData uri="http://schemas.openxmlformats.org/drawingml/2006/picture">
                <pic:pic>
                  <pic:nvPicPr>
                    <pic:cNvPr id="28" name="image14.jpeg"/>
                    <pic:cNvPicPr/>
                  </pic:nvPicPr>
                  <pic:blipFill>
                    <a:blip r:embed="rId30" cstate="print"/>
                    <a:stretch>
                      <a:fillRect/>
                    </a:stretch>
                  </pic:blipFill>
                  <pic:spPr>
                    <a:xfrm>
                      <a:off x="0" y="0"/>
                      <a:ext cx="5177017" cy="1808607"/>
                    </a:xfrm>
                    <a:prstGeom prst="rect">
                      <a:avLst/>
                    </a:prstGeom>
                  </pic:spPr>
                </pic:pic>
              </a:graphicData>
            </a:graphic>
          </wp:inline>
        </w:drawing>
      </w:r>
      <w:r>
        <w:rPr>
          <w:rFonts w:ascii="宋体" w:hAnsi="宋体" w:cs="宋体" w:eastAsia="宋体" w:hint="default"/>
          <w:position w:val="-56"/>
          <w:sz w:val="20"/>
          <w:szCs w:val="20"/>
        </w:rPr>
      </w:r>
    </w:p>
    <w:p>
      <w:pPr>
        <w:spacing w:line="240" w:lineRule="auto" w:before="10"/>
        <w:rPr>
          <w:rFonts w:ascii="宋体" w:hAnsi="宋体" w:cs="宋体" w:eastAsia="宋体" w:hint="default"/>
          <w:sz w:val="16"/>
          <w:szCs w:val="16"/>
        </w:rPr>
      </w:pPr>
    </w:p>
    <w:p>
      <w:pPr>
        <w:pStyle w:val="Heading6"/>
        <w:spacing w:line="240" w:lineRule="auto" w:before="0"/>
        <w:ind w:left="166" w:right="226" w:firstLine="0"/>
        <w:jc w:val="center"/>
        <w:rPr>
          <w:rFonts w:ascii="华文中宋" w:hAnsi="华文中宋" w:cs="华文中宋" w:eastAsia="华文中宋" w:hint="default"/>
        </w:rPr>
      </w:pPr>
      <w:r>
        <w:rPr>
          <w:rFonts w:ascii="华文中宋" w:hAnsi="华文中宋" w:cs="华文中宋" w:eastAsia="华文中宋" w:hint="default"/>
        </w:rPr>
        <w:t>伟世通及北斗星通战略合作</w:t>
      </w:r>
    </w:p>
    <w:p>
      <w:pPr>
        <w:spacing w:after="0" w:line="240" w:lineRule="auto"/>
        <w:jc w:val="center"/>
        <w:rPr>
          <w:rFonts w:ascii="华文中宋" w:hAnsi="华文中宋" w:cs="华文中宋" w:eastAsia="华文中宋" w:hint="default"/>
        </w:rPr>
        <w:sectPr>
          <w:pgSz w:w="11910" w:h="16840"/>
          <w:pgMar w:header="745" w:footer="979" w:top="1060" w:bottom="1160" w:left="980" w:right="920"/>
        </w:sectPr>
      </w:pPr>
    </w:p>
    <w:p>
      <w:pPr>
        <w:spacing w:line="240" w:lineRule="auto" w:before="0"/>
        <w:rPr>
          <w:rFonts w:ascii="华文中宋" w:hAnsi="华文中宋" w:cs="华文中宋" w:eastAsia="华文中宋" w:hint="default"/>
          <w:sz w:val="20"/>
          <w:szCs w:val="20"/>
        </w:rPr>
      </w:pPr>
    </w:p>
    <w:p>
      <w:pPr>
        <w:spacing w:line="240" w:lineRule="auto" w:before="11"/>
        <w:rPr>
          <w:rFonts w:ascii="华文中宋" w:hAnsi="华文中宋" w:cs="华文中宋" w:eastAsia="华文中宋" w:hint="default"/>
          <w:sz w:val="12"/>
          <w:szCs w:val="12"/>
        </w:rPr>
      </w:pPr>
    </w:p>
    <w:p>
      <w:pPr>
        <w:spacing w:line="2565" w:lineRule="exact"/>
        <w:ind w:left="1263" w:right="0" w:firstLine="0"/>
        <w:rPr>
          <w:rFonts w:ascii="华文中宋" w:hAnsi="华文中宋" w:cs="华文中宋" w:eastAsia="华文中宋" w:hint="default"/>
          <w:sz w:val="20"/>
          <w:szCs w:val="20"/>
        </w:rPr>
      </w:pPr>
      <w:r>
        <w:rPr>
          <w:rFonts w:ascii="华文中宋" w:hAnsi="华文中宋" w:cs="华文中宋" w:eastAsia="华文中宋" w:hint="default"/>
          <w:position w:val="-50"/>
          <w:sz w:val="20"/>
          <w:szCs w:val="20"/>
        </w:rPr>
        <w:drawing>
          <wp:inline distT="0" distB="0" distL="0" distR="0">
            <wp:extent cx="4838700" cy="1628775"/>
            <wp:effectExtent l="0" t="0" r="0" b="0"/>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31" cstate="print"/>
                    <a:stretch>
                      <a:fillRect/>
                    </a:stretch>
                  </pic:blipFill>
                  <pic:spPr>
                    <a:xfrm>
                      <a:off x="0" y="0"/>
                      <a:ext cx="4838700" cy="1628775"/>
                    </a:xfrm>
                    <a:prstGeom prst="rect">
                      <a:avLst/>
                    </a:prstGeom>
                  </pic:spPr>
                </pic:pic>
              </a:graphicData>
            </a:graphic>
          </wp:inline>
        </w:drawing>
      </w:r>
      <w:r>
        <w:rPr>
          <w:rFonts w:ascii="华文中宋" w:hAnsi="华文中宋" w:cs="华文中宋" w:eastAsia="华文中宋" w:hint="default"/>
          <w:position w:val="-50"/>
          <w:sz w:val="20"/>
          <w:szCs w:val="20"/>
        </w:rPr>
      </w:r>
    </w:p>
    <w:p>
      <w:pPr>
        <w:spacing w:line="240" w:lineRule="auto" w:before="12"/>
        <w:rPr>
          <w:rFonts w:ascii="华文中宋" w:hAnsi="华文中宋" w:cs="华文中宋" w:eastAsia="华文中宋" w:hint="default"/>
          <w:sz w:val="13"/>
          <w:szCs w:val="13"/>
        </w:rPr>
      </w:pPr>
    </w:p>
    <w:p>
      <w:pPr>
        <w:pStyle w:val="Heading6"/>
        <w:spacing w:line="240" w:lineRule="auto" w:before="4"/>
        <w:ind w:left="495" w:right="494" w:firstLine="0"/>
        <w:jc w:val="center"/>
        <w:rPr>
          <w:rFonts w:ascii="Times New Roman" w:hAnsi="Times New Roman" w:cs="Times New Roman" w:eastAsia="Times New Roman" w:hint="default"/>
        </w:rPr>
      </w:pPr>
      <w:r>
        <w:rPr>
          <w:rFonts w:ascii="华文中宋" w:hAnsi="华文中宋" w:cs="华文中宋" w:eastAsia="华文中宋" w:hint="default"/>
        </w:rPr>
        <w:t>参展 </w:t>
      </w:r>
      <w:r>
        <w:rPr>
          <w:rFonts w:ascii="Times New Roman" w:hAnsi="Times New Roman" w:cs="Times New Roman" w:eastAsia="Times New Roman" w:hint="default"/>
        </w:rPr>
        <w:t>CES ASIA</w:t>
      </w:r>
      <w:r>
        <w:rPr>
          <w:rFonts w:ascii="Times New Roman" w:hAnsi="Times New Roman" w:cs="Times New Roman" w:eastAsia="Times New Roman" w:hint="default"/>
          <w:spacing w:val="-18"/>
        </w:rPr>
        <w:t> </w:t>
      </w:r>
      <w:r>
        <w:rPr>
          <w:rFonts w:ascii="Times New Roman" w:hAnsi="Times New Roman" w:cs="Times New Roman" w:eastAsia="Times New Roman" w:hint="default"/>
        </w:rPr>
        <w:t>2017</w:t>
      </w:r>
    </w:p>
    <w:p>
      <w:pPr>
        <w:spacing w:line="240" w:lineRule="auto" w:before="4"/>
        <w:rPr>
          <w:rFonts w:ascii="Times New Roman" w:hAnsi="Times New Roman" w:cs="Times New Roman" w:eastAsia="Times New Roman" w:hint="default"/>
          <w:sz w:val="23"/>
          <w:szCs w:val="23"/>
        </w:rPr>
      </w:pPr>
    </w:p>
    <w:p>
      <w:pPr>
        <w:spacing w:line="2580" w:lineRule="exact"/>
        <w:ind w:left="123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1"/>
          <w:sz w:val="20"/>
          <w:szCs w:val="20"/>
        </w:rPr>
        <w:pict>
          <v:group style="width:383.25pt;height:129pt;mso-position-horizontal-relative:char;mso-position-vertical-relative:line" coordorigin="0,0" coordsize="7665,2580">
            <v:shape style="position:absolute;left:0;top:0;width:3840;height:2565" type="#_x0000_t75" stroked="false">
              <v:imagedata r:id="rId32" o:title=""/>
            </v:shape>
            <v:shape style="position:absolute;left:3840;top:30;width:3825;height:2550" type="#_x0000_t75" stroked="false">
              <v:imagedata r:id="rId33" o:title=""/>
            </v:shape>
          </v:group>
        </w:pict>
      </w:r>
      <w:r>
        <w:rPr>
          <w:rFonts w:ascii="Times New Roman" w:hAnsi="Times New Roman" w:cs="Times New Roman" w:eastAsia="Times New Roman" w:hint="default"/>
          <w:position w:val="-51"/>
          <w:sz w:val="20"/>
          <w:szCs w:val="20"/>
        </w:rPr>
      </w:r>
    </w:p>
    <w:p>
      <w:pPr>
        <w:spacing w:line="240" w:lineRule="auto" w:before="6"/>
        <w:rPr>
          <w:rFonts w:ascii="Times New Roman" w:hAnsi="Times New Roman" w:cs="Times New Roman" w:eastAsia="Times New Roman" w:hint="default"/>
          <w:sz w:val="16"/>
          <w:szCs w:val="16"/>
        </w:rPr>
      </w:pPr>
    </w:p>
    <w:p>
      <w:pPr>
        <w:pStyle w:val="Heading6"/>
        <w:spacing w:line="240" w:lineRule="auto" w:before="4"/>
        <w:ind w:left="495" w:right="495" w:firstLine="0"/>
        <w:jc w:val="center"/>
        <w:rPr>
          <w:rFonts w:ascii="华文中宋" w:hAnsi="华文中宋" w:cs="华文中宋" w:eastAsia="华文中宋" w:hint="default"/>
        </w:rPr>
      </w:pPr>
      <w:r>
        <w:rPr>
          <w:rFonts w:ascii="华文中宋" w:hAnsi="华文中宋" w:cs="华文中宋" w:eastAsia="华文中宋" w:hint="default"/>
        </w:rPr>
        <w:t>位智数聚 </w:t>
      </w:r>
      <w:r>
        <w:rPr>
          <w:rFonts w:ascii="Times New Roman" w:hAnsi="Times New Roman" w:cs="Times New Roman" w:eastAsia="Times New Roman" w:hint="default"/>
        </w:rPr>
        <w:t>Minedata</w:t>
      </w:r>
      <w:r>
        <w:rPr>
          <w:rFonts w:ascii="Times New Roman" w:hAnsi="Times New Roman" w:cs="Times New Roman" w:eastAsia="Times New Roman" w:hint="default"/>
          <w:spacing w:val="-16"/>
        </w:rPr>
        <w:t> </w:t>
      </w:r>
      <w:r>
        <w:rPr>
          <w:rFonts w:ascii="华文中宋" w:hAnsi="华文中宋" w:cs="华文中宋" w:eastAsia="华文中宋" w:hint="default"/>
        </w:rPr>
        <w:t>大数据平台发布会</w:t>
      </w:r>
    </w:p>
    <w:p>
      <w:pPr>
        <w:spacing w:line="240" w:lineRule="auto" w:before="0"/>
        <w:rPr>
          <w:rFonts w:ascii="华文中宋" w:hAnsi="华文中宋" w:cs="华文中宋" w:eastAsia="华文中宋" w:hint="default"/>
          <w:sz w:val="20"/>
          <w:szCs w:val="20"/>
        </w:rPr>
      </w:pPr>
    </w:p>
    <w:p>
      <w:pPr>
        <w:spacing w:line="2590" w:lineRule="exact"/>
        <w:ind w:left="1240" w:right="0" w:firstLine="0"/>
        <w:rPr>
          <w:rFonts w:ascii="华文中宋" w:hAnsi="华文中宋" w:cs="华文中宋" w:eastAsia="华文中宋" w:hint="default"/>
          <w:sz w:val="20"/>
          <w:szCs w:val="20"/>
        </w:rPr>
      </w:pPr>
      <w:r>
        <w:rPr>
          <w:rFonts w:ascii="华文中宋" w:hAnsi="华文中宋" w:cs="华文中宋" w:eastAsia="华文中宋" w:hint="default"/>
          <w:position w:val="-51"/>
          <w:sz w:val="20"/>
          <w:szCs w:val="20"/>
        </w:rPr>
        <w:drawing>
          <wp:inline distT="0" distB="0" distL="0" distR="0">
            <wp:extent cx="4889261" cy="1645062"/>
            <wp:effectExtent l="0" t="0" r="0" b="0"/>
            <wp:docPr id="31" name="image18.png" descr=""/>
            <wp:cNvGraphicFramePr>
              <a:graphicFrameLocks noChangeAspect="1"/>
            </wp:cNvGraphicFramePr>
            <a:graphic>
              <a:graphicData uri="http://schemas.openxmlformats.org/drawingml/2006/picture">
                <pic:pic>
                  <pic:nvPicPr>
                    <pic:cNvPr id="32" name="image18.png"/>
                    <pic:cNvPicPr/>
                  </pic:nvPicPr>
                  <pic:blipFill>
                    <a:blip r:embed="rId34" cstate="print"/>
                    <a:stretch>
                      <a:fillRect/>
                    </a:stretch>
                  </pic:blipFill>
                  <pic:spPr>
                    <a:xfrm>
                      <a:off x="0" y="0"/>
                      <a:ext cx="4889261" cy="1645062"/>
                    </a:xfrm>
                    <a:prstGeom prst="rect">
                      <a:avLst/>
                    </a:prstGeom>
                  </pic:spPr>
                </pic:pic>
              </a:graphicData>
            </a:graphic>
          </wp:inline>
        </w:drawing>
      </w:r>
      <w:r>
        <w:rPr>
          <w:rFonts w:ascii="华文中宋" w:hAnsi="华文中宋" w:cs="华文中宋" w:eastAsia="华文中宋" w:hint="default"/>
          <w:position w:val="-51"/>
          <w:sz w:val="20"/>
          <w:szCs w:val="20"/>
        </w:rPr>
      </w:r>
    </w:p>
    <w:p>
      <w:pPr>
        <w:spacing w:line="240" w:lineRule="auto" w:before="6"/>
        <w:rPr>
          <w:rFonts w:ascii="华文中宋" w:hAnsi="华文中宋" w:cs="华文中宋" w:eastAsia="华文中宋" w:hint="default"/>
          <w:sz w:val="31"/>
          <w:szCs w:val="31"/>
        </w:rPr>
      </w:pPr>
    </w:p>
    <w:p>
      <w:pPr>
        <w:pStyle w:val="Heading6"/>
        <w:spacing w:line="240" w:lineRule="auto" w:before="0"/>
        <w:ind w:left="495" w:right="495" w:firstLine="0"/>
        <w:jc w:val="center"/>
        <w:rPr>
          <w:rFonts w:ascii="华文中宋" w:hAnsi="华文中宋" w:cs="华文中宋" w:eastAsia="华文中宋" w:hint="default"/>
        </w:rPr>
      </w:pPr>
      <w:r>
        <w:rPr>
          <w:rFonts w:ascii="Times New Roman" w:hAnsi="Times New Roman" w:cs="Times New Roman" w:eastAsia="Times New Roman" w:hint="default"/>
        </w:rPr>
        <w:t>2017 </w:t>
      </w:r>
      <w:r>
        <w:rPr>
          <w:rFonts w:ascii="华文中宋" w:hAnsi="华文中宋" w:cs="华文中宋" w:eastAsia="华文中宋" w:hint="default"/>
        </w:rPr>
        <w:t>用户大会（</w:t>
      </w:r>
      <w:r>
        <w:rPr>
          <w:rFonts w:ascii="Times New Roman" w:hAnsi="Times New Roman" w:cs="Times New Roman" w:eastAsia="Times New Roman" w:hint="default"/>
        </w:rPr>
        <w:t>2017 User</w:t>
      </w:r>
      <w:r>
        <w:rPr>
          <w:rFonts w:ascii="Times New Roman" w:hAnsi="Times New Roman" w:cs="Times New Roman" w:eastAsia="Times New Roman" w:hint="default"/>
          <w:spacing w:val="-5"/>
        </w:rPr>
        <w:t> </w:t>
      </w:r>
      <w:r>
        <w:rPr>
          <w:rFonts w:ascii="Times New Roman" w:hAnsi="Times New Roman" w:cs="Times New Roman" w:eastAsia="Times New Roman" w:hint="default"/>
        </w:rPr>
        <w:t>Group</w:t>
      </w:r>
      <w:r>
        <w:rPr>
          <w:rFonts w:ascii="华文中宋" w:hAnsi="华文中宋" w:cs="华文中宋" w:eastAsia="华文中宋" w:hint="default"/>
        </w:rPr>
        <w:t>）</w:t>
      </w:r>
    </w:p>
    <w:p>
      <w:pPr>
        <w:pStyle w:val="Heading6"/>
        <w:spacing w:line="408" w:lineRule="auto" w:before="181"/>
        <w:ind w:right="146" w:firstLine="422"/>
        <w:jc w:val="both"/>
      </w:pPr>
      <w:r>
        <w:rPr>
          <w:rFonts w:ascii="宋体" w:hAnsi="宋体" w:cs="宋体" w:eastAsia="宋体" w:hint="default"/>
          <w:b/>
          <w:bCs/>
          <w:spacing w:val="-2"/>
        </w:rPr>
        <w:t>在企业运营保障方面，</w:t>
      </w:r>
      <w:r>
        <w:rPr>
          <w:spacing w:val="-2"/>
        </w:rPr>
        <w:t>公司积极推进企业未来发展战略目标落地，引进外部创新机制，打造面向未来</w:t>
      </w:r>
      <w:r>
        <w:rPr>
          <w:w w:val="100"/>
        </w:rPr>
        <w:t> </w:t>
      </w:r>
      <w:r>
        <w:rPr>
          <w:spacing w:val="-2"/>
        </w:rPr>
        <w:t>的有竞争力的组织架构及管理模式，明显提升企业组织管理能效及盈利能力。另一方面，公司积极创建以</w:t>
      </w:r>
      <w:r>
        <w:rPr>
          <w:spacing w:val="-44"/>
        </w:rPr>
        <w:t> </w:t>
      </w:r>
      <w:r>
        <w:rPr>
          <w:spacing w:val="-44"/>
        </w:rPr>
      </w:r>
      <w:r>
        <w:rPr>
          <w:spacing w:val="-2"/>
        </w:rPr>
        <w:t>“热情”、“责任”、“创新”“正直”为核心的企业文化及和谐进取的员工关系，完善人才引进及职业</w:t>
      </w:r>
      <w:r>
        <w:rPr>
          <w:spacing w:val="-43"/>
        </w:rPr>
        <w:t> </w:t>
      </w:r>
      <w:r>
        <w:rPr>
          <w:spacing w:val="-43"/>
        </w:rPr>
      </w:r>
      <w:r>
        <w:rPr>
          <w:spacing w:val="-2"/>
        </w:rPr>
        <w:t>发展通道，优化办公环境，提升运营效率，大幅提升员工归属感和凝聚力。报告期内，公司自建的现代化</w:t>
      </w:r>
      <w:r>
        <w:rPr>
          <w:spacing w:val="-43"/>
        </w:rPr>
        <w:t> </w:t>
      </w:r>
      <w:r>
        <w:rPr>
          <w:spacing w:val="-43"/>
        </w:rPr>
      </w:r>
      <w:r>
        <w:rPr>
          <w:spacing w:val="-2"/>
        </w:rPr>
        <w:t>办公大楼正式投入使用，先进的配套服务设施及人本主义的后勤保障服务获得公司员工一致好评。第三届</w:t>
      </w:r>
      <w:r>
        <w:rPr>
          <w:spacing w:val="-43"/>
        </w:rPr>
        <w:t> </w:t>
      </w:r>
      <w:r>
        <w:rPr>
          <w:spacing w:val="-43"/>
        </w:rPr>
      </w:r>
      <w:r>
        <w:rPr/>
        <w:t>“四维图新”杯地图制图技能大赛、第二届四维图新黑客大赛“</w:t>
      </w:r>
      <w:r>
        <w:rPr>
          <w:rFonts w:ascii="宋体" w:hAnsi="宋体" w:cs="宋体" w:eastAsia="宋体" w:hint="default"/>
        </w:rPr>
        <w:t>NI</w:t>
      </w:r>
      <w:r>
        <w:rPr>
          <w:rFonts w:ascii="宋体" w:hAnsi="宋体" w:cs="宋体" w:eastAsia="宋体" w:hint="default"/>
          <w:spacing w:val="-31"/>
        </w:rPr>
        <w:t> </w:t>
      </w:r>
      <w:r>
        <w:rPr>
          <w:rFonts w:ascii="宋体" w:hAnsi="宋体" w:cs="宋体" w:eastAsia="宋体" w:hint="default"/>
        </w:rPr>
        <w:t>Hackathon</w:t>
      </w:r>
      <w:r>
        <w:rPr/>
        <w:t>”等创新及交流活动成功举</w:t>
      </w:r>
      <w:r>
        <w:rPr>
          <w:w w:val="100"/>
        </w:rPr>
        <w:t> </w:t>
      </w:r>
      <w:r>
        <w:rPr/>
        <w:t>办，不但激发企业员工创新热情，也为公司储备孵化项目打下基础。公司自 </w:t>
      </w:r>
      <w:r>
        <w:rPr>
          <w:rFonts w:ascii="宋体" w:hAnsi="宋体" w:cs="宋体" w:eastAsia="宋体" w:hint="default"/>
        </w:rPr>
        <w:t>2015</w:t>
      </w:r>
      <w:r>
        <w:rPr>
          <w:rFonts w:ascii="宋体" w:hAnsi="宋体" w:cs="宋体" w:eastAsia="宋体" w:hint="default"/>
          <w:spacing w:val="-32"/>
        </w:rPr>
        <w:t> </w:t>
      </w:r>
      <w:r>
        <w:rPr/>
        <w:t>年推行股权激励计划实</w:t>
      </w:r>
    </w:p>
    <w:p>
      <w:pPr>
        <w:spacing w:after="0" w:line="408" w:lineRule="auto"/>
        <w:jc w:val="both"/>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pStyle w:val="Heading6"/>
        <w:spacing w:line="408" w:lineRule="auto" w:before="176"/>
        <w:ind w:right="0" w:firstLine="0"/>
        <w:jc w:val="left"/>
        <w:rPr>
          <w:rFonts w:ascii="宋体" w:hAnsi="宋体" w:cs="宋体" w:eastAsia="宋体" w:hint="default"/>
        </w:rPr>
      </w:pPr>
      <w:r>
        <w:rPr>
          <w:spacing w:val="-2"/>
        </w:rPr>
        <w:t>施至今，被授予股权的核心人才年离职率远低于行业平均水平，围绕稳定的核心团队打造的人才梯队为公</w:t>
      </w:r>
      <w:r>
        <w:rPr>
          <w:spacing w:val="-44"/>
        </w:rPr>
        <w:t> </w:t>
      </w:r>
      <w:r>
        <w:rPr>
          <w:spacing w:val="-44"/>
        </w:rPr>
      </w:r>
      <w:r>
        <w:rPr/>
        <w:t>司在高速发展的行业变革中始终保持优势地位提供了坚实的人才保障。</w:t>
      </w:r>
      <w:r>
        <w:rPr>
          <w:rFonts w:ascii="宋体" w:hAnsi="宋体" w:cs="宋体" w:eastAsia="宋体" w:hint="default"/>
        </w:rPr>
        <w:t> </w:t>
      </w:r>
    </w:p>
    <w:p>
      <w:pPr>
        <w:spacing w:line="240" w:lineRule="auto" w:before="1"/>
        <w:rPr>
          <w:rFonts w:ascii="宋体" w:hAnsi="宋体" w:cs="宋体" w:eastAsia="宋体" w:hint="default"/>
          <w:sz w:val="11"/>
          <w:szCs w:val="11"/>
        </w:rPr>
      </w:pPr>
    </w:p>
    <w:p>
      <w:pPr>
        <w:spacing w:line="3780" w:lineRule="exact"/>
        <w:ind w:left="2318"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3358522" cy="2400300"/>
            <wp:effectExtent l="0" t="0" r="0" b="0"/>
            <wp:docPr id="33" name="image19.jpeg" descr=""/>
            <wp:cNvGraphicFramePr>
              <a:graphicFrameLocks noChangeAspect="1"/>
            </wp:cNvGraphicFramePr>
            <a:graphic>
              <a:graphicData uri="http://schemas.openxmlformats.org/drawingml/2006/picture">
                <pic:pic>
                  <pic:nvPicPr>
                    <pic:cNvPr id="34" name="image19.jpeg"/>
                    <pic:cNvPicPr/>
                  </pic:nvPicPr>
                  <pic:blipFill>
                    <a:blip r:embed="rId35" cstate="print"/>
                    <a:stretch>
                      <a:fillRect/>
                    </a:stretch>
                  </pic:blipFill>
                  <pic:spPr>
                    <a:xfrm>
                      <a:off x="0" y="0"/>
                      <a:ext cx="3358522" cy="2400300"/>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10"/>
        <w:rPr>
          <w:rFonts w:ascii="宋体" w:hAnsi="宋体" w:cs="宋体" w:eastAsia="宋体" w:hint="default"/>
          <w:sz w:val="17"/>
          <w:szCs w:val="17"/>
        </w:rPr>
      </w:pPr>
    </w:p>
    <w:p>
      <w:pPr>
        <w:pStyle w:val="Heading6"/>
        <w:spacing w:line="240" w:lineRule="auto" w:before="0"/>
        <w:ind w:left="495" w:right="493" w:firstLine="0"/>
        <w:jc w:val="center"/>
        <w:rPr>
          <w:rFonts w:ascii="华文中宋" w:hAnsi="华文中宋" w:cs="华文中宋" w:eastAsia="华文中宋" w:hint="default"/>
        </w:rPr>
      </w:pPr>
      <w:r>
        <w:rPr>
          <w:rFonts w:ascii="华文中宋" w:hAnsi="华文中宋" w:cs="华文中宋" w:eastAsia="华文中宋" w:hint="default"/>
        </w:rPr>
        <w:t>办公大楼入住仪式</w:t>
      </w:r>
    </w:p>
    <w:p>
      <w:pPr>
        <w:spacing w:line="240" w:lineRule="auto" w:before="6"/>
        <w:rPr>
          <w:rFonts w:ascii="华文中宋" w:hAnsi="华文中宋" w:cs="华文中宋" w:eastAsia="华文中宋" w:hint="default"/>
          <w:sz w:val="25"/>
          <w:szCs w:val="25"/>
        </w:rPr>
      </w:pPr>
    </w:p>
    <w:p>
      <w:pPr>
        <w:pStyle w:val="Heading3"/>
        <w:spacing w:line="240" w:lineRule="auto"/>
        <w:ind w:right="0"/>
        <w:jc w:val="left"/>
        <w:rPr>
          <w:b w:val="0"/>
          <w:bCs w:val="0"/>
        </w:rPr>
      </w:pPr>
      <w:r>
        <w:rPr/>
        <w:t>二、主要资产重大变化情况</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、主要资产重大变化情况</w:t>
      </w:r>
      <w:r>
        <w:rPr>
          <w:b w:val="0"/>
          <w:bCs w:val="0"/>
        </w:rPr>
      </w:r>
    </w:p>
    <w:p>
      <w:pPr>
        <w:spacing w:line="240" w:lineRule="auto" w:before="8"/>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051"/>
        <w:gridCol w:w="6519"/>
      </w:tblGrid>
      <w:tr>
        <w:trPr>
          <w:trHeight w:val="765" w:hRule="exact"/>
        </w:trPr>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71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本期增加系新增投资北京车联天下信息技术有限公司、北京四维互联基金管理中心</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（有限合伙</w:t>
            </w:r>
            <w:r>
              <w:rPr>
                <w:rFonts w:ascii="宋体" w:hAnsi="宋体" w:cs="宋体" w:eastAsia="宋体" w:hint="default"/>
                <w:spacing w:val="-92"/>
                <w:sz w:val="18"/>
                <w:szCs w:val="18"/>
              </w:rPr>
              <w:t>）</w:t>
            </w:r>
            <w:r>
              <w:rPr>
                <w:rFonts w:ascii="宋体" w:hAnsi="宋体" w:cs="宋体" w:eastAsia="宋体" w:hint="default"/>
                <w:sz w:val="18"/>
                <w:szCs w:val="18"/>
              </w:rPr>
              <w:t>、北京图新瀚和</w:t>
            </w:r>
            <w:r>
              <w:rPr>
                <w:rFonts w:ascii="宋体" w:hAnsi="宋体" w:cs="宋体" w:eastAsia="宋体" w:hint="default"/>
                <w:spacing w:val="2"/>
                <w:sz w:val="18"/>
                <w:szCs w:val="18"/>
              </w:rPr>
              <w:t>科</w:t>
            </w:r>
            <w:r>
              <w:rPr>
                <w:rFonts w:ascii="宋体" w:hAnsi="宋体" w:cs="宋体" w:eastAsia="宋体" w:hint="default"/>
                <w:sz w:val="18"/>
                <w:szCs w:val="18"/>
              </w:rPr>
              <w:t>技有限公司等公司所致</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本期增加系中关村永丰基地办公楼建设完成转入固定资产所致</w:t>
            </w:r>
          </w:p>
        </w:tc>
      </w:tr>
      <w:tr>
        <w:trPr>
          <w:trHeight w:val="71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83"/>
              <w:jc w:val="left"/>
              <w:rPr>
                <w:rFonts w:ascii="宋体" w:hAnsi="宋体" w:cs="宋体" w:eastAsia="宋体" w:hint="default"/>
                <w:sz w:val="18"/>
                <w:szCs w:val="18"/>
              </w:rPr>
            </w:pPr>
            <w:r>
              <w:rPr>
                <w:rFonts w:ascii="宋体" w:hAnsi="宋体" w:cs="宋体" w:eastAsia="宋体" w:hint="default"/>
                <w:sz w:val="18"/>
                <w:szCs w:val="18"/>
              </w:rPr>
              <w:t>本期增加系永丰基地土地自在建工程转入以及本期合并杰发科技无形资产评估增 值所致</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本期减少系中关村永丰基地办公楼建设完成转入固定资产和无形资产所致</w:t>
            </w: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本期增加系收到定向增发股票款所致</w:t>
            </w:r>
          </w:p>
        </w:tc>
      </w:tr>
      <w:tr>
        <w:trPr>
          <w:trHeight w:val="404"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本期增加系收到银行承兑汇票增加所致</w:t>
            </w: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本期增加系合并杰发科技的影响及应收销售款增加所致</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本期增加系定期存款利息增加所致</w:t>
            </w: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本期增加系联营公司上海安吉四维信息技术有限公司宣告分红所致</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本期增加系合并杰发科技致库存商品和在产品增加所致</w:t>
            </w: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本期增加系合并杰发科技致银行理财产品增加所致</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本期增加系公司加大高精度地图研发投入力度所致</w:t>
            </w:r>
          </w:p>
        </w:tc>
      </w:tr>
      <w:tr>
        <w:trPr>
          <w:trHeight w:val="401"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本期增加系合并杰发科技形成商誉所致</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3051"/>
        <w:gridCol w:w="6519"/>
      </w:tblGrid>
      <w:tr>
        <w:trPr>
          <w:trHeight w:val="401"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本期增加系增加办公楼装修所致</w:t>
            </w:r>
          </w:p>
        </w:tc>
      </w:tr>
      <w:tr>
        <w:trPr>
          <w:trHeight w:val="403"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6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本期增加系合并杰发科技致递延所得税资产增加所致</w:t>
            </w:r>
          </w:p>
        </w:tc>
      </w:tr>
    </w:tbl>
    <w:p>
      <w:pPr>
        <w:pStyle w:val="Heading7"/>
        <w:spacing w:line="269" w:lineRule="exact"/>
        <w:ind w:right="0"/>
        <w:jc w:val="both"/>
      </w:pPr>
      <w:r>
        <w:rPr>
          <w:sz w:val="18"/>
          <w:szCs w:val="18"/>
        </w:rPr>
        <w:t>注：</w:t>
      </w:r>
      <w:r>
        <w:rPr/>
        <w:t>上海安悦四维信息技术有限公司已于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月更名为上海安吉四维信息技术有限公司。</w:t>
      </w:r>
    </w:p>
    <w:p>
      <w:pPr>
        <w:spacing w:line="240" w:lineRule="auto" w:before="4"/>
        <w:rPr>
          <w:rFonts w:ascii="宋体" w:hAnsi="宋体" w:cs="宋体" w:eastAsia="宋体" w:hint="default"/>
          <w:sz w:val="25"/>
          <w:szCs w:val="25"/>
        </w:rPr>
      </w:pPr>
    </w:p>
    <w:p>
      <w:pPr>
        <w:pStyle w:val="Heading5"/>
        <w:spacing w:line="240" w:lineRule="auto"/>
        <w:ind w:right="0"/>
        <w:jc w:val="both"/>
        <w:rPr>
          <w:b w:val="0"/>
          <w:bCs w:val="0"/>
        </w:rPr>
      </w:pPr>
      <w:r>
        <w:rPr>
          <w:rFonts w:ascii="Times New Roman" w:hAnsi="Times New Roman" w:cs="Times New Roman" w:eastAsia="Times New Roman" w:hint="default"/>
        </w:rPr>
        <w:t>2</w:t>
      </w:r>
      <w:r>
        <w:rPr/>
        <w:t>、主要境外资产情况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3"/>
        <w:spacing w:line="240" w:lineRule="auto"/>
        <w:ind w:right="0"/>
        <w:jc w:val="both"/>
        <w:rPr>
          <w:b w:val="0"/>
          <w:bCs w:val="0"/>
        </w:rPr>
      </w:pPr>
      <w:r>
        <w:rPr/>
        <w:t>三、核心竞争力分析</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right="6894"/>
        <w:jc w:val="left"/>
      </w:pPr>
      <w:r>
        <w:rPr/>
        <w:t>公司是否需要遵守特殊行业的披露要求 否</w:t>
      </w:r>
    </w:p>
    <w:p>
      <w:pPr>
        <w:pStyle w:val="Heading6"/>
        <w:spacing w:line="408" w:lineRule="auto" w:before="83"/>
        <w:ind w:right="222"/>
        <w:jc w:val="left"/>
        <w:rPr>
          <w:rFonts w:ascii="宋体" w:hAnsi="宋体" w:cs="宋体" w:eastAsia="宋体" w:hint="default"/>
        </w:rPr>
      </w:pPr>
      <w:r>
        <w:rPr/>
        <w:t>公司</w:t>
      </w:r>
      <w:r>
        <w:rPr>
          <w:spacing w:val="-55"/>
        </w:rPr>
        <w:t> </w:t>
      </w:r>
      <w:r>
        <w:rPr>
          <w:rFonts w:ascii="宋体" w:hAnsi="宋体" w:cs="宋体" w:eastAsia="宋体" w:hint="default"/>
        </w:rPr>
        <w:t>2017</w:t>
      </w:r>
      <w:r>
        <w:rPr>
          <w:rFonts w:ascii="宋体" w:hAnsi="宋体" w:cs="宋体" w:eastAsia="宋体" w:hint="default"/>
          <w:spacing w:val="-57"/>
        </w:rPr>
        <w:t> </w:t>
      </w:r>
      <w:r>
        <w:rPr/>
        <w:t>年明确提出要实现“智能汽车大脑”的战略愿景，发展成为中国领先的高品质端到端自动</w:t>
      </w:r>
      <w:r>
        <w:rPr>
          <w:w w:val="100"/>
        </w:rPr>
        <w:t> </w:t>
      </w:r>
      <w:r>
        <w:rPr>
          <w:spacing w:val="-2"/>
        </w:rPr>
        <w:t>驾驶解决方案供应商，致力于为车企及行业客户提供包括以高精度地图、高精度定位、车载智能芯片为核</w:t>
      </w:r>
      <w:r>
        <w:rPr>
          <w:spacing w:val="-45"/>
        </w:rPr>
        <w:t> </w:t>
      </w:r>
      <w:r>
        <w:rPr>
          <w:spacing w:val="-45"/>
        </w:rPr>
      </w:r>
      <w:r>
        <w:rPr>
          <w:spacing w:val="-2"/>
        </w:rPr>
        <w:t>心的产品和服务。围绕这一战略愿景及发展目标的实现，结合自身优势，公司将重点打造以下几方面的核</w:t>
      </w:r>
      <w:r>
        <w:rPr>
          <w:spacing w:val="-44"/>
        </w:rPr>
        <w:t> </w:t>
      </w:r>
      <w:r>
        <w:rPr>
          <w:spacing w:val="-44"/>
        </w:rPr>
      </w:r>
      <w:r>
        <w:rPr/>
        <w:t>心竞争力。</w:t>
      </w:r>
      <w:r>
        <w:rPr>
          <w:rFonts w:ascii="宋体" w:hAnsi="宋体" w:cs="宋体" w:eastAsia="宋体" w:hint="default"/>
        </w:rPr>
        <w:t> </w:t>
      </w:r>
    </w:p>
    <w:p>
      <w:pPr>
        <w:spacing w:line="240" w:lineRule="auto" w:before="6"/>
        <w:rPr>
          <w:rFonts w:ascii="宋体" w:hAnsi="宋体" w:cs="宋体" w:eastAsia="宋体" w:hint="default"/>
          <w:sz w:val="15"/>
          <w:szCs w:val="15"/>
        </w:rPr>
      </w:pPr>
    </w:p>
    <w:p>
      <w:pPr>
        <w:spacing w:line="408" w:lineRule="auto" w:before="0"/>
        <w:ind w:left="573" w:right="222" w:firstLine="2"/>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、兼具汽车和互联网两大前沿领域的跨界融合发展能力</w:t>
      </w:r>
      <w:r>
        <w:rPr>
          <w:rFonts w:ascii="宋体" w:hAnsi="宋体" w:cs="宋体" w:eastAsia="宋体" w:hint="default"/>
          <w:b/>
          <w:bCs/>
          <w:w w:val="99"/>
          <w:sz w:val="21"/>
          <w:szCs w:val="21"/>
        </w:rPr>
        <w:t> </w:t>
      </w:r>
      <w:r>
        <w:rPr>
          <w:rFonts w:ascii="宋体" w:hAnsi="宋体" w:cs="宋体" w:eastAsia="宋体" w:hint="default"/>
          <w:spacing w:val="-2"/>
          <w:sz w:val="21"/>
          <w:szCs w:val="21"/>
        </w:rPr>
        <w:t>公司在多年的与顶尖车厂、客户合作与共同开发中，一直秉承汽车行业严谨、高效、注重品质的理念</w:t>
      </w:r>
    </w:p>
    <w:p>
      <w:pPr>
        <w:pStyle w:val="Heading6"/>
        <w:spacing w:line="408" w:lineRule="auto"/>
        <w:ind w:right="222" w:firstLine="0"/>
        <w:jc w:val="left"/>
        <w:rPr>
          <w:rFonts w:ascii="宋体" w:hAnsi="宋体" w:cs="宋体" w:eastAsia="宋体" w:hint="default"/>
        </w:rPr>
      </w:pPr>
      <w:r>
        <w:rPr>
          <w:spacing w:val="-2"/>
        </w:rPr>
        <w:t>与工作方式。它不仅使公司在车载前装领域持续多年保持市场领先地位，同时，面对互联网领域日益激烈</w:t>
      </w:r>
      <w:r>
        <w:rPr>
          <w:spacing w:val="-43"/>
        </w:rPr>
        <w:t> </w:t>
      </w:r>
      <w:r>
        <w:rPr>
          <w:spacing w:val="-43"/>
        </w:rPr>
      </w:r>
      <w:r>
        <w:rPr/>
        <w:t>的市场环境，也使公司能够抓住市场机遇，与滴滴、腾讯、搜狗、华为建立了良好的合作关系。</w:t>
      </w:r>
      <w:r>
        <w:rPr>
          <w:rFonts w:ascii="宋体" w:hAnsi="宋体" w:cs="宋体" w:eastAsia="宋体" w:hint="default"/>
        </w:rPr>
        <w:t> </w:t>
      </w:r>
    </w:p>
    <w:p>
      <w:pPr>
        <w:pStyle w:val="Heading6"/>
        <w:spacing w:line="408" w:lineRule="auto"/>
        <w:ind w:right="222"/>
        <w:jc w:val="left"/>
        <w:rPr>
          <w:rFonts w:ascii="宋体" w:hAnsi="宋体" w:cs="宋体" w:eastAsia="宋体" w:hint="default"/>
        </w:rPr>
      </w:pPr>
      <w:r>
        <w:rPr>
          <w:spacing w:val="-5"/>
        </w:rPr>
        <w:t>利用服务于互联网客户的难得机遇，公司吸收互联网行业对产品快速迭代、以用户为依托的服务理念，</w:t>
      </w:r>
      <w:r>
        <w:rPr>
          <w:w w:val="100"/>
        </w:rPr>
        <w:t> </w:t>
      </w:r>
      <w:r>
        <w:rPr>
          <w:spacing w:val="-2"/>
        </w:rPr>
        <w:t>提升产品竞争力、改善生产工艺及流程，并且开发出专门应对互联网客户需求的产品及服务。同时，公司</w:t>
      </w:r>
      <w:r>
        <w:rPr>
          <w:spacing w:val="-47"/>
        </w:rPr>
        <w:t> </w:t>
      </w:r>
      <w:r>
        <w:rPr>
          <w:spacing w:val="-47"/>
        </w:rPr>
      </w:r>
      <w:r>
        <w:rPr>
          <w:spacing w:val="-2"/>
        </w:rPr>
        <w:t>本身也在加速转型，积累以位置为核心的多源动态海量数据，学习互联网巨头的最佳实践，进一步扩展行</w:t>
      </w:r>
      <w:r>
        <w:rPr>
          <w:spacing w:val="-44"/>
        </w:rPr>
        <w:t> </w:t>
      </w:r>
      <w:r>
        <w:rPr>
          <w:spacing w:val="-44"/>
        </w:rPr>
      </w:r>
      <w:r>
        <w:rPr/>
        <w:t>业及周边生态，整合跨界资源，推动业务创新奠定基础。</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在服务互联网客户过程中形成的产品升级换代与创新，同时也极大的提升了汽车领域客户的用户体验，</w:t>
      </w:r>
      <w:r>
        <w:rPr>
          <w:w w:val="100"/>
        </w:rPr>
        <w:t> </w:t>
      </w:r>
      <w:r>
        <w:rPr/>
        <w:t>形成了融合发展、持续提升的良性循环。</w:t>
      </w:r>
      <w:r>
        <w:rPr>
          <w:rFonts w:ascii="宋体" w:hAnsi="宋体" w:cs="宋体" w:eastAsia="宋体" w:hint="default"/>
        </w:rPr>
        <w:t> </w:t>
      </w:r>
    </w:p>
    <w:p>
      <w:pPr>
        <w:spacing w:line="240" w:lineRule="auto" w:before="7"/>
        <w:rPr>
          <w:rFonts w:ascii="宋体" w:hAnsi="宋体" w:cs="宋体" w:eastAsia="宋体" w:hint="default"/>
          <w:sz w:val="15"/>
          <w:szCs w:val="15"/>
        </w:rPr>
      </w:pPr>
    </w:p>
    <w:p>
      <w:pPr>
        <w:spacing w:line="408" w:lineRule="auto" w:before="0"/>
        <w:ind w:left="573" w:right="222" w:firstLine="2"/>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、围绕长期稳定的优质客户、合作伙伴构建的行业生态</w:t>
      </w:r>
      <w:r>
        <w:rPr>
          <w:rFonts w:ascii="宋体" w:hAnsi="宋体" w:cs="宋体" w:eastAsia="宋体" w:hint="default"/>
          <w:b/>
          <w:bCs/>
          <w:w w:val="99"/>
          <w:sz w:val="21"/>
          <w:szCs w:val="21"/>
        </w:rPr>
        <w:t> </w:t>
      </w:r>
      <w:r>
        <w:rPr>
          <w:rFonts w:ascii="宋体" w:hAnsi="宋体" w:cs="宋体" w:eastAsia="宋体" w:hint="default"/>
          <w:spacing w:val="-2"/>
          <w:sz w:val="21"/>
          <w:szCs w:val="21"/>
        </w:rPr>
        <w:t>公司基于自身的行业地位及资源优势，围绕智能驾驶及位置大数据平台搭建了业务孵化体系。对自动</w:t>
      </w:r>
    </w:p>
    <w:p>
      <w:pPr>
        <w:pStyle w:val="Heading6"/>
        <w:spacing w:line="408" w:lineRule="auto"/>
        <w:ind w:right="326" w:firstLine="0"/>
        <w:jc w:val="both"/>
      </w:pPr>
      <w:r>
        <w:rPr>
          <w:spacing w:val="-2"/>
        </w:rPr>
        <w:t>驾驶相关的视觉感知、人工智能（深度学习）、大数据分析等具有独特竞争优势和商业潜力的新兴业务进</w:t>
      </w:r>
      <w:r>
        <w:rPr>
          <w:spacing w:val="-44"/>
        </w:rPr>
        <w:t> </w:t>
      </w:r>
      <w:r>
        <w:rPr>
          <w:spacing w:val="-44"/>
        </w:rPr>
      </w:r>
      <w:r>
        <w:rPr>
          <w:spacing w:val="-2"/>
        </w:rPr>
        <w:t>行资源扶持，协助新兴业务参与市场竞争，为公司长远保持竞争优势及盈利能力的提升奠定基础。公司自</w:t>
      </w:r>
      <w:r>
        <w:rPr>
          <w:spacing w:val="-44"/>
        </w:rPr>
        <w:t> </w:t>
      </w:r>
      <w:r>
        <w:rPr>
          <w:spacing w:val="-44"/>
        </w:rPr>
      </w:r>
      <w:r>
        <w:rPr>
          <w:rFonts w:ascii="宋体" w:hAnsi="宋体" w:cs="宋体" w:eastAsia="宋体" w:hint="default"/>
        </w:rPr>
        <w:t>2015 </w:t>
      </w:r>
      <w:r>
        <w:rPr>
          <w:spacing w:val="-4"/>
        </w:rPr>
        <w:t>年以来与滴滴保持深度且紧密的合作关系，双方基于公司在位置信息大数据方面的技术和能力，以及</w:t>
      </w:r>
      <w:r>
        <w:rPr>
          <w:spacing w:val="-65"/>
        </w:rPr>
        <w:t> </w:t>
      </w:r>
      <w:r>
        <w:rPr>
          <w:spacing w:val="-65"/>
        </w:rPr>
      </w:r>
      <w:r>
        <w:rPr>
          <w:spacing w:val="-2"/>
        </w:rPr>
        <w:t>滴滴公司的移动互联网优势，在基于位置信息的移动互联网服务领域进行合作研发和新科技方向探索。公</w:t>
      </w:r>
    </w:p>
    <w:p>
      <w:pPr>
        <w:spacing w:after="0" w:line="408" w:lineRule="auto"/>
        <w:jc w:val="both"/>
        <w:sectPr>
          <w:pgSz w:w="11910" w:h="16840"/>
          <w:pgMar w:header="745" w:footer="979" w:top="1060" w:bottom="1160" w:left="980" w:right="800"/>
        </w:sectPr>
      </w:pPr>
    </w:p>
    <w:p>
      <w:pPr>
        <w:spacing w:line="240" w:lineRule="auto" w:before="0"/>
        <w:rPr>
          <w:rFonts w:ascii="宋体" w:hAnsi="宋体" w:cs="宋体" w:eastAsia="宋体" w:hint="default"/>
          <w:sz w:val="20"/>
          <w:szCs w:val="20"/>
        </w:rPr>
      </w:pPr>
    </w:p>
    <w:p>
      <w:pPr>
        <w:pStyle w:val="Heading6"/>
        <w:spacing w:line="408" w:lineRule="auto" w:before="176"/>
        <w:ind w:right="0" w:firstLine="0"/>
        <w:jc w:val="left"/>
        <w:rPr>
          <w:rFonts w:ascii="宋体" w:hAnsi="宋体" w:cs="宋体" w:eastAsia="宋体" w:hint="default"/>
        </w:rPr>
      </w:pPr>
      <w:r>
        <w:rPr>
          <w:spacing w:val="-2"/>
        </w:rPr>
        <w:t>司与博世汽车等国际领先企业签订基于高精地图的自动驾驶战略合作协议，将基于公司车道级高精度地图</w:t>
      </w:r>
      <w:r>
        <w:rPr>
          <w:spacing w:val="-43"/>
        </w:rPr>
        <w:t> </w:t>
      </w:r>
      <w:r>
        <w:rPr>
          <w:spacing w:val="-43"/>
        </w:rPr>
      </w:r>
      <w:r>
        <w:rPr>
          <w:spacing w:val="-7"/>
        </w:rPr>
        <w:t>数据、定位数据、多源数据融合技术等，面向高精度地图数据的实时更新的实现进行合作开发及联合验证。</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面向未来，公司意识到未来产品和市场的竞争将具备全球化的特点，并且开始积极布局国际业务的拓</w:t>
      </w:r>
      <w:r>
        <w:rPr>
          <w:w w:val="100"/>
        </w:rPr>
        <w:t> </w:t>
      </w:r>
      <w:r>
        <w:rPr>
          <w:spacing w:val="-7"/>
        </w:rPr>
        <w:t>展能力。报告期内，公司在美国硅谷和新加坡设立了子公司，一方面深入跟踪自动驾驶等领域的前沿技术，</w:t>
      </w:r>
      <w:r>
        <w:rPr>
          <w:spacing w:val="-20"/>
        </w:rPr>
        <w:t> </w:t>
      </w:r>
      <w:r>
        <w:rPr>
          <w:spacing w:val="-20"/>
        </w:rPr>
      </w:r>
      <w:r>
        <w:rPr/>
        <w:t>同时也为公司在该领域的业务拓展逐渐建立起广泛的产业联系。公司与国际最大的图商</w:t>
      </w:r>
      <w:r>
        <w:rPr>
          <w:spacing w:val="-56"/>
        </w:rPr>
        <w:t> </w:t>
      </w:r>
      <w:r>
        <w:rPr>
          <w:rFonts w:ascii="宋体" w:hAnsi="宋体" w:cs="宋体" w:eastAsia="宋体" w:hint="default"/>
        </w:rPr>
        <w:t>HERE</w:t>
      </w:r>
      <w:r>
        <w:rPr>
          <w:rFonts w:ascii="宋体" w:hAnsi="宋体" w:cs="宋体" w:eastAsia="宋体" w:hint="default"/>
          <w:spacing w:val="-55"/>
        </w:rPr>
        <w:t> </w:t>
      </w:r>
      <w:r>
        <w:rPr/>
        <w:t>在中国成立</w:t>
      </w:r>
      <w:r>
        <w:rPr>
          <w:w w:val="100"/>
        </w:rPr>
        <w:t> </w:t>
      </w:r>
      <w:r>
        <w:rPr/>
        <w:t>合资公司北京图新瀚和科技有限公司，为使用 </w:t>
      </w:r>
      <w:r>
        <w:rPr>
          <w:rFonts w:ascii="宋体" w:hAnsi="宋体" w:cs="宋体" w:eastAsia="宋体" w:hint="default"/>
        </w:rPr>
        <w:t>HERE</w:t>
      </w:r>
      <w:r>
        <w:rPr>
          <w:rFonts w:ascii="宋体" w:hAnsi="宋体" w:cs="宋体" w:eastAsia="宋体" w:hint="default"/>
          <w:spacing w:val="-62"/>
        </w:rPr>
        <w:t> </w:t>
      </w:r>
      <w:r>
        <w:rPr/>
        <w:t>全球位置服务平台的客户提供包括中国地图数据及动</w:t>
      </w:r>
      <w:r>
        <w:rPr>
          <w:w w:val="100"/>
        </w:rPr>
        <w:t> </w:t>
      </w:r>
      <w:r>
        <w:rPr>
          <w:spacing w:val="-2"/>
        </w:rPr>
        <w:t>态信息在内的内容端和服务端的解决方案。公司在收购芯片业务之后，为了进一步增强车载芯片领域国际</w:t>
      </w:r>
      <w:r>
        <w:rPr>
          <w:spacing w:val="-43"/>
        </w:rPr>
        <w:t> </w:t>
      </w:r>
      <w:r>
        <w:rPr>
          <w:spacing w:val="-43"/>
        </w:rPr>
      </w:r>
      <w:r>
        <w:rPr>
          <w:spacing w:val="-2"/>
        </w:rPr>
        <w:t>市场的竞争力，正在通过公司在欧洲和美国的分支机构加强同业联系，并积极寻求深度合作以及并购的机</w:t>
      </w:r>
      <w:r>
        <w:rPr>
          <w:spacing w:val="-42"/>
        </w:rPr>
        <w:t> </w:t>
      </w:r>
      <w:r>
        <w:rPr>
          <w:spacing w:val="-42"/>
        </w:rPr>
      </w:r>
      <w:r>
        <w:rPr/>
        <w:t>会。</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3"/>
        </w:rPr>
        <w:t>同时，公司积极打造支持自身及行业生态发展的产业投资并购能力</w:t>
      </w:r>
      <w:r>
        <w:rPr>
          <w:rFonts w:ascii="宋体" w:hAnsi="宋体" w:cs="宋体" w:eastAsia="宋体" w:hint="default"/>
          <w:spacing w:val="-3"/>
        </w:rPr>
        <w:t>, </w:t>
      </w:r>
      <w:r>
        <w:rPr>
          <w:rFonts w:ascii="宋体" w:hAnsi="宋体" w:cs="宋体" w:eastAsia="宋体" w:hint="default"/>
        </w:rPr>
        <w:t>2017</w:t>
      </w:r>
      <w:r>
        <w:rPr>
          <w:rFonts w:ascii="宋体" w:hAnsi="宋体" w:cs="宋体" w:eastAsia="宋体" w:hint="default"/>
          <w:spacing w:val="-75"/>
        </w:rPr>
        <w:t> </w:t>
      </w:r>
      <w:r>
        <w:rPr/>
        <w:t>年与北京金盛博基资产管理</w:t>
      </w:r>
      <w:r>
        <w:rPr>
          <w:w w:val="100"/>
        </w:rPr>
        <w:t> </w:t>
      </w:r>
      <w:r>
        <w:rPr/>
        <w:t>有限公司、北汽福田汽车股份有限公司共同成立产业基金公司北京四维互联基金管理中心（有限合伙），</w:t>
      </w:r>
      <w:r>
        <w:rPr>
          <w:spacing w:val="-25"/>
        </w:rPr>
        <w:t> </w:t>
      </w:r>
      <w:r>
        <w:rPr>
          <w:spacing w:val="-25"/>
        </w:rPr>
      </w:r>
      <w:r>
        <w:rPr/>
        <w:t>将重点投资于车联网、自动驾驶等高精尖产业领域。</w:t>
      </w:r>
      <w:r>
        <w:rPr>
          <w:rFonts w:ascii="宋体" w:hAnsi="宋体" w:cs="宋体" w:eastAsia="宋体" w:hint="default"/>
        </w:rPr>
        <w:t> </w:t>
      </w:r>
    </w:p>
    <w:p>
      <w:pPr>
        <w:spacing w:line="240" w:lineRule="auto" w:before="6"/>
        <w:rPr>
          <w:rFonts w:ascii="宋体" w:hAnsi="宋体" w:cs="宋体" w:eastAsia="宋体" w:hint="default"/>
          <w:sz w:val="15"/>
          <w:szCs w:val="15"/>
        </w:rPr>
      </w:pPr>
    </w:p>
    <w:p>
      <w:pPr>
        <w:spacing w:line="408" w:lineRule="auto" w:before="0"/>
        <w:ind w:left="573" w:right="0" w:firstLine="2"/>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、长期耕耘专业领域所形成的行业人才竞争优势</w:t>
      </w:r>
      <w:r>
        <w:rPr>
          <w:rFonts w:ascii="宋体" w:hAnsi="宋体" w:cs="宋体" w:eastAsia="宋体" w:hint="default"/>
          <w:b/>
          <w:bCs/>
          <w:w w:val="99"/>
          <w:sz w:val="21"/>
          <w:szCs w:val="21"/>
        </w:rPr>
        <w:t> </w:t>
      </w:r>
      <w:r>
        <w:rPr>
          <w:rFonts w:ascii="宋体" w:hAnsi="宋体" w:cs="宋体" w:eastAsia="宋体" w:hint="default"/>
          <w:spacing w:val="-2"/>
          <w:sz w:val="21"/>
          <w:szCs w:val="21"/>
        </w:rPr>
        <w:t>公司拥有一支具有十余年导航电子地图、汽车和互联网领域技术研发经验的高学历、高素质、年轻化</w:t>
      </w:r>
    </w:p>
    <w:p>
      <w:pPr>
        <w:pStyle w:val="Heading6"/>
        <w:spacing w:line="408" w:lineRule="auto"/>
        <w:ind w:right="0" w:firstLine="0"/>
        <w:jc w:val="left"/>
        <w:rPr>
          <w:rFonts w:ascii="宋体" w:hAnsi="宋体" w:cs="宋体" w:eastAsia="宋体" w:hint="default"/>
        </w:rPr>
      </w:pPr>
      <w:r>
        <w:rPr>
          <w:spacing w:val="-2"/>
        </w:rPr>
        <w:t>的专业技术团队，核心技术员工在汽车导航电子地图、测绘工程、信息系统集成、深度学习等领域具有丰</w:t>
      </w:r>
      <w:r>
        <w:rPr>
          <w:spacing w:val="-47"/>
        </w:rPr>
        <w:t> </w:t>
      </w:r>
      <w:r>
        <w:rPr>
          <w:spacing w:val="-47"/>
        </w:rPr>
      </w:r>
      <w:r>
        <w:rPr/>
        <w:t>富专业经验，具有雄厚的技术实力。</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公司创立以来，在发展自主知识产权技术的同时，与国际领先图商、车厂、系统商建立了密切的技术</w:t>
      </w:r>
      <w:r>
        <w:rPr>
          <w:w w:val="100"/>
        </w:rPr>
        <w:t> </w:t>
      </w:r>
      <w:r>
        <w:rPr>
          <w:spacing w:val="-2"/>
        </w:rPr>
        <w:t>合作关系，在地图生产和应用方面吸取了大量国外先进的技术经验，掌握了最先进的高端导航电子地图核</w:t>
      </w:r>
      <w:r>
        <w:rPr>
          <w:spacing w:val="-43"/>
        </w:rPr>
        <w:t> </w:t>
      </w:r>
      <w:r>
        <w:rPr>
          <w:spacing w:val="-43"/>
        </w:rPr>
      </w:r>
      <w:r>
        <w:rPr/>
        <w:t>心生产技术和</w:t>
      </w:r>
      <w:r>
        <w:rPr>
          <w:spacing w:val="-17"/>
        </w:rPr>
        <w:t> </w:t>
      </w:r>
      <w:r>
        <w:rPr>
          <w:rFonts w:ascii="宋体" w:hAnsi="宋体" w:cs="宋体" w:eastAsia="宋体" w:hint="default"/>
          <w:spacing w:val="-3"/>
        </w:rPr>
        <w:t>Know-How</w:t>
      </w:r>
      <w:r>
        <w:rPr>
          <w:spacing w:val="-3"/>
        </w:rPr>
        <w:t>，设计出能与国际先进技术和标准接轨的数据和产品规格。公司与多所国内外顶尖</w:t>
      </w:r>
      <w:r>
        <w:rPr>
          <w:spacing w:val="-91"/>
        </w:rPr>
        <w:t> </w:t>
      </w:r>
      <w:r>
        <w:rPr>
          <w:spacing w:val="-91"/>
        </w:rPr>
      </w:r>
      <w:r>
        <w:rPr>
          <w:spacing w:val="-2"/>
        </w:rPr>
        <w:t>高校、科研院所建立了良好的研发合作关系，为公司未来发展奠定了扎实的技术基础。此外，公司还与国</w:t>
      </w:r>
      <w:r>
        <w:rPr>
          <w:spacing w:val="-47"/>
        </w:rPr>
        <w:t> </w:t>
      </w:r>
      <w:r>
        <w:rPr>
          <w:spacing w:val="-47"/>
        </w:rPr>
      </w:r>
      <w:r>
        <w:rPr>
          <w:spacing w:val="-2"/>
        </w:rPr>
        <w:t>内外合作伙伴在海量数据管理、多源数据融合处理、实时交通信息的处理与发布、地图快速增量更新等前</w:t>
      </w:r>
      <w:r>
        <w:rPr>
          <w:spacing w:val="-45"/>
        </w:rPr>
        <w:t> </w:t>
      </w:r>
      <w:r>
        <w:rPr>
          <w:spacing w:val="-45"/>
        </w:rPr>
      </w:r>
      <w:r>
        <w:rPr>
          <w:spacing w:val="-2"/>
        </w:rPr>
        <w:t>瞻性关键技术课题研究方面，开展了很多深层次的技术研究和开发工作，其中多项研究已经取得突破性成</w:t>
      </w:r>
      <w:r>
        <w:rPr>
          <w:spacing w:val="-44"/>
        </w:rPr>
        <w:t> </w:t>
      </w:r>
      <w:r>
        <w:rPr>
          <w:spacing w:val="-44"/>
        </w:rPr>
      </w:r>
      <w:r>
        <w:rPr/>
        <w:t>果，有些已具备了商品化应用的条件。</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公司在连续十多年的高速发展过程中，面对专业人才的引进、培养、使用、激励，搭建了一整套完善</w:t>
      </w:r>
      <w:r>
        <w:rPr>
          <w:w w:val="100"/>
        </w:rPr>
        <w:t> </w:t>
      </w:r>
      <w:r>
        <w:rPr>
          <w:spacing w:val="-2"/>
        </w:rPr>
        <w:t>的管理机制，通过合理有效的任职资格管理体系及培训机制，促进和推动员工的职业技能和能力提升。公</w:t>
      </w:r>
      <w:r>
        <w:rPr>
          <w:spacing w:val="-43"/>
        </w:rPr>
        <w:t> </w:t>
      </w:r>
      <w:r>
        <w:rPr>
          <w:spacing w:val="-43"/>
        </w:rPr>
      </w:r>
      <w:r>
        <w:rPr>
          <w:spacing w:val="-2"/>
        </w:rPr>
        <w:t>司在美国硅谷、荷兰、新加坡设立了子公司，为公司进一步促进掌握全球最前沿科技的专业人才交流与合</w:t>
      </w:r>
      <w:r>
        <w:rPr>
          <w:spacing w:val="-42"/>
        </w:rPr>
        <w:t> </w:t>
      </w:r>
      <w:r>
        <w:rPr>
          <w:spacing w:val="-42"/>
        </w:rPr>
      </w:r>
      <w:r>
        <w:rPr>
          <w:spacing w:val="-2"/>
        </w:rPr>
        <w:t>作、占领人才高地奠定了基础；公司通过内部创业、业务拓展等方式，为专业人才提供更为广阔和有吸引</w:t>
      </w:r>
      <w:r>
        <w:rPr>
          <w:spacing w:val="-47"/>
        </w:rPr>
        <w:t> </w:t>
      </w:r>
      <w:r>
        <w:rPr>
          <w:spacing w:val="-47"/>
        </w:rPr>
      </w:r>
      <w:r>
        <w:rPr/>
        <w:t>力的实践平台和实战契机。</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Heading5"/>
        <w:spacing w:line="240" w:lineRule="auto"/>
        <w:ind w:left="575" w:right="0"/>
        <w:jc w:val="left"/>
        <w:rPr>
          <w:rFonts w:ascii="宋体" w:hAnsi="宋体" w:cs="宋体" w:eastAsia="宋体" w:hint="default"/>
          <w:b w:val="0"/>
          <w:bCs w:val="0"/>
        </w:rPr>
      </w:pPr>
      <w:r>
        <w:rPr>
          <w:rFonts w:ascii="宋体" w:hAnsi="宋体" w:cs="宋体" w:eastAsia="宋体" w:hint="default"/>
        </w:rPr>
        <w:t>4</w:t>
      </w:r>
      <w:r>
        <w:rPr/>
        <w:t>、积极营造面向未来的创新理念和企业文化</w:t>
      </w:r>
      <w:r>
        <w:rPr>
          <w:rFonts w:ascii="宋体" w:hAnsi="宋体" w:cs="宋体" w:eastAsia="宋体" w:hint="default"/>
          <w:w w:val="99"/>
        </w:rPr>
        <w:t> </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b/>
          <w:bCs/>
          <w:sz w:val="20"/>
          <w:szCs w:val="20"/>
        </w:rPr>
      </w:pPr>
    </w:p>
    <w:p>
      <w:pPr>
        <w:pStyle w:val="Heading6"/>
        <w:spacing w:line="408" w:lineRule="auto" w:before="176"/>
        <w:ind w:left="167" w:right="149"/>
        <w:jc w:val="both"/>
        <w:rPr>
          <w:rFonts w:ascii="宋体" w:hAnsi="宋体" w:cs="宋体" w:eastAsia="宋体" w:hint="default"/>
        </w:rPr>
      </w:pPr>
      <w:r>
        <w:rPr>
          <w:spacing w:val="-2"/>
        </w:rPr>
        <w:t>公司聚焦创新（</w:t>
      </w:r>
      <w:r>
        <w:rPr>
          <w:rFonts w:ascii="宋体" w:hAnsi="宋体" w:cs="宋体" w:eastAsia="宋体" w:hint="default"/>
          <w:spacing w:val="-2"/>
        </w:rPr>
        <w:t>Innovation</w:t>
      </w:r>
      <w:r>
        <w:rPr>
          <w:spacing w:val="-2"/>
        </w:rPr>
        <w:t>）和整合（</w:t>
      </w:r>
      <w:r>
        <w:rPr>
          <w:rFonts w:ascii="宋体" w:hAnsi="宋体" w:cs="宋体" w:eastAsia="宋体" w:hint="default"/>
          <w:spacing w:val="-2"/>
        </w:rPr>
        <w:t>Integration</w:t>
      </w:r>
      <w:r>
        <w:rPr>
          <w:spacing w:val="-2"/>
        </w:rPr>
        <w:t>）能力建立组织的核心竞争力，其中“创新”包</w:t>
      </w:r>
      <w:r>
        <w:rPr>
          <w:w w:val="100"/>
        </w:rPr>
        <w:t> </w:t>
      </w:r>
      <w:r>
        <w:rPr>
          <w:spacing w:val="-3"/>
        </w:rPr>
        <w:t>括服务创新、盈利模式创新、技术创新和体制机制创新；“整合”包括产品研发能力整合、业务整合和资</w:t>
      </w:r>
      <w:r>
        <w:rPr>
          <w:spacing w:val="-15"/>
        </w:rPr>
        <w:t> </w:t>
      </w:r>
      <w:r>
        <w:rPr>
          <w:spacing w:val="-15"/>
        </w:rPr>
      </w:r>
      <w:r>
        <w:rPr/>
        <w:t>源整合。</w:t>
      </w:r>
      <w:r>
        <w:rPr>
          <w:rFonts w:ascii="宋体" w:hAnsi="宋体" w:cs="宋体" w:eastAsia="宋体" w:hint="default"/>
        </w:rPr>
        <w:t> </w:t>
      </w:r>
    </w:p>
    <w:p>
      <w:pPr>
        <w:pStyle w:val="Heading6"/>
        <w:spacing w:line="408" w:lineRule="auto"/>
        <w:ind w:left="167" w:right="146"/>
        <w:jc w:val="both"/>
        <w:rPr>
          <w:rFonts w:ascii="宋体" w:hAnsi="宋体" w:cs="宋体" w:eastAsia="宋体" w:hint="default"/>
        </w:rPr>
      </w:pPr>
      <w:r>
        <w:rPr>
          <w:spacing w:val="-3"/>
        </w:rPr>
        <w:t>公司以“热情、责任、创新、正直”的企业文化价值观为指引，完善面向未来有竞争力的组织架构和</w:t>
      </w:r>
      <w:r>
        <w:rPr>
          <w:w w:val="100"/>
        </w:rPr>
        <w:t> </w:t>
      </w:r>
      <w:r>
        <w:rPr>
          <w:spacing w:val="-7"/>
        </w:rPr>
        <w:t>人才体系，积极打造和谐进取的员工关系。面对日益严峻的科技和管理人才竞争形势，公司通过股权激励、</w:t>
      </w:r>
      <w:r>
        <w:rPr>
          <w:spacing w:val="-32"/>
        </w:rPr>
        <w:t> </w:t>
      </w:r>
      <w:r>
        <w:rPr>
          <w:spacing w:val="-32"/>
        </w:rPr>
      </w:r>
      <w:r>
        <w:rPr/>
        <w:t>薪酬改革等多种手段，做好人才的选育用留工作。</w:t>
      </w:r>
      <w:r>
        <w:rPr>
          <w:rFonts w:ascii="宋体" w:hAnsi="宋体" w:cs="宋体" w:eastAsia="宋体" w:hint="default"/>
        </w:rPr>
        <w:t> </w:t>
      </w:r>
    </w:p>
    <w:p>
      <w:pPr>
        <w:pStyle w:val="Heading6"/>
        <w:spacing w:line="408" w:lineRule="auto"/>
        <w:ind w:left="167" w:right="146"/>
        <w:jc w:val="both"/>
        <w:rPr>
          <w:rFonts w:ascii="宋体" w:hAnsi="宋体" w:cs="宋体" w:eastAsia="宋体" w:hint="default"/>
        </w:rPr>
      </w:pPr>
      <w:r>
        <w:rPr>
          <w:spacing w:val="-3"/>
        </w:rPr>
        <w:t>公司积极转变总部职能，强化支持服务理念，通过优化工作环境、丰富多彩的员工活动和贴心细致的</w:t>
      </w:r>
      <w:r>
        <w:rPr>
          <w:w w:val="100"/>
        </w:rPr>
        <w:t> </w:t>
      </w:r>
      <w:r>
        <w:rPr>
          <w:spacing w:val="-3"/>
        </w:rPr>
        <w:t>后勤保障服务，大幅提升员工满意度及归属感。报告期内，公司自建的现代化办公大楼正式投入使用，独</w:t>
      </w:r>
      <w:r>
        <w:rPr>
          <w:spacing w:val="-12"/>
        </w:rPr>
        <w:t> </w:t>
      </w:r>
      <w:r>
        <w:rPr>
          <w:spacing w:val="-12"/>
        </w:rPr>
      </w:r>
      <w:r>
        <w:rPr/>
        <w:t>树一帜的设计理念以及先进的配套服务设施，为员工营造了良好的工作空间，获得公司员工一致好评。</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0"/>
        <w:jc w:val="left"/>
        <w:rPr>
          <w:b w:val="0"/>
          <w:bCs w:val="0"/>
        </w:rPr>
      </w:pPr>
      <w:bookmarkStart w:name="_bookmark3" w:id="4"/>
      <w:bookmarkEnd w:id="4"/>
      <w:r>
        <w:rPr>
          <w:b w:val="0"/>
          <w:bCs w:val="0"/>
        </w:rPr>
      </w:r>
      <w:r>
        <w:rPr/>
        <w:t>第四节</w:t>
      </w:r>
      <w:r>
        <w:rPr>
          <w:spacing w:val="-6"/>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3"/>
        <w:spacing w:line="240" w:lineRule="auto" w:before="26"/>
        <w:ind w:right="0"/>
        <w:jc w:val="left"/>
        <w:rPr>
          <w:b w:val="0"/>
          <w:bCs w:val="0"/>
        </w:rPr>
      </w:pPr>
      <w:r>
        <w:rPr/>
        <w:t>一、</w:t>
      </w:r>
      <w:r>
        <w:rPr>
          <w:spacing w:val="-91"/>
        </w:rPr>
        <w:t> </w:t>
      </w:r>
      <w:r>
        <w:rPr>
          <w:rFonts w:ascii="宋体" w:hAnsi="宋体" w:cs="宋体" w:eastAsia="宋体" w:hint="default"/>
          <w:spacing w:val="-91"/>
        </w:rPr>
      </w:r>
      <w:r>
        <w:rPr/>
        <w:t>概述</w:t>
      </w:r>
      <w:r>
        <w:rPr>
          <w:b w:val="0"/>
          <w:bCs w:val="0"/>
        </w:rPr>
      </w:r>
    </w:p>
    <w:p>
      <w:pPr>
        <w:spacing w:line="240" w:lineRule="auto" w:before="8"/>
        <w:rPr>
          <w:rFonts w:ascii="宋体" w:hAnsi="宋体" w:cs="宋体" w:eastAsia="宋体" w:hint="default"/>
          <w:b/>
          <w:bCs/>
          <w:sz w:val="30"/>
          <w:szCs w:val="30"/>
        </w:rPr>
      </w:pPr>
    </w:p>
    <w:p>
      <w:pPr>
        <w:pStyle w:val="Heading6"/>
        <w:spacing w:line="400" w:lineRule="auto" w:before="0"/>
        <w:ind w:right="0"/>
        <w:jc w:val="left"/>
        <w:rPr>
          <w:rFonts w:ascii="宋体" w:hAnsi="宋体" w:cs="宋体" w:eastAsia="宋体" w:hint="default"/>
        </w:rPr>
      </w:pPr>
      <w:r>
        <w:rPr>
          <w:spacing w:val="-2"/>
        </w:rPr>
        <w:t>面对日益激烈的市场竞争，以及自动驾驶、人工智能等新一代信息技术浪潮带来的“智能化”“网联</w:t>
      </w:r>
      <w:r>
        <w:rPr>
          <w:w w:val="100"/>
        </w:rPr>
        <w:t> </w:t>
      </w:r>
      <w:r>
        <w:rPr>
          <w:spacing w:val="-3"/>
        </w:rPr>
        <w:t>化”“电动化”产业发展契机，公司积极推进“智能汽车大脑”战略。一方面，公司基于多年积累的良好</w:t>
      </w:r>
      <w:r>
        <w:rPr>
          <w:spacing w:val="-5"/>
        </w:rPr>
        <w:t> </w:t>
      </w:r>
      <w:r>
        <w:rPr>
          <w:spacing w:val="-5"/>
        </w:rPr>
      </w:r>
      <w:r>
        <w:rPr>
          <w:spacing w:val="-2"/>
        </w:rPr>
        <w:t>的客户关系，人才及行业生态优势，以及不断提升的生产及服务能力，不断巩固导航业务在市场及行业的</w:t>
      </w:r>
      <w:r>
        <w:rPr>
          <w:spacing w:val="-43"/>
        </w:rPr>
        <w:t> </w:t>
      </w:r>
      <w:r>
        <w:rPr>
          <w:spacing w:val="-43"/>
        </w:rPr>
      </w:r>
      <w:r>
        <w:rPr/>
        <w:t>领先地位。另一方面，公司继续优化主营业务结构，加大投入力度，通过实施业务创新与投资并购</w:t>
      </w:r>
      <w:r>
        <w:rPr>
          <w:rFonts w:ascii="Times New Roman" w:hAnsi="Times New Roman" w:cs="Times New Roman" w:eastAsia="Times New Roman" w:hint="default"/>
        </w:rPr>
        <w:t>“</w:t>
      </w:r>
      <w:r>
        <w:rPr/>
        <w:t>双擎</w:t>
      </w:r>
      <w:r>
        <w:rPr>
          <w:spacing w:val="-3"/>
          <w:w w:val="100"/>
        </w:rPr>
        <w:t> </w:t>
      </w:r>
      <w:r>
        <w:rPr/>
        <w:t>驱动</w:t>
      </w:r>
      <w:r>
        <w:rPr>
          <w:rFonts w:ascii="Times New Roman" w:hAnsi="Times New Roman" w:cs="Times New Roman" w:eastAsia="Times New Roman" w:hint="default"/>
        </w:rPr>
        <w:t>”</w:t>
      </w:r>
      <w:r>
        <w:rPr/>
        <w:t>发展策略，积极打造自身面向未来的核心竞争力，在培育新业务、拓展新方向、促进资源新配置等</w:t>
      </w:r>
      <w:r>
        <w:rPr>
          <w:w w:val="100"/>
        </w:rPr>
        <w:t> </w:t>
      </w:r>
      <w:r>
        <w:rPr/>
        <w:t>方面取得积极进展。</w:t>
      </w:r>
      <w:r>
        <w:rPr>
          <w:rFonts w:ascii="宋体" w:hAnsi="宋体" w:cs="宋体" w:eastAsia="宋体" w:hint="default"/>
        </w:rPr>
        <w:t> </w:t>
      </w:r>
    </w:p>
    <w:p>
      <w:pPr>
        <w:pStyle w:val="Heading6"/>
        <w:spacing w:line="408" w:lineRule="auto" w:before="52"/>
        <w:ind w:right="148"/>
        <w:jc w:val="both"/>
        <w:rPr>
          <w:rFonts w:ascii="宋体" w:hAnsi="宋体" w:cs="宋体" w:eastAsia="宋体" w:hint="default"/>
        </w:rPr>
      </w:pPr>
      <w:r>
        <w:rPr/>
        <w:t>报告期内，公司主营业务结构进一步优化，实现营业收入</w:t>
      </w:r>
      <w:r>
        <w:rPr>
          <w:spacing w:val="-55"/>
        </w:rPr>
        <w:t> </w:t>
      </w:r>
      <w:r>
        <w:rPr>
          <w:rFonts w:ascii="宋体" w:hAnsi="宋体" w:cs="宋体" w:eastAsia="宋体" w:hint="default"/>
        </w:rPr>
        <w:t>215,648.78</w:t>
      </w:r>
      <w:r>
        <w:rPr>
          <w:rFonts w:ascii="宋体" w:hAnsi="宋体" w:cs="宋体" w:eastAsia="宋体" w:hint="default"/>
          <w:spacing w:val="-57"/>
        </w:rPr>
        <w:t> </w:t>
      </w:r>
      <w:r>
        <w:rPr/>
        <w:t>万元，同比增长</w:t>
      </w:r>
      <w:r>
        <w:rPr>
          <w:spacing w:val="-54"/>
        </w:rPr>
        <w:t> </w:t>
      </w:r>
      <w:r>
        <w:rPr>
          <w:rFonts w:ascii="宋体" w:hAnsi="宋体" w:cs="宋体" w:eastAsia="宋体" w:hint="default"/>
        </w:rPr>
        <w:t>36.03%</w:t>
      </w:r>
      <w:r>
        <w:rPr/>
        <w:t>；营业</w:t>
      </w:r>
      <w:r>
        <w:rPr>
          <w:w w:val="100"/>
        </w:rPr>
        <w:t> 利润</w:t>
      </w:r>
      <w:r>
        <w:rPr>
          <w:spacing w:val="-71"/>
          <w:w w:val="100"/>
        </w:rPr>
        <w:t> </w:t>
      </w:r>
      <w:r>
        <w:rPr>
          <w:rFonts w:ascii="宋体" w:hAnsi="宋体" w:cs="宋体" w:eastAsia="宋体" w:hint="default"/>
          <w:spacing w:val="-1"/>
          <w:w w:val="100"/>
        </w:rPr>
        <w:t>26,889.33</w:t>
      </w:r>
      <w:r>
        <w:rPr>
          <w:rFonts w:ascii="宋体" w:hAnsi="宋体" w:cs="宋体" w:eastAsia="宋体" w:hint="default"/>
          <w:spacing w:val="-75"/>
          <w:w w:val="100"/>
        </w:rPr>
        <w:t> </w:t>
      </w:r>
      <w:r>
        <w:rPr>
          <w:spacing w:val="-16"/>
          <w:w w:val="100"/>
        </w:rPr>
        <w:t>万元，同比增长</w:t>
      </w:r>
      <w:r>
        <w:rPr>
          <w:spacing w:val="-71"/>
          <w:w w:val="100"/>
        </w:rPr>
        <w:t> </w:t>
      </w:r>
      <w:r>
        <w:rPr>
          <w:rFonts w:ascii="宋体" w:hAnsi="宋体" w:cs="宋体" w:eastAsia="宋体" w:hint="default"/>
          <w:spacing w:val="-7"/>
          <w:w w:val="100"/>
        </w:rPr>
        <w:t>216.44%</w:t>
      </w:r>
      <w:r>
        <w:rPr>
          <w:spacing w:val="-7"/>
          <w:w w:val="100"/>
        </w:rPr>
        <w:t>；归属于母公司所有者的净利润</w:t>
      </w:r>
      <w:r>
        <w:rPr>
          <w:spacing w:val="-71"/>
          <w:w w:val="100"/>
        </w:rPr>
        <w:t> </w:t>
      </w:r>
      <w:r>
        <w:rPr>
          <w:rFonts w:ascii="宋体" w:hAnsi="宋体" w:cs="宋体" w:eastAsia="宋体" w:hint="default"/>
          <w:spacing w:val="-1"/>
          <w:w w:val="100"/>
        </w:rPr>
        <w:t>26,519.96</w:t>
      </w:r>
      <w:r>
        <w:rPr>
          <w:rFonts w:ascii="宋体" w:hAnsi="宋体" w:cs="宋体" w:eastAsia="宋体" w:hint="default"/>
          <w:spacing w:val="-72"/>
          <w:w w:val="100"/>
        </w:rPr>
        <w:t> </w:t>
      </w:r>
      <w:r>
        <w:rPr>
          <w:spacing w:val="-17"/>
          <w:w w:val="100"/>
        </w:rPr>
        <w:t>万元，同比增长</w:t>
      </w:r>
      <w:r>
        <w:rPr>
          <w:spacing w:val="-71"/>
          <w:w w:val="100"/>
        </w:rPr>
        <w:t> </w:t>
      </w:r>
      <w:r>
        <w:rPr>
          <w:rFonts w:ascii="宋体" w:hAnsi="宋体" w:cs="宋体" w:eastAsia="宋体" w:hint="default"/>
          <w:spacing w:val="-1"/>
          <w:w w:val="100"/>
        </w:rPr>
        <w:t>69.38%</w:t>
      </w:r>
      <w:r>
        <w:rPr>
          <w:spacing w:val="-1"/>
          <w:w w:val="100"/>
        </w:rPr>
        <w:t>；</w:t>
      </w:r>
      <w:r>
        <w:rPr>
          <w:spacing w:val="-103"/>
          <w:w w:val="100"/>
        </w:rPr>
        <w:t> </w:t>
      </w:r>
      <w:r>
        <w:rPr/>
        <w:t>同时，公司通过收购杰发科技，实现了向车载芯片领域的业务布局。</w:t>
      </w:r>
      <w:r>
        <w:rPr>
          <w:rFonts w:ascii="宋体" w:hAnsi="宋体" w:cs="宋体" w:eastAsia="宋体" w:hint="default"/>
        </w:rPr>
        <w:t> </w:t>
      </w:r>
    </w:p>
    <w:p>
      <w:pPr>
        <w:spacing w:line="240" w:lineRule="auto" w:before="8"/>
        <w:rPr>
          <w:rFonts w:ascii="宋体" w:hAnsi="宋体" w:cs="宋体" w:eastAsia="宋体" w:hint="default"/>
          <w:sz w:val="18"/>
          <w:szCs w:val="18"/>
        </w:rPr>
      </w:pPr>
    </w:p>
    <w:p>
      <w:pPr>
        <w:pStyle w:val="Heading3"/>
        <w:spacing w:line="240" w:lineRule="auto"/>
        <w:ind w:right="0"/>
        <w:jc w:val="left"/>
        <w:rPr>
          <w:b w:val="0"/>
          <w:bCs w:val="0"/>
        </w:rPr>
      </w:pPr>
      <w:r>
        <w:rPr/>
        <w:t>二、主营业务分析</w:t>
      </w:r>
      <w:r>
        <w:rPr>
          <w:b w:val="0"/>
          <w:bCs w:val="0"/>
        </w:rPr>
      </w:r>
    </w:p>
    <w:p>
      <w:pPr>
        <w:spacing w:line="240" w:lineRule="auto" w:before="12"/>
        <w:rPr>
          <w:rFonts w:ascii="宋体" w:hAnsi="宋体" w:cs="宋体" w:eastAsia="宋体" w:hint="default"/>
          <w:b/>
          <w:bCs/>
          <w:sz w:val="24"/>
          <w:szCs w:val="24"/>
        </w:rPr>
      </w:pPr>
    </w:p>
    <w:p>
      <w:pPr>
        <w:spacing w:line="544" w:lineRule="auto" w:before="0"/>
        <w:ind w:left="152" w:right="54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w w:val="100"/>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5"/>
        <w:spacing w:line="240" w:lineRule="auto" w:before="28"/>
        <w:ind w:right="0"/>
        <w:jc w:val="left"/>
        <w:rPr>
          <w:b w:val="0"/>
          <w:bCs w:val="0"/>
        </w:rPr>
      </w:pPr>
      <w:r>
        <w:rPr/>
        <w:t>（</w:t>
      </w:r>
      <w:r>
        <w:rPr>
          <w:rFonts w:ascii="Times New Roman" w:hAnsi="Times New Roman" w:cs="Times New Roman" w:eastAsia="Times New Roman" w:hint="default"/>
        </w:rPr>
        <w:t>1</w:t>
      </w:r>
      <w:r>
        <w:rPr/>
        <w:t>）营业收入构成</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2,156,487,774.85</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1,585,306,335.51</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36.03%</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941,033,011.27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43.64%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815,213,674.53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15.43%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474,535,968.32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22.01%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526,336,965.93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33.20%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-9.84%</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517,313,846.94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23.99%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20"/>
              <w:jc w:val="left"/>
              <w:rPr>
                <w:rFonts w:ascii="宋体" w:hAnsi="宋体" w:cs="宋体" w:eastAsia="宋体" w:hint="default"/>
                <w:sz w:val="18"/>
                <w:szCs w:val="18"/>
              </w:rPr>
            </w:pPr>
            <w:r>
              <w:rPr>
                <w:rFonts w:ascii="宋体" w:hAnsi="宋体" w:cs="宋体" w:eastAsia="宋体" w:hint="default"/>
                <w:sz w:val="18"/>
                <w:szCs w:val="18"/>
              </w:rPr>
              <w:t>高级辅助驾驶及自 动驾驶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42,636,361.03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22,479,920.00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89.66%</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企服及行业应用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177,330,693.56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220,704,154.71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-19.65%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3,637,893.73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0.17%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571,620.34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536.42%</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941,033,011.27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43.64%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815,213,674.53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15.43%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474,535,968.32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22.01%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526,336,965.93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33.20%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-9.84%</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517,313,846.94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23.99%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20"/>
              <w:jc w:val="left"/>
              <w:rPr>
                <w:rFonts w:ascii="宋体" w:hAnsi="宋体" w:cs="宋体" w:eastAsia="宋体" w:hint="default"/>
                <w:sz w:val="18"/>
                <w:szCs w:val="18"/>
              </w:rPr>
            </w:pPr>
            <w:r>
              <w:rPr>
                <w:rFonts w:ascii="宋体" w:hAnsi="宋体" w:cs="宋体" w:eastAsia="宋体" w:hint="default"/>
                <w:sz w:val="18"/>
                <w:szCs w:val="18"/>
              </w:rPr>
              <w:t>高级辅助驾驶及自 动驾驶</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42,636,361.03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22,479,920.00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89.66%</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企服及行业应用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177,330,693.56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220,704,154.71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13.92%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-19.65%</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3,637,893.73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0.17%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571,620.34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536.42%</w:t>
            </w:r>
          </w:p>
        </w:tc>
      </w:tr>
      <w:tr>
        <w:trPr>
          <w:trHeight w:val="401"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全部地区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2,156,487,774.85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1,585,306,335.51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36.03%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）占公司营业收入或营业利润</w:t>
      </w:r>
      <w:r>
        <w:rPr>
          <w:spacing w:val="-53"/>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12"/>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980"/>
        </w:sectPr>
      </w:pPr>
    </w:p>
    <w:p>
      <w:pPr>
        <w:pStyle w:val="BodyText"/>
        <w:spacing w:line="348"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right="0"/>
        <w:jc w:val="left"/>
      </w:pPr>
      <w:r>
        <w:rPr/>
        <w:t>单位：元</w:t>
      </w:r>
    </w:p>
    <w:p>
      <w:pPr>
        <w:spacing w:after="0" w:line="240" w:lineRule="auto"/>
        <w:jc w:val="left"/>
        <w:sectPr>
          <w:type w:val="continuous"/>
          <w:pgSz w:w="11910" w:h="16840"/>
          <w:pgMar w:top="1060" w:bottom="1160" w:left="980" w:right="980"/>
          <w:cols w:num="2" w:equalWidth="0">
            <w:col w:w="3213" w:space="5707"/>
            <w:col w:w="1030"/>
          </w:cols>
        </w:sectPr>
      </w:pP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6"/>
        <w:gridCol w:w="1368"/>
        <w:gridCol w:w="1366"/>
        <w:gridCol w:w="1369"/>
        <w:gridCol w:w="1370"/>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19" w:right="47"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19" w:right="50"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941,033,011.27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42,655,426.77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95.47%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15.43%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-32.29%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3.20%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474,535,968.32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222,982,359.77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53.01%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-13.19%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1.81%</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517,313,846.94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222,131,458.05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57.06%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企服及行业应用</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177,330,693.56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41,989,154.76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76.32%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-19.65%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-10.14%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-2.51%</w:t>
            </w:r>
          </w:p>
        </w:tc>
      </w:tr>
      <w:tr>
        <w:trPr>
          <w:trHeight w:val="402"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941,033,011.27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42,655,426.77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95.47%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15.43%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-32.29%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474,535,968.32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222,982,359.77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53.01%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-9.84%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-13.19%</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1.81%</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517,313,846.94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222,131,458.05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57.06%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企服及行业应用</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177,330,693.56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41,989,154.76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76.32%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-19.65%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-10.14%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-2.51%</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全部地区</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2,110,213,520.09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529,758,399.35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74.90%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36.03%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44.51%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-1.97%</w:t>
            </w:r>
          </w:p>
        </w:tc>
      </w:tr>
    </w:tbl>
    <w:p>
      <w:pPr>
        <w:pStyle w:val="BodyText"/>
        <w:spacing w:line="240" w:lineRule="auto" w:before="8"/>
        <w:ind w:right="0"/>
        <w:jc w:val="left"/>
      </w:pPr>
      <w:r>
        <w:rPr/>
        <w:t>相关数据同比发生变动</w:t>
      </w:r>
      <w:r>
        <w:rPr>
          <w:rFonts w:ascii="Times New Roman" w:hAnsi="Times New Roman" w:cs="Times New Roman" w:eastAsia="Times New Roman" w:hint="default"/>
        </w:rPr>
        <w:t>30%</w:t>
      </w:r>
      <w:r>
        <w:rPr/>
        <w:t>以上的原因说明</w:t>
      </w:r>
    </w:p>
    <w:p>
      <w:pPr>
        <w:pStyle w:val="BodyText"/>
        <w:spacing w:line="240" w:lineRule="auto" w:before="103"/>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right="0"/>
        <w:jc w:val="left"/>
      </w:pPr>
      <w:r>
        <w:rPr>
          <w:rFonts w:ascii="Times New Roman" w:hAnsi="Times New Roman" w:cs="Times New Roman" w:eastAsia="Times New Roman" w:hint="default"/>
        </w:rPr>
        <w:t>1</w:t>
      </w:r>
      <w:r>
        <w:rPr/>
        <w:t>）导航产品成本同比大幅减少，主要系地图编译成本减少所致。</w:t>
      </w:r>
    </w:p>
    <w:p>
      <w:pPr>
        <w:pStyle w:val="BodyText"/>
        <w:spacing w:line="240" w:lineRule="auto" w:before="62"/>
        <w:ind w:right="0"/>
        <w:jc w:val="left"/>
      </w:pPr>
      <w:r>
        <w:rPr>
          <w:rFonts w:ascii="Times New Roman" w:hAnsi="Times New Roman" w:cs="Times New Roman" w:eastAsia="Times New Roman" w:hint="default"/>
        </w:rPr>
        <w:t>2</w:t>
      </w:r>
      <w:r>
        <w:rPr/>
        <w:t>）芯片产品收入成本同比大幅增长，主要系本期公司完成杰发科技收购，将其纳入合并报表范围所致。</w:t>
      </w:r>
    </w:p>
    <w:p>
      <w:pPr>
        <w:spacing w:after="0" w:line="240" w:lineRule="auto"/>
        <w:jc w:val="left"/>
        <w:sectPr>
          <w:type w:val="continuous"/>
          <w:pgSz w:w="11910" w:h="16840"/>
          <w:pgMar w:top="1060" w:bottom="1160" w:left="980" w:right="98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t>公司主营业务数据统计口径在报告期发生调整的情况下，公司最近</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年按报告期末口径调整后的主营业务数据</w:t>
      </w:r>
    </w:p>
    <w:p>
      <w:pPr>
        <w:pStyle w:val="BodyText"/>
        <w:spacing w:line="240" w:lineRule="auto" w:before="10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t>（</w:t>
      </w:r>
      <w:r>
        <w:rPr>
          <w:rFonts w:ascii="Times New Roman" w:hAnsi="Times New Roman" w:cs="Times New Roman" w:eastAsia="Times New Roman" w:hint="default"/>
        </w:rPr>
        <w:t>5</w:t>
      </w:r>
      <w:r>
        <w:rPr/>
        <w:t>）营业成本构成</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right="0"/>
        <w:jc w:val="left"/>
      </w:pPr>
      <w:r>
        <w:rPr/>
        <w:t>行业分类</w:t>
      </w:r>
    </w:p>
    <w:p>
      <w:pPr>
        <w:pStyle w:val="BodyText"/>
        <w:spacing w:line="240" w:lineRule="auto" w:before="117"/>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401"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3"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46"/>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导航</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33,201,708.47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77.84%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54,306,482.36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86.14%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-38.86%</w:t>
            </w:r>
          </w:p>
        </w:tc>
      </w:tr>
      <w:tr>
        <w:trPr>
          <w:trHeight w:val="403"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9,453,718.30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22.16%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7,630,921.27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12.10%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23.89%</w:t>
            </w:r>
          </w:p>
        </w:tc>
      </w:tr>
      <w:tr>
        <w:trPr>
          <w:trHeight w:val="401"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1,109,271.92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42,655,426.77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63,046,675.55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-32.34%</w:t>
            </w:r>
          </w:p>
        </w:tc>
      </w:tr>
      <w:tr>
        <w:trPr>
          <w:trHeight w:val="401"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6"/>
              <w:ind w:left="24" w:right="0"/>
              <w:jc w:val="left"/>
              <w:rPr>
                <w:rFonts w:ascii="宋体" w:hAnsi="宋体" w:cs="宋体" w:eastAsia="宋体" w:hint="default"/>
                <w:sz w:val="18"/>
                <w:szCs w:val="18"/>
              </w:rPr>
            </w:pPr>
            <w:r>
              <w:rPr>
                <w:rFonts w:ascii="宋体" w:hAnsi="宋体" w:cs="宋体" w:eastAsia="宋体" w:hint="default"/>
                <w:sz w:val="18"/>
                <w:szCs w:val="18"/>
              </w:rPr>
              <w:t>车联网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128,530,903.20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57.64%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116,593,489.34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45.39%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10.24%</w:t>
            </w:r>
          </w:p>
        </w:tc>
      </w:tr>
      <w:tr>
        <w:trPr>
          <w:trHeight w:val="403"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61,767,142.45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27.70%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109,302,646.52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42.55%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-43.49%</w:t>
            </w:r>
          </w:p>
        </w:tc>
      </w:tr>
      <w:tr>
        <w:trPr>
          <w:trHeight w:val="401"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人工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24,973,898.56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24,961,747.22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0.05%</w:t>
            </w:r>
          </w:p>
        </w:tc>
      </w:tr>
      <w:tr>
        <w:trPr>
          <w:trHeight w:val="403"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折旧</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7,710,415.56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6,006,545.40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28.37%</w:t>
            </w:r>
          </w:p>
        </w:tc>
      </w:tr>
      <w:tr>
        <w:trPr>
          <w:trHeight w:val="401" w:hRule="exact"/>
        </w:trPr>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222,982,359.77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256,864,428.48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-13.19%</w:t>
            </w:r>
          </w:p>
        </w:tc>
      </w:tr>
      <w:tr>
        <w:trPr>
          <w:trHeight w:val="403"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芯片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222,131,458.05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222,131,458.05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13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24" w:right="0"/>
              <w:jc w:val="left"/>
              <w:rPr>
                <w:rFonts w:ascii="宋体" w:hAnsi="宋体" w:cs="宋体" w:eastAsia="宋体" w:hint="default"/>
                <w:sz w:val="18"/>
                <w:szCs w:val="18"/>
              </w:rPr>
            </w:pPr>
            <w:r>
              <w:rPr>
                <w:rFonts w:ascii="宋体" w:hAnsi="宋体" w:cs="宋体" w:eastAsia="宋体" w:hint="default"/>
                <w:sz w:val="18"/>
                <w:szCs w:val="18"/>
              </w:rPr>
              <w:t>企服及行业应用</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数据加工成本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24,750,512.31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58.95%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32,546,118.76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69.72%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-23.95%</w:t>
            </w:r>
          </w:p>
        </w:tc>
      </w:tr>
      <w:tr>
        <w:trPr>
          <w:trHeight w:val="401"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物料成本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6,702,144.32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15.96%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6,815,983.67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14.60%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-1.67%</w:t>
            </w:r>
          </w:p>
        </w:tc>
      </w:tr>
      <w:tr>
        <w:trPr>
          <w:trHeight w:val="403"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人工</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9,130,032.75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21.74%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5,468,581.88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11.71%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66.95%</w:t>
            </w:r>
          </w:p>
        </w:tc>
      </w:tr>
      <w:tr>
        <w:trPr>
          <w:trHeight w:val="401" w:hRule="exact"/>
        </w:trPr>
        <w:tc>
          <w:tcPr>
            <w:tcW w:w="1368" w:type="dxa"/>
            <w:vMerge/>
            <w:tcBorders>
              <w:left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1,406,465.38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1,853,574.88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-24.12%</w:t>
            </w:r>
          </w:p>
        </w:tc>
      </w:tr>
      <w:tr>
        <w:trPr>
          <w:trHeight w:val="403" w:hRule="exact"/>
        </w:trPr>
        <w:tc>
          <w:tcPr>
            <w:tcW w:w="1368" w:type="dxa"/>
            <w:vMerge/>
            <w:tcBorders>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41,989,154.76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46,684,259.19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-10.06%</w:t>
            </w:r>
          </w:p>
        </w:tc>
      </w:tr>
    </w:tbl>
    <w:p>
      <w:pPr>
        <w:pStyle w:val="BodyText"/>
        <w:spacing w:line="240" w:lineRule="auto" w:before="8"/>
        <w:ind w:right="0"/>
        <w:jc w:val="left"/>
      </w:pPr>
      <w:r>
        <w:rPr/>
        <w:t>相关数据同比发生变动</w:t>
      </w:r>
      <w:r>
        <w:rPr>
          <w:rFonts w:ascii="Times New Roman" w:hAnsi="Times New Roman" w:cs="Times New Roman" w:eastAsia="Times New Roman" w:hint="default"/>
        </w:rPr>
        <w:t>30%</w:t>
      </w:r>
      <w:r>
        <w:rPr/>
        <w:t>以上的原因说明</w:t>
      </w:r>
    </w:p>
    <w:p>
      <w:pPr>
        <w:pStyle w:val="BodyText"/>
        <w:spacing w:line="240" w:lineRule="auto" w:before="103"/>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right="0"/>
        <w:jc w:val="left"/>
      </w:pPr>
      <w:r>
        <w:rPr>
          <w:rFonts w:ascii="Times New Roman" w:hAnsi="Times New Roman" w:cs="Times New Roman" w:eastAsia="Times New Roman" w:hint="default"/>
        </w:rPr>
        <w:t>1</w:t>
      </w:r>
      <w:r>
        <w:rPr/>
        <w:t>）导航产品成本同比大幅减少，主要系地图编译成本减少所致。</w:t>
      </w:r>
    </w:p>
    <w:p>
      <w:pPr>
        <w:pStyle w:val="BodyText"/>
        <w:spacing w:line="240" w:lineRule="auto" w:before="63"/>
        <w:ind w:right="0"/>
        <w:jc w:val="left"/>
      </w:pPr>
      <w:r>
        <w:rPr>
          <w:rFonts w:ascii="Times New Roman" w:hAnsi="Times New Roman" w:cs="Times New Roman" w:eastAsia="Times New Roman" w:hint="default"/>
        </w:rPr>
        <w:t>2</w:t>
      </w:r>
      <w:r>
        <w:rPr/>
        <w:t>）芯片产品成本同比大幅增长，主要系本期公司完成杰发科技收购，将其纳入合并报表范围所致。</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5"/>
        <w:rPr>
          <w:rFonts w:ascii="宋体" w:hAnsi="宋体" w:cs="宋体" w:eastAsia="宋体" w:hint="default"/>
          <w:b/>
          <w:bCs/>
          <w:sz w:val="26"/>
          <w:szCs w:val="26"/>
        </w:rPr>
      </w:pPr>
    </w:p>
    <w:p>
      <w:pPr>
        <w:pStyle w:val="BodyText"/>
        <w:spacing w:line="352" w:lineRule="auto"/>
        <w:ind w:right="581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本期因投资设立增加四维图新新加坡有限公司。 本期因收购增加合肥杰发科技有限公司。 本期因股权处置减少北京图新数聚科技有限公司。</w:t>
      </w:r>
    </w:p>
    <w:p>
      <w:pPr>
        <w:spacing w:line="240" w:lineRule="auto" w:before="7"/>
        <w:rPr>
          <w:rFonts w:ascii="宋体" w:hAnsi="宋体" w:cs="宋体" w:eastAsia="宋体" w:hint="default"/>
          <w:sz w:val="20"/>
          <w:szCs w:val="20"/>
        </w:rPr>
      </w:pPr>
    </w:p>
    <w:p>
      <w:pPr>
        <w:pStyle w:val="Heading5"/>
        <w:spacing w:line="240" w:lineRule="auto"/>
        <w:ind w:right="0"/>
        <w:jc w:val="left"/>
        <w:rPr>
          <w:b w:val="0"/>
          <w:bCs w:val="0"/>
        </w:rPr>
      </w:pP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6"/>
          <w:szCs w:val="26"/>
        </w:rPr>
      </w:pPr>
    </w:p>
    <w:p>
      <w:pPr>
        <w:pStyle w:val="Heading5"/>
        <w:spacing w:line="240" w:lineRule="auto"/>
        <w:ind w:right="0"/>
        <w:jc w:val="left"/>
        <w:rPr>
          <w:b w:val="0"/>
          <w:bCs w:val="0"/>
        </w:rPr>
      </w:pP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公司主要销售客户情况</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118,310,219.27</w:t>
            </w:r>
          </w:p>
        </w:tc>
      </w:tr>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33.16%</w:t>
            </w:r>
          </w:p>
        </w:tc>
      </w:tr>
      <w:tr>
        <w:trPr>
          <w:trHeight w:val="715"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 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5.49%</w:t>
            </w:r>
          </w:p>
        </w:tc>
      </w:tr>
    </w:tbl>
    <w:p>
      <w:pPr>
        <w:pStyle w:val="BodyText"/>
        <w:spacing w:line="240" w:lineRule="auto" w:before="49"/>
        <w:ind w:right="0"/>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802"/>
        <w:gridCol w:w="3303"/>
        <w:gridCol w:w="2321"/>
        <w:gridCol w:w="3145"/>
      </w:tblGrid>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6"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249,562,380.12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11.57%</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186,493,643.44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8.65%</w:t>
            </w:r>
          </w:p>
        </w:tc>
      </w:tr>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118,310,219.27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5.49%</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80,768,080.34</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3.74%</w:t>
            </w:r>
          </w:p>
        </w:tc>
      </w:tr>
      <w:tr>
        <w:trPr>
          <w:trHeight w:val="401"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79,934,737.09</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3.71%</w:t>
            </w:r>
          </w:p>
        </w:tc>
      </w:tr>
      <w:tr>
        <w:trPr>
          <w:trHeight w:val="403"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715,069,060.26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33.16%</w:t>
            </w:r>
          </w:p>
        </w:tc>
      </w:tr>
    </w:tbl>
    <w:p>
      <w:pPr>
        <w:pStyle w:val="BodyText"/>
        <w:spacing w:line="240" w:lineRule="auto" w:before="49"/>
        <w:ind w:right="0"/>
        <w:jc w:val="left"/>
      </w:pPr>
      <w:r>
        <w:rPr/>
        <w:t>主要客户其他情况说明</w:t>
      </w:r>
    </w:p>
    <w:p>
      <w:pPr>
        <w:pStyle w:val="BodyText"/>
        <w:spacing w:line="340" w:lineRule="auto" w:before="115"/>
        <w:ind w:right="81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公司主要供应商情况</w:t>
      </w:r>
    </w:p>
    <w:p>
      <w:pPr>
        <w:spacing w:line="240" w:lineRule="auto" w:before="7"/>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257"/>
        <w:gridCol w:w="5312"/>
      </w:tblGrid>
      <w:tr>
        <w:trPr>
          <w:trHeight w:val="401"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108,577,894.60</w:t>
            </w:r>
          </w:p>
        </w:tc>
      </w:tr>
      <w:tr>
        <w:trPr>
          <w:trHeight w:val="40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19.95%</w:t>
            </w:r>
          </w:p>
        </w:tc>
      </w:tr>
      <w:tr>
        <w:trPr>
          <w:trHeight w:val="713" w:hRule="exact"/>
        </w:trPr>
        <w:tc>
          <w:tcPr>
            <w:tcW w:w="4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 比例</w:t>
            </w:r>
          </w:p>
        </w:tc>
        <w:tc>
          <w:tcPr>
            <w:tcW w:w="5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0"/>
        <w:jc w:val="left"/>
      </w:pPr>
      <w:r>
        <w:rPr/>
        <w:t>公司前</w:t>
      </w:r>
      <w:r>
        <w:rPr>
          <w:spacing w:val="-44"/>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936"/>
        <w:gridCol w:w="3169"/>
        <w:gridCol w:w="2321"/>
        <w:gridCol w:w="3145"/>
      </w:tblGrid>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3"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38,147,927.16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7.01%</w:t>
            </w:r>
          </w:p>
        </w:tc>
      </w:tr>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25,704,090.00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4.72%</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19,146,052.68</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936"/>
        <w:gridCol w:w="3169"/>
        <w:gridCol w:w="2321"/>
        <w:gridCol w:w="3145"/>
      </w:tblGrid>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4</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13,040,719.10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2.40%</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5</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12,539,105.66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2.30%</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108,577,894.60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19.95%</w:t>
            </w:r>
          </w:p>
        </w:tc>
      </w:tr>
    </w:tbl>
    <w:p>
      <w:pPr>
        <w:pStyle w:val="BodyText"/>
        <w:spacing w:line="240" w:lineRule="auto" w:before="49"/>
        <w:ind w:right="0"/>
        <w:jc w:val="left"/>
      </w:pPr>
      <w:r>
        <w:rPr/>
        <w:t>主要供应商其他情况说明</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3</w:t>
      </w:r>
      <w:r>
        <w:rPr/>
        <w:t>、费用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6"/>
        <w:gridCol w:w="1637"/>
        <w:gridCol w:w="1637"/>
        <w:gridCol w:w="1462"/>
        <w:gridCol w:w="2919"/>
      </w:tblGrid>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5"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146,123,416.19</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112,528,660.60</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29.85%</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1,314,248,738.41</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1,017,768,494.27</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29.13%</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-58,836,896.72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-26,764,909.73</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-119.83%</w:t>
            </w:r>
            <w:r>
              <w:rPr>
                <w:rFonts w:ascii="Times New Roman"/>
                <w:spacing w:val="-1"/>
                <w:sz w:val="18"/>
              </w:rPr>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利息收入增加</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4</w:t>
      </w:r>
      <w:r>
        <w:rPr/>
        <w:t>、研发投入</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83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公司研发投入情况</w:t>
      </w:r>
    </w:p>
    <w:p>
      <w:pPr>
        <w:spacing w:line="240" w:lineRule="auto" w:before="5"/>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2,691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2,269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18.60%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56.51%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53.13%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3.38%</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913,419,572.75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726,064,416.11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25.80%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42.36%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45.80%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-3.44%</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205,487,581.41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219,063,530.55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-6.20%</w:t>
            </w:r>
          </w:p>
        </w:tc>
      </w:tr>
      <w:tr>
        <w:trPr>
          <w:trHeight w:val="715"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资本化研发投入占研发投入 的比例</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22.50%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30.17%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-7.67%</w:t>
            </w:r>
          </w:p>
        </w:tc>
      </w:tr>
    </w:tbl>
    <w:p>
      <w:pPr>
        <w:spacing w:line="240" w:lineRule="auto" w:before="3"/>
        <w:rPr>
          <w:rFonts w:ascii="宋体" w:hAnsi="宋体" w:cs="宋体" w:eastAsia="宋体" w:hint="default"/>
          <w:sz w:val="5"/>
          <w:szCs w:val="5"/>
        </w:rPr>
      </w:pPr>
    </w:p>
    <w:p>
      <w:pPr>
        <w:pStyle w:val="Heading6"/>
        <w:spacing w:line="408" w:lineRule="auto" w:before="36"/>
        <w:ind w:right="146"/>
        <w:jc w:val="both"/>
        <w:rPr>
          <w:rFonts w:ascii="宋体" w:hAnsi="宋体" w:cs="宋体" w:eastAsia="宋体" w:hint="default"/>
        </w:rPr>
      </w:pPr>
      <w:r>
        <w:rPr>
          <w:spacing w:val="-2"/>
        </w:rPr>
        <w:t>报告期内，公司导航业务的核心能力和用户体验持续提升，获得国际高端车厂和行业客户的认可，新</w:t>
      </w:r>
      <w:r>
        <w:rPr>
          <w:w w:val="100"/>
        </w:rPr>
        <w:t> </w:t>
      </w:r>
      <w:r>
        <w:rPr>
          <w:spacing w:val="-2"/>
        </w:rPr>
        <w:t>产品开发及落地按计划推进；车联网服务平台完善成熟的产品系列、技术体系和服务体系，可以同步支撑</w:t>
      </w:r>
      <w:r>
        <w:rPr>
          <w:spacing w:val="-44"/>
        </w:rPr>
        <w:t> </w:t>
      </w:r>
      <w:r>
        <w:rPr>
          <w:spacing w:val="-44"/>
        </w:rPr>
      </w:r>
      <w:r>
        <w:rPr>
          <w:spacing w:val="-2"/>
        </w:rPr>
        <w:t>乘用车和商用车车联网服务，正在加强面向自动驾驶应用场景、基于大数据的车联网服务以及车联网智能</w:t>
      </w:r>
      <w:r>
        <w:rPr>
          <w:spacing w:val="-44"/>
        </w:rPr>
        <w:t> </w:t>
      </w:r>
      <w:r>
        <w:rPr>
          <w:spacing w:val="-44"/>
        </w:rPr>
      </w:r>
      <w:r>
        <w:rPr>
          <w:spacing w:val="-2"/>
        </w:rPr>
        <w:t>出行领域的技术攻关和产品开发；面对主动安全、智能网联、自动驾驶等芯片应用领域巨大的市场发展空</w:t>
      </w:r>
      <w:r>
        <w:rPr>
          <w:spacing w:val="-43"/>
        </w:rPr>
        <w:t> </w:t>
      </w:r>
      <w:r>
        <w:rPr>
          <w:spacing w:val="-43"/>
        </w:rPr>
      </w:r>
      <w:r>
        <w:rPr>
          <w:spacing w:val="-3"/>
        </w:rPr>
        <w:t>间，公司在加速</w:t>
      </w:r>
      <w:r>
        <w:rPr>
          <w:spacing w:val="-56"/>
        </w:rPr>
        <w:t> </w:t>
      </w:r>
      <w:r>
        <w:rPr>
          <w:rFonts w:ascii="宋体" w:hAnsi="宋体" w:cs="宋体" w:eastAsia="宋体" w:hint="default"/>
        </w:rPr>
        <w:t>IVI</w:t>
      </w:r>
      <w:r>
        <w:rPr>
          <w:rFonts w:ascii="宋体" w:hAnsi="宋体" w:cs="宋体" w:eastAsia="宋体" w:hint="default"/>
          <w:spacing w:val="-58"/>
        </w:rPr>
        <w:t> </w:t>
      </w:r>
      <w:r>
        <w:rPr/>
        <w:t>车载信息娱乐系统芯片产品迭代升级的基础上，加大新产品开发及验证力度。高精度</w:t>
      </w:r>
      <w:r>
        <w:rPr>
          <w:w w:val="100"/>
        </w:rPr>
        <w:t> </w:t>
      </w:r>
      <w:r>
        <w:rPr>
          <w:spacing w:val="-2"/>
        </w:rPr>
        <w:t>数据采集制作的核心技术全面达到国际领先水平，并具备了行业领先的高精度数据生产能力和规模生产能</w:t>
      </w:r>
      <w:r>
        <w:rPr>
          <w:spacing w:val="-42"/>
        </w:rPr>
        <w:t> </w:t>
      </w:r>
      <w:r>
        <w:rPr>
          <w:spacing w:val="-42"/>
        </w:rPr>
      </w:r>
      <w:r>
        <w:rPr>
          <w:spacing w:val="-4"/>
        </w:rPr>
        <w:t>力。基于</w:t>
      </w:r>
      <w:r>
        <w:rPr>
          <w:spacing w:val="-59"/>
        </w:rPr>
        <w:t> </w:t>
      </w:r>
      <w:r>
        <w:rPr>
          <w:rFonts w:ascii="宋体" w:hAnsi="宋体" w:cs="宋体" w:eastAsia="宋体" w:hint="default"/>
        </w:rPr>
        <w:t>RTK</w:t>
      </w:r>
      <w:r>
        <w:rPr>
          <w:rFonts w:ascii="宋体" w:hAnsi="宋体" w:cs="宋体" w:eastAsia="宋体" w:hint="default"/>
          <w:spacing w:val="-60"/>
        </w:rPr>
        <w:t> </w:t>
      </w:r>
      <w:r>
        <w:rPr/>
        <w:t>的高精定位组网和高精度定位接收终端已经完成技术验证和检测，达到或高于市场同类产品</w:t>
      </w:r>
      <w:r>
        <w:rPr>
          <w:w w:val="100"/>
        </w:rPr>
        <w:t> </w:t>
      </w:r>
      <w:r>
        <w:rPr/>
        <w:t>水准，初步具备量产化能力。</w:t>
      </w:r>
      <w:r>
        <w:rPr>
          <w:rFonts w:ascii="宋体" w:hAnsi="宋体" w:cs="宋体" w:eastAsia="宋体" w:hint="default"/>
        </w:rPr>
        <w:t> </w:t>
      </w:r>
    </w:p>
    <w:p>
      <w:pPr>
        <w:pStyle w:val="Heading6"/>
        <w:spacing w:line="240" w:lineRule="auto" w:before="84"/>
        <w:ind w:left="573" w:right="0" w:firstLine="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t>研发投入总额占营业收入的比重较上年发生显著变化的原因</w:t>
      </w:r>
    </w:p>
    <w:p>
      <w:pPr>
        <w:pStyle w:val="BodyText"/>
        <w:spacing w:line="338" w:lineRule="auto" w:before="117"/>
        <w:ind w:right="58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研发投入资本化率大幅变动的原因及其合理性说明</w:t>
      </w:r>
    </w:p>
    <w:p>
      <w:pPr>
        <w:pStyle w:val="BodyText"/>
        <w:spacing w:line="240" w:lineRule="auto" w:before="43"/>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5</w:t>
      </w:r>
      <w:r>
        <w:rPr/>
        <w:t>、现金流</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2,205,663,723.79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1,710,883,695.47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28.92%</w:t>
            </w:r>
          </w:p>
        </w:tc>
      </w:tr>
      <w:tr>
        <w:trPr>
          <w:trHeight w:val="404"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1,815,349,650.21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1,312,266,560.85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38.34%</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390,314,073.58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398,617,134.62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-2.08%</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1,055,040,354.88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565,770,525.40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86.48%</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4,331,957,039.24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894,831,001.52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384.11%</w:t>
            </w:r>
          </w:p>
        </w:tc>
      </w:tr>
      <w:tr>
        <w:trPr>
          <w:trHeight w:val="715"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-3,276,916,684.36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-329,060,476.12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-895.84%</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4,031,377,683.53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109,688,995.19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3,575.28%</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821,078,936.96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99,629,295.07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724.13%</w:t>
            </w:r>
          </w:p>
        </w:tc>
      </w:tr>
      <w:tr>
        <w:trPr>
          <w:trHeight w:val="71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19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3,210,298,746.57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10,059,700.12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31,812.47%</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326,011,205.50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82,845,137.52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293.52%</w:t>
            </w:r>
          </w:p>
        </w:tc>
      </w:tr>
    </w:tbl>
    <w:p>
      <w:pPr>
        <w:pStyle w:val="BodyText"/>
        <w:spacing w:line="240" w:lineRule="auto" w:before="49"/>
        <w:ind w:right="0"/>
        <w:jc w:val="left"/>
      </w:pPr>
      <w:r>
        <w:rPr/>
        <w:t>相关数据同比发生重大变动的主要影响因素说明</w:t>
      </w:r>
    </w:p>
    <w:p>
      <w:pPr>
        <w:pStyle w:val="BodyText"/>
        <w:spacing w:line="321" w:lineRule="auto" w:before="115"/>
        <w:ind w:right="20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经营活动现金流出小计同比增加，主要影响因素是本期购买商品、接受劳务支付的现金增加所致； 投资活动现金流入小计同比增加，主要影响因素是本期收回银行理财产品投资增加； 投资活动现金流出小计同比增加，主要影响因素是本期收购杰发科技支付投资款所致； 投资活动产生的现金流量净额同比下降，主要影响因素是本期收购杰发科技支付投资款所致； 筹资活动现金流入小计同比增加，主要影响因素是本期收到定向增发股票款所致； 筹资活动现金流出小计同比增加，主要影响因素是本期子公司支付回购股份款所致； 筹资活动产生的现金流量净额同比增加，主要影响因素是本期收到定向增发股票款所致； 现金及现金等价物净增加额同比增加，主要影响因素是本期收到定向增发股票款所致。</w:t>
      </w:r>
    </w:p>
    <w:p>
      <w:pPr>
        <w:spacing w:line="240" w:lineRule="auto" w:before="0"/>
        <w:rPr>
          <w:rFonts w:ascii="宋体" w:hAnsi="宋体" w:cs="宋体" w:eastAsia="宋体" w:hint="default"/>
          <w:sz w:val="18"/>
          <w:szCs w:val="18"/>
        </w:rPr>
      </w:pPr>
    </w:p>
    <w:p>
      <w:pPr>
        <w:pStyle w:val="BodyText"/>
        <w:spacing w:line="240" w:lineRule="auto" w:before="132"/>
        <w:ind w:right="0"/>
        <w:jc w:val="left"/>
      </w:pPr>
      <w:r>
        <w:rPr/>
        <w:t>报告期内公司经营活动产生的现金净流量与本年度净利润存在重大差异的原因说明</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3"/>
        <w:spacing w:line="240" w:lineRule="auto"/>
        <w:ind w:right="0"/>
        <w:jc w:val="left"/>
        <w:rPr>
          <w:b w:val="0"/>
          <w:bCs w:val="0"/>
        </w:rPr>
      </w:pPr>
      <w:r>
        <w:rPr/>
        <w:t>三、非主营业务分析</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51"/>
        <w:jc w:val="right"/>
      </w:pPr>
      <w:r>
        <w:rPr/>
        <w:t>单位：元</w:t>
      </w:r>
    </w:p>
    <w:p>
      <w:pPr>
        <w:spacing w:after="0" w:line="240" w:lineRule="auto"/>
        <w:jc w:val="right"/>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24"/>
        <w:gridCol w:w="1916"/>
        <w:gridCol w:w="1622"/>
        <w:gridCol w:w="2254"/>
        <w:gridCol w:w="2254"/>
      </w:tblGrid>
      <w:tr>
        <w:trPr>
          <w:trHeight w:val="401"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81"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2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3"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1027"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24,089,363.22</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8.94%</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58"/>
              <w:jc w:val="both"/>
              <w:rPr>
                <w:rFonts w:ascii="宋体" w:hAnsi="宋体" w:cs="宋体" w:eastAsia="宋体" w:hint="default"/>
                <w:sz w:val="18"/>
                <w:szCs w:val="18"/>
              </w:rPr>
            </w:pPr>
            <w:r>
              <w:rPr>
                <w:rFonts w:ascii="宋体" w:hAnsi="宋体" w:cs="宋体" w:eastAsia="宋体" w:hint="default"/>
                <w:sz w:val="18"/>
                <w:szCs w:val="18"/>
              </w:rPr>
              <w:t>主要为银行理财收益和处置 可供出售金融资产取得的投 资收益</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具有持续性</w:t>
            </w:r>
          </w:p>
        </w:tc>
      </w:tr>
      <w:tr>
        <w:trPr>
          <w:trHeight w:val="713"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55,583,146.71</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20.63%</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主要为计提的坏账损失和商 誉减值损失</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不具有持续性</w:t>
            </w:r>
          </w:p>
        </w:tc>
      </w:tr>
      <w:tr>
        <w:trPr>
          <w:trHeight w:val="715"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3,599,190.67</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1.34%</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58"/>
              <w:jc w:val="left"/>
              <w:rPr>
                <w:rFonts w:ascii="宋体" w:hAnsi="宋体" w:cs="宋体" w:eastAsia="宋体" w:hint="default"/>
                <w:sz w:val="18"/>
                <w:szCs w:val="18"/>
              </w:rPr>
            </w:pPr>
            <w:r>
              <w:rPr>
                <w:rFonts w:ascii="宋体" w:hAnsi="宋体" w:cs="宋体" w:eastAsia="宋体" w:hint="default"/>
                <w:sz w:val="18"/>
                <w:szCs w:val="18"/>
              </w:rPr>
              <w:t>主要为与日常活动不相关的 政府补助收入</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具有持续性</w:t>
            </w:r>
          </w:p>
        </w:tc>
      </w:tr>
      <w:tr>
        <w:trPr>
          <w:trHeight w:val="713" w:hRule="exact"/>
        </w:trPr>
        <w:tc>
          <w:tcPr>
            <w:tcW w:w="15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3,048,277.14</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1.13%</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58"/>
              <w:jc w:val="left"/>
              <w:rPr>
                <w:rFonts w:ascii="宋体" w:hAnsi="宋体" w:cs="宋体" w:eastAsia="宋体" w:hint="default"/>
                <w:sz w:val="18"/>
                <w:szCs w:val="18"/>
              </w:rPr>
            </w:pPr>
            <w:r>
              <w:rPr>
                <w:rFonts w:ascii="宋体" w:hAnsi="宋体" w:cs="宋体" w:eastAsia="宋体" w:hint="default"/>
                <w:sz w:val="18"/>
                <w:szCs w:val="18"/>
              </w:rPr>
              <w:t>主要为非流动资产处置损失 和滞纳金支出</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不具有持续性</w:t>
            </w:r>
          </w:p>
        </w:tc>
      </w:tr>
      <w:tr>
        <w:trPr>
          <w:trHeight w:val="1028" w:hRule="exact"/>
        </w:trPr>
        <w:tc>
          <w:tcPr>
            <w:tcW w:w="15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98,895,048.08</w:t>
            </w:r>
          </w:p>
        </w:tc>
        <w:tc>
          <w:tcPr>
            <w:tcW w:w="1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36.70%</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4" w:right="58"/>
              <w:jc w:val="both"/>
              <w:rPr>
                <w:rFonts w:ascii="宋体" w:hAnsi="宋体" w:cs="宋体" w:eastAsia="宋体" w:hint="default"/>
                <w:sz w:val="18"/>
                <w:szCs w:val="18"/>
              </w:rPr>
            </w:pPr>
            <w:r>
              <w:rPr>
                <w:rFonts w:ascii="宋体" w:hAnsi="宋体" w:cs="宋体" w:eastAsia="宋体" w:hint="default"/>
                <w:sz w:val="18"/>
                <w:szCs w:val="18"/>
              </w:rPr>
              <w:t>主要为软件产品增值税即征 即退收入和与日常活动相关 的政府补助收入</w:t>
            </w:r>
          </w:p>
        </w:tc>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具有持续性</w:t>
            </w:r>
          </w:p>
        </w:tc>
      </w:tr>
    </w:tbl>
    <w:p>
      <w:pPr>
        <w:spacing w:line="240" w:lineRule="auto" w:before="1"/>
        <w:rPr>
          <w:rFonts w:ascii="宋体" w:hAnsi="宋体" w:cs="宋体" w:eastAsia="宋体" w:hint="default"/>
          <w:sz w:val="18"/>
          <w:szCs w:val="18"/>
        </w:rPr>
      </w:pPr>
    </w:p>
    <w:p>
      <w:pPr>
        <w:pStyle w:val="Heading3"/>
        <w:spacing w:line="240" w:lineRule="auto" w:before="26"/>
        <w:ind w:right="0"/>
        <w:jc w:val="left"/>
        <w:rPr>
          <w:b w:val="0"/>
          <w:bCs w:val="0"/>
        </w:rPr>
      </w:pPr>
      <w:r>
        <w:rPr/>
        <w:t>四、资产及负债状况分析</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、资产构成重大变动情况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164"/>
        <w:gridCol w:w="1064"/>
        <w:gridCol w:w="1195"/>
        <w:gridCol w:w="1064"/>
        <w:gridCol w:w="950"/>
        <w:gridCol w:w="2765"/>
      </w:tblGrid>
      <w:tr>
        <w:trPr>
          <w:trHeight w:val="382" w:hRule="exact"/>
        </w:trPr>
        <w:tc>
          <w:tcPr>
            <w:tcW w:w="1368" w:type="dxa"/>
            <w:vMerge w:val="restart"/>
            <w:tcBorders>
              <w:top w:val="single" w:sz="4" w:space="0" w:color="000000"/>
              <w:left w:val="single" w:sz="4" w:space="0" w:color="000000"/>
              <w:right w:val="single" w:sz="4" w:space="0" w:color="000000"/>
            </w:tcBorders>
            <w:shd w:val="clear" w:color="auto" w:fill="D2D2D2"/>
          </w:tcPr>
          <w:p>
            <w:pPr/>
          </w:p>
        </w:tc>
        <w:tc>
          <w:tcPr>
            <w:tcW w:w="22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年末</w:t>
            </w:r>
          </w:p>
        </w:tc>
        <w:tc>
          <w:tcPr>
            <w:tcW w:w="9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76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72" w:hRule="exact"/>
        </w:trPr>
        <w:tc>
          <w:tcPr>
            <w:tcW w:w="1368" w:type="dxa"/>
            <w:vMerge/>
            <w:tcBorders>
              <w:left w:val="single" w:sz="4" w:space="0" w:color="000000"/>
              <w:right w:val="single" w:sz="4" w:space="0" w:color="000000"/>
            </w:tcBorders>
            <w:shd w:val="clear" w:color="auto" w:fill="D2D2D2"/>
          </w:tcPr>
          <w:p>
            <w:pPr/>
          </w:p>
        </w:tc>
        <w:tc>
          <w:tcPr>
            <w:tcW w:w="11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0"/>
              <w:ind w:left="437" w:right="75" w:hanging="361"/>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0"/>
              <w:ind w:left="436" w:right="75"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950" w:type="dxa"/>
            <w:vMerge/>
            <w:tcBorders>
              <w:left w:val="single" w:sz="4" w:space="0" w:color="000000"/>
              <w:right w:val="single" w:sz="4" w:space="0" w:color="000000"/>
            </w:tcBorders>
            <w:shd w:val="clear" w:color="auto" w:fill="D2D2D2"/>
          </w:tcPr>
          <w:p>
            <w:pPr/>
          </w:p>
        </w:tc>
        <w:tc>
          <w:tcPr>
            <w:tcW w:w="276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9"/>
              <w:ind w:left="837"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36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164" w:type="dxa"/>
            <w:vMerge/>
            <w:tcBorders>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064" w:type="dxa"/>
            <w:vMerge/>
            <w:tcBorders>
              <w:left w:val="single" w:sz="4" w:space="0" w:color="000000"/>
              <w:bottom w:val="single" w:sz="4" w:space="0" w:color="000000"/>
              <w:right w:val="single" w:sz="4" w:space="0" w:color="000000"/>
            </w:tcBorders>
            <w:shd w:val="clear" w:color="auto" w:fill="D2D2D2"/>
          </w:tcPr>
          <w:p>
            <w:pPr/>
          </w:p>
        </w:tc>
        <w:tc>
          <w:tcPr>
            <w:tcW w:w="950" w:type="dxa"/>
            <w:vMerge/>
            <w:tcBorders>
              <w:left w:val="single" w:sz="4" w:space="0" w:color="000000"/>
              <w:bottom w:val="single" w:sz="4" w:space="0" w:color="000000"/>
              <w:right w:val="single" w:sz="4" w:space="0" w:color="000000"/>
            </w:tcBorders>
            <w:shd w:val="clear" w:color="auto" w:fill="D2D2D2"/>
          </w:tcPr>
          <w:p>
            <w:pPr/>
          </w:p>
        </w:tc>
        <w:tc>
          <w:tcPr>
            <w:tcW w:w="276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3,443,447,257.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35.14%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1,724,246,122.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41.83%</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主要原因是本期收到定向增发股票 款所致；</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626,954,316.4</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6.40%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411,107,244.03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9.97%</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-3.57%</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主要原因是本期合并杰发科技的影 响及应收销售款增加所致；</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79,888,388.01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0.82%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57,905,786.88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-0.58%</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主要原因是本期合并杰发科技致库 存商品和在产品增加所致；</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z w:val="18"/>
              </w:rPr>
              <w:t>0.00%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82,766,100.44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0.84%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41,400,418.46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-0.16%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9"/>
              <w:jc w:val="both"/>
              <w:rPr>
                <w:rFonts w:ascii="宋体" w:hAnsi="宋体" w:cs="宋体" w:eastAsia="宋体" w:hint="default"/>
                <w:sz w:val="18"/>
                <w:szCs w:val="18"/>
              </w:rPr>
            </w:pPr>
            <w:r>
              <w:rPr>
                <w:rFonts w:ascii="宋体" w:hAnsi="宋体" w:cs="宋体" w:eastAsia="宋体" w:hint="default"/>
                <w:sz w:val="18"/>
                <w:szCs w:val="18"/>
              </w:rPr>
              <w:t>主要原因是本期新增投资北京四维 互联基金管理中心（有限合伙）和 北京图新瀚和科技有限公司等公司 所致；</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647,443,991.8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6.61%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139,273,919.82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3.38%</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主要原因是本期中关村永丰基地办 公楼建设完成转入固定资产所致；</w:t>
            </w:r>
          </w:p>
        </w:tc>
      </w:tr>
      <w:tr>
        <w:trPr>
          <w:trHeight w:val="102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626,635,185.76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15.20%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-15.20%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both"/>
              <w:rPr>
                <w:rFonts w:ascii="宋体" w:hAnsi="宋体" w:cs="宋体" w:eastAsia="宋体" w:hint="default"/>
                <w:sz w:val="18"/>
                <w:szCs w:val="18"/>
              </w:rPr>
            </w:pPr>
            <w:r>
              <w:rPr>
                <w:rFonts w:ascii="宋体" w:hAnsi="宋体" w:cs="宋体" w:eastAsia="宋体" w:hint="default"/>
                <w:sz w:val="18"/>
                <w:szCs w:val="18"/>
              </w:rPr>
              <w:t>主要原因是本期中关村永丰基地办 公楼建设完成转入固定资产和无形 资产所致；</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21,920,400.00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0.53%</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-0.53%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主要原因是本期子公司偿还银行借 款所致；</w:t>
            </w:r>
          </w:p>
        </w:tc>
      </w:tr>
    </w:tbl>
    <w:p>
      <w:pPr>
        <w:spacing w:after="0" w:line="314"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67"/>
        <w:gridCol w:w="1164"/>
        <w:gridCol w:w="1064"/>
        <w:gridCol w:w="1195"/>
        <w:gridCol w:w="1064"/>
        <w:gridCol w:w="950"/>
        <w:gridCol w:w="2765"/>
      </w:tblGrid>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101,274,757.5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54,726,880.85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1.33%</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主要原因是本期银行承兑汇票增加 所致；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35,500,706.76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7,340,196.63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0.18%</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0.18%</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主要原因是本期定期存款利息增加 所致；</w:t>
            </w:r>
          </w:p>
        </w:tc>
      </w:tr>
      <w:tr>
        <w:trPr>
          <w:trHeight w:val="1027"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23,924,933.06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0.24%</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9"/>
              <w:jc w:val="both"/>
              <w:rPr>
                <w:rFonts w:ascii="宋体" w:hAnsi="宋体" w:cs="宋体" w:eastAsia="宋体" w:hint="default"/>
                <w:sz w:val="18"/>
                <w:szCs w:val="18"/>
              </w:rPr>
            </w:pPr>
            <w:r>
              <w:rPr>
                <w:rFonts w:ascii="宋体" w:hAnsi="宋体" w:cs="宋体" w:eastAsia="宋体" w:hint="default"/>
                <w:sz w:val="18"/>
                <w:szCs w:val="18"/>
              </w:rPr>
              <w:t>主要原因是本期联营公司上海安吉 四维信息技术有限公司宣告分红所 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0.05%</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-0.05%</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主要原因是子公司转让一项股权投 资所致；</w:t>
            </w:r>
          </w:p>
        </w:tc>
      </w:tr>
      <w:tr>
        <w:trPr>
          <w:trHeight w:val="1028"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4" w:lineRule="auto"/>
              <w:ind w:left="22" w:right="72"/>
              <w:jc w:val="left"/>
              <w:rPr>
                <w:rFonts w:ascii="宋体" w:hAnsi="宋体" w:cs="宋体" w:eastAsia="宋体" w:hint="default"/>
                <w:sz w:val="18"/>
                <w:szCs w:val="18"/>
              </w:rPr>
            </w:pPr>
            <w:r>
              <w:rPr>
                <w:rFonts w:ascii="宋体" w:hAnsi="宋体" w:cs="宋体" w:eastAsia="宋体" w:hint="default"/>
                <w:sz w:val="18"/>
                <w:szCs w:val="18"/>
              </w:rPr>
              <w:t>一年内到期的非 流动资产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3,453,582.34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0.08%</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-0.08%</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29"/>
              <w:jc w:val="both"/>
              <w:rPr>
                <w:rFonts w:ascii="宋体" w:hAnsi="宋体" w:cs="宋体" w:eastAsia="宋体" w:hint="default"/>
                <w:sz w:val="18"/>
                <w:szCs w:val="18"/>
              </w:rPr>
            </w:pPr>
            <w:r>
              <w:rPr>
                <w:rFonts w:ascii="宋体" w:hAnsi="宋体" w:cs="宋体" w:eastAsia="宋体" w:hint="default"/>
                <w:sz w:val="18"/>
                <w:szCs w:val="18"/>
              </w:rPr>
              <w:t>主要原因是根据准则要求，一年内 到期的长期待摊费用不再重分类列 示所致；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137,556,506.2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15,802,455.69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0.38%</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主要原因是本期合并杰发科技致银 行理财产品增加所致；</w:t>
            </w:r>
          </w:p>
        </w:tc>
      </w:tr>
      <w:tr>
        <w:trPr>
          <w:trHeight w:val="1027"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18"/>
              <w:jc w:val="left"/>
              <w:rPr>
                <w:rFonts w:ascii="宋体" w:hAnsi="宋体" w:cs="宋体" w:eastAsia="宋体" w:hint="default"/>
                <w:sz w:val="18"/>
                <w:szCs w:val="18"/>
              </w:rPr>
            </w:pPr>
            <w:r>
              <w:rPr>
                <w:rFonts w:ascii="宋体" w:hAnsi="宋体" w:cs="宋体" w:eastAsia="宋体" w:hint="default"/>
                <w:spacing w:val="7"/>
                <w:sz w:val="18"/>
                <w:szCs w:val="18"/>
              </w:rPr>
              <w:t>可供出售金融资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产</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224,685,199.6</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141,375,897.26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3.43%</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-1.14%</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1"/>
              <w:jc w:val="left"/>
              <w:rPr>
                <w:rFonts w:ascii="宋体" w:hAnsi="宋体" w:cs="宋体" w:eastAsia="宋体" w:hint="default"/>
                <w:sz w:val="18"/>
                <w:szCs w:val="18"/>
              </w:rPr>
            </w:pPr>
            <w:r>
              <w:rPr>
                <w:rFonts w:ascii="宋体" w:hAnsi="宋体" w:cs="宋体" w:eastAsia="宋体" w:hint="default"/>
                <w:sz w:val="18"/>
                <w:szCs w:val="18"/>
              </w:rPr>
              <w:t>主要原因是本期新增投资北京车联</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天下信息技术有限公司和禾多科技</w:t>
            </w:r>
          </w:p>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（北京）有限公司所致；</w:t>
            </w:r>
            <w:r>
              <w:rPr>
                <w:rFonts w:ascii="宋体" w:hAnsi="宋体" w:cs="宋体" w:eastAsia="宋体" w:hint="default"/>
                <w:sz w:val="18"/>
                <w:szCs w:val="18"/>
              </w:rPr>
              <w:t> </w:t>
            </w:r>
          </w:p>
        </w:tc>
      </w:tr>
      <w:tr>
        <w:trPr>
          <w:trHeight w:val="102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597,060,326.9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221,512,917.24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5.37%</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0.72%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9"/>
              <w:jc w:val="both"/>
              <w:rPr>
                <w:rFonts w:ascii="宋体" w:hAnsi="宋体" w:cs="宋体" w:eastAsia="宋体" w:hint="default"/>
                <w:sz w:val="18"/>
                <w:szCs w:val="18"/>
              </w:rPr>
            </w:pPr>
            <w:r>
              <w:rPr>
                <w:rFonts w:ascii="宋体" w:hAnsi="宋体" w:cs="宋体" w:eastAsia="宋体" w:hint="default"/>
                <w:sz w:val="18"/>
                <w:szCs w:val="18"/>
              </w:rPr>
              <w:t>主要原因是本期永丰基地土地自在 建工程转入以及合并杰发科技无形 资产评估增值所致；</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307,251,268.1</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222,305,532.15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5.39%</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-2.25%</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主要原因是本期公司加大高精度地 图研发投入力度所致；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3,324,579,146.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33.93%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314,538,036.60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7.63%</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26.30%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主要原因是本期合并杰发科技形成 商誉所致；</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30,189,409.57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8,993,792.22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0.22%</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主要原因是本期增加办公楼装修所 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39,880,682.22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0.41%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30,460,039.40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0.74%</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-0.33%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主要原因是本期合并杰发科技致递 延所得税资产增加所致；</w:t>
            </w:r>
          </w:p>
        </w:tc>
      </w:tr>
      <w:tr>
        <w:trPr>
          <w:trHeight w:val="716"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5,724,911.00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771,579.00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0.02%</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0.04%</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主要原因是本期银行承兑汇票增加 所致；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296,719,642.2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156,149,911.39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3.79%</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-0.76%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主要原因是本期合并杰发科技致应 付职工薪酬增加所致；</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2,240,998,697.</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22.87%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459,167,786.79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11.14%</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11.73%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主要原因是本期收购杰发科技应付 投资款增加所致；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0.51%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0.51%</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主要原因是本期非公开发行公司债 券所致；</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46,099,808.20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0.47%</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24,203,355.39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0.59%</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-0.12%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主要原因是本期合并杰发科技致政 府补助增加所致；</w:t>
            </w:r>
          </w:p>
        </w:tc>
      </w:tr>
    </w:tbl>
    <w:p>
      <w:pPr>
        <w:spacing w:after="0" w:line="314"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67"/>
        <w:gridCol w:w="1164"/>
        <w:gridCol w:w="1064"/>
        <w:gridCol w:w="1195"/>
        <w:gridCol w:w="1064"/>
        <w:gridCol w:w="950"/>
        <w:gridCol w:w="2765"/>
      </w:tblGrid>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4,205,523,831.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42.92%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883,679,794.78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21.44%</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21.48%</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主要原因是本期收到定向增发股票 款所致；</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库存股</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77,973,177.02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0.80%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157,907,497.44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3.83%</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主要原因是本期限制性股票部分到 期解锁所致；</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5,933,809.71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-1,404,265.09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-0.03%</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09"/>
              <w:jc w:val="left"/>
              <w:rPr>
                <w:rFonts w:ascii="宋体" w:hAnsi="宋体" w:cs="宋体" w:eastAsia="宋体" w:hint="default"/>
                <w:sz w:val="18"/>
                <w:szCs w:val="18"/>
              </w:rPr>
            </w:pPr>
            <w:r>
              <w:rPr>
                <w:rFonts w:ascii="宋体" w:hAnsi="宋体" w:cs="宋体" w:eastAsia="宋体" w:hint="default"/>
                <w:sz w:val="18"/>
                <w:szCs w:val="18"/>
              </w:rPr>
              <w:t>主要原因是外币报表折算差额所 致；</w:t>
            </w:r>
          </w:p>
        </w:tc>
      </w:tr>
      <w:tr>
        <w:trPr>
          <w:trHeight w:val="1027"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237,795,974.2</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378,178,809.85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9.17%</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-6.74%</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9"/>
              <w:jc w:val="left"/>
              <w:rPr>
                <w:rFonts w:ascii="宋体" w:hAnsi="宋体" w:cs="宋体" w:eastAsia="宋体" w:hint="default"/>
                <w:sz w:val="18"/>
                <w:szCs w:val="18"/>
              </w:rPr>
            </w:pPr>
            <w:r>
              <w:rPr>
                <w:rFonts w:ascii="宋体" w:hAnsi="宋体" w:cs="宋体" w:eastAsia="宋体" w:hint="default"/>
                <w:sz w:val="18"/>
                <w:szCs w:val="18"/>
              </w:rPr>
              <w:t>主要原因是本期收购子公司中寰卫 星导航通信有限公司少数股权所 致；</w:t>
            </w:r>
          </w:p>
        </w:tc>
      </w:tr>
    </w:tbl>
    <w:p>
      <w:pPr>
        <w:spacing w:line="240" w:lineRule="auto" w:before="10"/>
        <w:rPr>
          <w:rFonts w:ascii="Times New Roman" w:hAnsi="Times New Roman" w:cs="Times New Roman" w:eastAsia="Times New Roman" w:hint="default"/>
          <w:sz w:val="21"/>
          <w:szCs w:val="21"/>
        </w:rPr>
      </w:pPr>
    </w:p>
    <w:p>
      <w:pPr>
        <w:pStyle w:val="Heading5"/>
        <w:spacing w:line="240" w:lineRule="auto" w:before="36"/>
        <w:ind w:right="0"/>
        <w:jc w:val="left"/>
        <w:rPr>
          <w:b w:val="0"/>
          <w:bCs w:val="0"/>
        </w:rPr>
      </w:pPr>
      <w:r>
        <w:rPr>
          <w:rFonts w:ascii="Times New Roman" w:hAnsi="Times New Roman" w:cs="Times New Roman" w:eastAsia="Times New Roman" w:hint="default"/>
        </w:rPr>
        <w:t>2</w:t>
      </w:r>
      <w:r>
        <w:rPr/>
        <w:t>、以公允价值计量的资产和负债</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spacing w:val="-2"/>
        </w:rPr>
        <w:t>截至报告期末，使用受限资金为</w:t>
      </w:r>
      <w:r>
        <w:rPr>
          <w:rFonts w:ascii="Times New Roman" w:hAnsi="Times New Roman" w:cs="Times New Roman" w:eastAsia="Times New Roman" w:hint="default"/>
          <w:spacing w:val="-2"/>
        </w:rPr>
        <w:t>3</w:t>
      </w:r>
      <w:r>
        <w:rPr>
          <w:spacing w:val="-2"/>
        </w:rPr>
        <w:t>个月以上定期存款</w:t>
      </w:r>
      <w:r>
        <w:rPr>
          <w:rFonts w:ascii="Times New Roman" w:hAnsi="Times New Roman" w:cs="Times New Roman" w:eastAsia="Times New Roman" w:hint="default"/>
          <w:spacing w:val="-2"/>
        </w:rPr>
        <w:t>1,734,489,596.22</w:t>
      </w:r>
      <w:r>
        <w:rPr>
          <w:spacing w:val="-2"/>
        </w:rPr>
        <w:t>元、应付票据保证金及履约保函保证金</w:t>
      </w:r>
      <w:r>
        <w:rPr>
          <w:rFonts w:ascii="Times New Roman" w:hAnsi="Times New Roman" w:cs="Times New Roman" w:eastAsia="Times New Roman" w:hint="default"/>
          <w:spacing w:val="-2"/>
        </w:rPr>
        <w:t>18,982,151.36</w:t>
      </w:r>
      <w:r>
        <w:rPr>
          <w:spacing w:val="-2"/>
        </w:rPr>
        <w:t>元。</w:t>
      </w:r>
    </w:p>
    <w:p>
      <w:pPr>
        <w:spacing w:line="240" w:lineRule="auto" w:before="3"/>
        <w:rPr>
          <w:rFonts w:ascii="宋体" w:hAnsi="宋体" w:cs="宋体" w:eastAsia="宋体" w:hint="default"/>
          <w:sz w:val="24"/>
          <w:szCs w:val="24"/>
        </w:rPr>
      </w:pPr>
    </w:p>
    <w:p>
      <w:pPr>
        <w:pStyle w:val="Heading3"/>
        <w:spacing w:line="240" w:lineRule="auto"/>
        <w:ind w:right="0"/>
        <w:jc w:val="left"/>
        <w:rPr>
          <w:b w:val="0"/>
          <w:bCs w:val="0"/>
        </w:rPr>
      </w:pPr>
      <w:r>
        <w:rPr/>
        <w:t>五、投资状况分析</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、总体情况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80"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896" w:right="0"/>
              <w:jc w:val="left"/>
              <w:rPr>
                <w:rFonts w:ascii="Times New Roman" w:hAnsi="Times New Roman" w:cs="Times New Roman" w:eastAsia="Times New Roman" w:hint="default"/>
                <w:sz w:val="18"/>
                <w:szCs w:val="18"/>
              </w:rPr>
            </w:pPr>
            <w:r>
              <w:rPr>
                <w:rFonts w:ascii="Times New Roman"/>
                <w:sz w:val="18"/>
              </w:rPr>
              <w:t>4,355,810,609.29</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6,157,030.00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70,645.32%</w:t>
            </w:r>
          </w:p>
        </w:tc>
      </w:tr>
    </w:tbl>
    <w:p>
      <w:pPr>
        <w:spacing w:line="240" w:lineRule="auto" w:before="4"/>
        <w:rPr>
          <w:rFonts w:ascii="宋体" w:hAnsi="宋体" w:cs="宋体" w:eastAsia="宋体" w:hint="default"/>
          <w:sz w:val="20"/>
          <w:szCs w:val="20"/>
        </w:rPr>
      </w:pPr>
    </w:p>
    <w:p>
      <w:pPr>
        <w:pStyle w:val="BodyText"/>
        <w:spacing w:line="240" w:lineRule="auto" w:before="44"/>
        <w:ind w:right="0"/>
        <w:jc w:val="left"/>
        <w:rPr>
          <w:rFonts w:ascii="宋体" w:hAnsi="宋体" w:cs="宋体" w:eastAsia="宋体" w:hint="default"/>
        </w:rPr>
      </w:pPr>
      <w:r>
        <w:rPr/>
        <w:t>本报告期投资额大幅增长，主要原因是本期收购杰发科技所致。</w:t>
      </w:r>
      <w:r>
        <w:rPr>
          <w:rFonts w:ascii="宋体" w:hAnsi="宋体" w:cs="宋体" w:eastAsia="宋体" w:hint="default"/>
        </w:rPr>
        <w:t> </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656"/>
        <w:gridCol w:w="650"/>
        <w:gridCol w:w="538"/>
        <w:gridCol w:w="708"/>
        <w:gridCol w:w="622"/>
        <w:gridCol w:w="622"/>
        <w:gridCol w:w="617"/>
        <w:gridCol w:w="617"/>
        <w:gridCol w:w="502"/>
        <w:gridCol w:w="708"/>
        <w:gridCol w:w="425"/>
        <w:gridCol w:w="708"/>
        <w:gridCol w:w="427"/>
        <w:gridCol w:w="709"/>
        <w:gridCol w:w="1066"/>
      </w:tblGrid>
      <w:tr>
        <w:trPr>
          <w:trHeight w:val="355" w:hRule="exact"/>
        </w:trPr>
        <w:tc>
          <w:tcPr>
            <w:tcW w:w="656" w:type="dxa"/>
            <w:tcBorders>
              <w:top w:val="single" w:sz="4" w:space="0" w:color="000000"/>
              <w:left w:val="single" w:sz="4" w:space="0" w:color="000000"/>
              <w:bottom w:val="nil" w:sz="6" w:space="0" w:color="auto"/>
              <w:right w:val="single" w:sz="4" w:space="0" w:color="000000"/>
            </w:tcBorders>
            <w:shd w:val="clear" w:color="auto" w:fill="D2D2D2"/>
          </w:tcPr>
          <w:p>
            <w:pPr/>
          </w:p>
        </w:tc>
        <w:tc>
          <w:tcPr>
            <w:tcW w:w="650" w:type="dxa"/>
            <w:tcBorders>
              <w:top w:val="single" w:sz="4" w:space="0" w:color="000000"/>
              <w:left w:val="single" w:sz="4" w:space="0" w:color="000000"/>
              <w:bottom w:val="nil" w:sz="6" w:space="0" w:color="auto"/>
              <w:right w:val="single" w:sz="4" w:space="0" w:color="000000"/>
            </w:tcBorders>
            <w:shd w:val="clear" w:color="auto" w:fill="D2D2D2"/>
          </w:tcPr>
          <w:p>
            <w:pPr/>
          </w:p>
        </w:tc>
        <w:tc>
          <w:tcPr>
            <w:tcW w:w="53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622" w:type="dxa"/>
            <w:tcBorders>
              <w:top w:val="single" w:sz="4" w:space="0" w:color="000000"/>
              <w:left w:val="single" w:sz="4" w:space="0" w:color="000000"/>
              <w:bottom w:val="nil" w:sz="6" w:space="0" w:color="auto"/>
              <w:right w:val="single" w:sz="4" w:space="0" w:color="000000"/>
            </w:tcBorders>
            <w:shd w:val="clear" w:color="auto" w:fill="D2D2D2"/>
          </w:tcPr>
          <w:p>
            <w:pPr/>
          </w:p>
        </w:tc>
        <w:tc>
          <w:tcPr>
            <w:tcW w:w="622" w:type="dxa"/>
            <w:tcBorders>
              <w:top w:val="single" w:sz="4" w:space="0" w:color="000000"/>
              <w:left w:val="single" w:sz="4" w:space="0" w:color="000000"/>
              <w:bottom w:val="nil" w:sz="6" w:space="0" w:color="auto"/>
              <w:right w:val="single" w:sz="4" w:space="0" w:color="000000"/>
            </w:tcBorders>
            <w:shd w:val="clear" w:color="auto" w:fill="D2D2D2"/>
          </w:tcPr>
          <w:p>
            <w:pPr/>
          </w:p>
        </w:tc>
        <w:tc>
          <w:tcPr>
            <w:tcW w:w="617" w:type="dxa"/>
            <w:tcBorders>
              <w:top w:val="single" w:sz="4" w:space="0" w:color="000000"/>
              <w:left w:val="single" w:sz="4" w:space="0" w:color="000000"/>
              <w:bottom w:val="nil" w:sz="6" w:space="0" w:color="auto"/>
              <w:right w:val="single" w:sz="4" w:space="0" w:color="000000"/>
            </w:tcBorders>
            <w:shd w:val="clear" w:color="auto" w:fill="D2D2D2"/>
          </w:tcPr>
          <w:p>
            <w:pPr/>
          </w:p>
        </w:tc>
        <w:tc>
          <w:tcPr>
            <w:tcW w:w="617" w:type="dxa"/>
            <w:tcBorders>
              <w:top w:val="single" w:sz="4" w:space="0" w:color="000000"/>
              <w:left w:val="single" w:sz="4" w:space="0" w:color="000000"/>
              <w:bottom w:val="nil" w:sz="6" w:space="0" w:color="auto"/>
              <w:right w:val="single" w:sz="4" w:space="0" w:color="000000"/>
            </w:tcBorders>
            <w:shd w:val="clear" w:color="auto" w:fill="D2D2D2"/>
          </w:tcPr>
          <w:p>
            <w:pPr/>
          </w:p>
        </w:tc>
        <w:tc>
          <w:tcPr>
            <w:tcW w:w="502"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截至资</w:t>
            </w:r>
          </w:p>
        </w:tc>
        <w:tc>
          <w:tcPr>
            <w:tcW w:w="425"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6"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935" w:hRule="exact"/>
        </w:trPr>
        <w:tc>
          <w:tcPr>
            <w:tcW w:w="65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1"/>
              <w:ind w:left="52" w:right="51"/>
              <w:jc w:val="center"/>
              <w:rPr>
                <w:rFonts w:ascii="宋体" w:hAnsi="宋体" w:cs="宋体" w:eastAsia="宋体" w:hint="default"/>
                <w:sz w:val="18"/>
                <w:szCs w:val="18"/>
              </w:rPr>
            </w:pPr>
            <w:r>
              <w:rPr>
                <w:rFonts w:ascii="宋体" w:hAnsi="宋体" w:cs="宋体" w:eastAsia="宋体" w:hint="default"/>
                <w:sz w:val="18"/>
                <w:szCs w:val="18"/>
              </w:rPr>
              <w:t>被投资 公司名 称</w:t>
            </w:r>
          </w:p>
        </w:tc>
        <w:tc>
          <w:tcPr>
            <w:tcW w:w="65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230" w:right="48"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53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83" w:right="83"/>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259" w:right="77"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6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216" w:right="34"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62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215" w:right="35" w:hanging="180"/>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6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6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213" w:right="31" w:hanging="180"/>
              <w:jc w:val="left"/>
              <w:rPr>
                <w:rFonts w:ascii="宋体" w:hAnsi="宋体" w:cs="宋体" w:eastAsia="宋体" w:hint="default"/>
                <w:sz w:val="18"/>
                <w:szCs w:val="18"/>
              </w:rPr>
            </w:pPr>
            <w:r>
              <w:rPr>
                <w:rFonts w:ascii="宋体" w:hAnsi="宋体" w:cs="宋体" w:eastAsia="宋体" w:hint="default"/>
                <w:sz w:val="18"/>
                <w:szCs w:val="18"/>
              </w:rPr>
              <w:t>投资期 限</w:t>
            </w:r>
          </w:p>
        </w:tc>
        <w:tc>
          <w:tcPr>
            <w:tcW w:w="50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64" w:right="65"/>
              <w:jc w:val="left"/>
              <w:rPr>
                <w:rFonts w:ascii="宋体" w:hAnsi="宋体" w:cs="宋体" w:eastAsia="宋体" w:hint="default"/>
                <w:sz w:val="18"/>
                <w:szCs w:val="18"/>
              </w:rPr>
            </w:pPr>
            <w:r>
              <w:rPr>
                <w:rFonts w:ascii="宋体" w:hAnsi="宋体" w:cs="宋体" w:eastAsia="宋体" w:hint="default"/>
                <w:sz w:val="18"/>
                <w:szCs w:val="18"/>
              </w:rPr>
              <w:t>产品 类型</w:t>
            </w:r>
          </w:p>
        </w:tc>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9"/>
              <w:ind w:left="79" w:right="77"/>
              <w:jc w:val="both"/>
              <w:rPr>
                <w:rFonts w:ascii="宋体" w:hAnsi="宋体" w:cs="宋体" w:eastAsia="宋体" w:hint="default"/>
                <w:sz w:val="18"/>
                <w:szCs w:val="18"/>
              </w:rPr>
            </w:pPr>
            <w:r>
              <w:rPr>
                <w:rFonts w:ascii="宋体" w:hAnsi="宋体" w:cs="宋体" w:eastAsia="宋体" w:hint="default"/>
                <w:sz w:val="18"/>
                <w:szCs w:val="18"/>
              </w:rPr>
              <w:t>产负债 表日的 进展情</w:t>
            </w:r>
          </w:p>
        </w:tc>
        <w:tc>
          <w:tcPr>
            <w:tcW w:w="42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28" w:right="24"/>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79" w:right="77"/>
              <w:jc w:val="left"/>
              <w:rPr>
                <w:rFonts w:ascii="宋体" w:hAnsi="宋体" w:cs="宋体" w:eastAsia="宋体" w:hint="default"/>
                <w:sz w:val="18"/>
                <w:szCs w:val="18"/>
              </w:rPr>
            </w:pPr>
            <w:r>
              <w:rPr>
                <w:rFonts w:ascii="宋体" w:hAnsi="宋体" w:cs="宋体" w:eastAsia="宋体" w:hint="default"/>
                <w:sz w:val="18"/>
                <w:szCs w:val="18"/>
              </w:rPr>
              <w:t>本期投 资盈亏</w:t>
            </w:r>
          </w:p>
        </w:tc>
        <w:tc>
          <w:tcPr>
            <w:tcW w:w="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28" w:right="26"/>
              <w:jc w:val="left"/>
              <w:rPr>
                <w:rFonts w:ascii="宋体" w:hAnsi="宋体" w:cs="宋体" w:eastAsia="宋体" w:hint="default"/>
                <w:sz w:val="18"/>
                <w:szCs w:val="18"/>
              </w:rPr>
            </w:pPr>
            <w:r>
              <w:rPr>
                <w:rFonts w:ascii="宋体" w:hAnsi="宋体" w:cs="宋体" w:eastAsia="宋体" w:hint="default"/>
                <w:sz w:val="18"/>
                <w:szCs w:val="18"/>
              </w:rPr>
              <w:t>是否 涉诉</w:t>
            </w:r>
          </w:p>
        </w:tc>
        <w:tc>
          <w:tcPr>
            <w:tcW w:w="7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11"/>
              <w:ind w:left="79" w:right="77"/>
              <w:jc w:val="both"/>
              <w:rPr>
                <w:rFonts w:ascii="宋体" w:hAnsi="宋体" w:cs="宋体" w:eastAsia="宋体" w:hint="default"/>
                <w:sz w:val="18"/>
                <w:szCs w:val="18"/>
              </w:rPr>
            </w:pPr>
            <w:r>
              <w:rPr>
                <w:rFonts w:ascii="宋体" w:hAnsi="宋体" w:cs="宋体" w:eastAsia="宋体" w:hint="default"/>
                <w:sz w:val="18"/>
                <w:szCs w:val="18"/>
              </w:rPr>
              <w:t>披露日 期（如 有）</w:t>
            </w:r>
          </w:p>
        </w:tc>
        <w:tc>
          <w:tcPr>
            <w:tcW w:w="106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314" w:lineRule="auto"/>
              <w:ind w:left="347" w:right="19" w:hanging="324"/>
              <w:jc w:val="left"/>
              <w:rPr>
                <w:rFonts w:ascii="宋体" w:hAnsi="宋体" w:cs="宋体" w:eastAsia="宋体" w:hint="default"/>
                <w:sz w:val="18"/>
                <w:szCs w:val="18"/>
              </w:rPr>
            </w:pPr>
            <w:r>
              <w:rPr>
                <w:rFonts w:ascii="宋体" w:hAnsi="宋体" w:cs="宋体" w:eastAsia="宋体" w:hint="default"/>
                <w:spacing w:val="-12"/>
                <w:sz w:val="18"/>
                <w:szCs w:val="18"/>
              </w:rPr>
              <w:t>披露索引（如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w:t>
            </w:r>
          </w:p>
        </w:tc>
      </w:tr>
      <w:tr>
        <w:trPr>
          <w:trHeight w:val="360" w:hRule="exact"/>
        </w:trPr>
        <w:tc>
          <w:tcPr>
            <w:tcW w:w="656" w:type="dxa"/>
            <w:tcBorders>
              <w:top w:val="nil" w:sz="6" w:space="0" w:color="auto"/>
              <w:left w:val="single" w:sz="4" w:space="0" w:color="000000"/>
              <w:bottom w:val="single" w:sz="4" w:space="0" w:color="000000"/>
              <w:right w:val="single" w:sz="4" w:space="0" w:color="000000"/>
            </w:tcBorders>
            <w:shd w:val="clear" w:color="auto" w:fill="D2D2D2"/>
          </w:tcPr>
          <w:p>
            <w:pPr/>
          </w:p>
        </w:tc>
        <w:tc>
          <w:tcPr>
            <w:tcW w:w="650" w:type="dxa"/>
            <w:tcBorders>
              <w:top w:val="nil" w:sz="6" w:space="0" w:color="auto"/>
              <w:left w:val="single" w:sz="4" w:space="0" w:color="000000"/>
              <w:bottom w:val="single" w:sz="4" w:space="0" w:color="000000"/>
              <w:right w:val="single" w:sz="4" w:space="0" w:color="000000"/>
            </w:tcBorders>
            <w:shd w:val="clear" w:color="auto" w:fill="D2D2D2"/>
          </w:tcPr>
          <w:p>
            <w:pPr/>
          </w:p>
        </w:tc>
        <w:tc>
          <w:tcPr>
            <w:tcW w:w="53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622" w:type="dxa"/>
            <w:tcBorders>
              <w:top w:val="nil" w:sz="6" w:space="0" w:color="auto"/>
              <w:left w:val="single" w:sz="4" w:space="0" w:color="000000"/>
              <w:bottom w:val="single" w:sz="4" w:space="0" w:color="000000"/>
              <w:right w:val="single" w:sz="4" w:space="0" w:color="000000"/>
            </w:tcBorders>
            <w:shd w:val="clear" w:color="auto" w:fill="D2D2D2"/>
          </w:tcPr>
          <w:p>
            <w:pPr/>
          </w:p>
        </w:tc>
        <w:tc>
          <w:tcPr>
            <w:tcW w:w="622" w:type="dxa"/>
            <w:tcBorders>
              <w:top w:val="nil" w:sz="6" w:space="0" w:color="auto"/>
              <w:left w:val="single" w:sz="4" w:space="0" w:color="000000"/>
              <w:bottom w:val="single" w:sz="4" w:space="0" w:color="000000"/>
              <w:right w:val="single" w:sz="4" w:space="0" w:color="000000"/>
            </w:tcBorders>
            <w:shd w:val="clear" w:color="auto" w:fill="D2D2D2"/>
          </w:tcPr>
          <w:p>
            <w:pPr/>
          </w:p>
        </w:tc>
        <w:tc>
          <w:tcPr>
            <w:tcW w:w="617" w:type="dxa"/>
            <w:tcBorders>
              <w:top w:val="nil" w:sz="6" w:space="0" w:color="auto"/>
              <w:left w:val="single" w:sz="4" w:space="0" w:color="000000"/>
              <w:bottom w:val="single" w:sz="4" w:space="0" w:color="000000"/>
              <w:right w:val="single" w:sz="4" w:space="0" w:color="000000"/>
            </w:tcBorders>
            <w:shd w:val="clear" w:color="auto" w:fill="D2D2D2"/>
          </w:tcPr>
          <w:p>
            <w:pPr/>
          </w:p>
        </w:tc>
        <w:tc>
          <w:tcPr>
            <w:tcW w:w="617" w:type="dxa"/>
            <w:tcBorders>
              <w:top w:val="nil" w:sz="6" w:space="0" w:color="auto"/>
              <w:left w:val="single" w:sz="4" w:space="0" w:color="000000"/>
              <w:bottom w:val="single" w:sz="4" w:space="0" w:color="000000"/>
              <w:right w:val="single" w:sz="4" w:space="0" w:color="000000"/>
            </w:tcBorders>
            <w:shd w:val="clear" w:color="auto" w:fill="D2D2D2"/>
          </w:tcPr>
          <w:p>
            <w:pPr/>
          </w:p>
        </w:tc>
        <w:tc>
          <w:tcPr>
            <w:tcW w:w="502"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况</w:t>
            </w:r>
          </w:p>
        </w:tc>
        <w:tc>
          <w:tcPr>
            <w:tcW w:w="425"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6"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0" w:hRule="exact"/>
        </w:trPr>
        <w:tc>
          <w:tcPr>
            <w:tcW w:w="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316" w:lineRule="auto"/>
              <w:ind w:left="24" w:right="80"/>
              <w:jc w:val="both"/>
              <w:rPr>
                <w:rFonts w:ascii="宋体" w:hAnsi="宋体" w:cs="宋体" w:eastAsia="宋体" w:hint="default"/>
                <w:sz w:val="18"/>
                <w:szCs w:val="18"/>
              </w:rPr>
            </w:pPr>
            <w:r>
              <w:rPr>
                <w:rFonts w:ascii="宋体" w:hAnsi="宋体" w:cs="宋体" w:eastAsia="宋体" w:hint="default"/>
                <w:sz w:val="18"/>
                <w:szCs w:val="18"/>
              </w:rPr>
              <w:t>合肥杰 发科技 有限公 司</w:t>
            </w:r>
          </w:p>
        </w:tc>
        <w:tc>
          <w:tcPr>
            <w:tcW w:w="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316" w:lineRule="auto"/>
              <w:ind w:left="23" w:right="74"/>
              <w:jc w:val="left"/>
              <w:rPr>
                <w:rFonts w:ascii="宋体" w:hAnsi="宋体" w:cs="宋体" w:eastAsia="宋体" w:hint="default"/>
                <w:sz w:val="18"/>
                <w:szCs w:val="18"/>
              </w:rPr>
            </w:pPr>
            <w:r>
              <w:rPr>
                <w:rFonts w:ascii="宋体" w:hAnsi="宋体" w:cs="宋体" w:eastAsia="宋体" w:hint="default"/>
                <w:sz w:val="18"/>
                <w:szCs w:val="18"/>
              </w:rPr>
              <w:t>汽车电 子芯片</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43" w:right="0"/>
              <w:jc w:val="left"/>
              <w:rPr>
                <w:rFonts w:ascii="Times New Roman" w:hAnsi="Times New Roman" w:cs="Times New Roman" w:eastAsia="Times New Roman" w:hint="default"/>
                <w:sz w:val="18"/>
                <w:szCs w:val="18"/>
              </w:rPr>
            </w:pPr>
            <w:r>
              <w:rPr>
                <w:rFonts w:ascii="Times New Roman"/>
                <w:sz w:val="18"/>
              </w:rPr>
              <w:t>3,875,10</w:t>
            </w:r>
          </w:p>
          <w:p>
            <w:pPr>
              <w:pStyle w:val="TableParagraph"/>
              <w:spacing w:line="240" w:lineRule="auto" w:before="105"/>
              <w:ind w:left="43" w:right="0"/>
              <w:jc w:val="left"/>
              <w:rPr>
                <w:rFonts w:ascii="Times New Roman" w:hAnsi="Times New Roman" w:cs="Times New Roman" w:eastAsia="Times New Roman" w:hint="default"/>
                <w:sz w:val="18"/>
                <w:szCs w:val="18"/>
              </w:rPr>
            </w:pPr>
            <w:r>
              <w:rPr>
                <w:rFonts w:ascii="Times New Roman"/>
                <w:sz w:val="18"/>
              </w:rPr>
              <w:t>0,000.00</w:t>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316" w:lineRule="auto"/>
              <w:ind w:left="23" w:right="47"/>
              <w:jc w:val="both"/>
              <w:rPr>
                <w:rFonts w:ascii="宋体" w:hAnsi="宋体" w:cs="宋体" w:eastAsia="宋体" w:hint="default"/>
                <w:sz w:val="18"/>
                <w:szCs w:val="18"/>
              </w:rPr>
            </w:pPr>
            <w:r>
              <w:rPr>
                <w:rFonts w:ascii="宋体" w:hAnsi="宋体" w:cs="宋体" w:eastAsia="宋体" w:hint="default"/>
                <w:sz w:val="18"/>
                <w:szCs w:val="18"/>
              </w:rPr>
              <w:t>定向增 发及自 筹</w:t>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无</w:t>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投资</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316" w:lineRule="auto"/>
              <w:ind w:left="23" w:right="132"/>
              <w:jc w:val="both"/>
              <w:rPr>
                <w:rFonts w:ascii="宋体" w:hAnsi="宋体" w:cs="宋体" w:eastAsia="宋体" w:hint="default"/>
                <w:sz w:val="18"/>
                <w:szCs w:val="18"/>
              </w:rPr>
            </w:pPr>
            <w:r>
              <w:rPr>
                <w:rFonts w:ascii="宋体" w:hAnsi="宋体" w:cs="宋体" w:eastAsia="宋体" w:hint="default"/>
                <w:sz w:val="18"/>
                <w:szCs w:val="18"/>
              </w:rPr>
              <w:t>已完成 工商变 更登记</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188,218,</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419.15</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
              <w:jc w:val="left"/>
              <w:rPr>
                <w:rFonts w:ascii="宋体" w:hAnsi="宋体" w:cs="宋体" w:eastAsia="宋体" w:hint="default"/>
                <w:sz w:val="18"/>
                <w:szCs w:val="18"/>
              </w:rPr>
            </w:pPr>
            <w:r>
              <w:rPr>
                <w:rFonts w:ascii="宋体" w:hAnsi="宋体" w:cs="宋体" w:eastAsia="宋体" w:hint="default"/>
                <w:sz w:val="18"/>
                <w:szCs w:val="18"/>
              </w:rPr>
              <w:t>《证券时 </w:t>
            </w:r>
            <w:r>
              <w:rPr>
                <w:rFonts w:ascii="宋体" w:hAnsi="宋体" w:cs="宋体" w:eastAsia="宋体" w:hint="default"/>
                <w:spacing w:val="-37"/>
                <w:sz w:val="18"/>
                <w:szCs w:val="18"/>
              </w:rPr>
              <w:t>报》、《中国证</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2"/>
                <w:sz w:val="18"/>
                <w:szCs w:val="18"/>
              </w:rPr>
              <w:t>券报》和巨潮</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资讯网上的 公司</w:t>
            </w:r>
          </w:p>
        </w:tc>
      </w:tr>
    </w:tbl>
    <w:p>
      <w:pPr>
        <w:spacing w:after="0" w:line="316"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656"/>
        <w:gridCol w:w="650"/>
        <w:gridCol w:w="538"/>
        <w:gridCol w:w="708"/>
        <w:gridCol w:w="622"/>
        <w:gridCol w:w="622"/>
        <w:gridCol w:w="617"/>
        <w:gridCol w:w="617"/>
        <w:gridCol w:w="502"/>
        <w:gridCol w:w="708"/>
        <w:gridCol w:w="425"/>
        <w:gridCol w:w="708"/>
        <w:gridCol w:w="427"/>
        <w:gridCol w:w="709"/>
        <w:gridCol w:w="1066"/>
      </w:tblGrid>
      <w:tr>
        <w:trPr>
          <w:trHeight w:val="675" w:hRule="exact"/>
        </w:trPr>
        <w:tc>
          <w:tcPr>
            <w:tcW w:w="656" w:type="dxa"/>
            <w:tcBorders>
              <w:top w:val="single" w:sz="4" w:space="0" w:color="000000"/>
              <w:left w:val="single" w:sz="4" w:space="0" w:color="000000"/>
              <w:bottom w:val="single" w:sz="4" w:space="0" w:color="000000"/>
              <w:right w:val="single" w:sz="4" w:space="0" w:color="000000"/>
            </w:tcBorders>
          </w:tcPr>
          <w:p>
            <w:pPr/>
          </w:p>
        </w:tc>
        <w:tc>
          <w:tcPr>
            <w:tcW w:w="650" w:type="dxa"/>
            <w:tcBorders>
              <w:top w:val="single" w:sz="4" w:space="0" w:color="000000"/>
              <w:left w:val="single" w:sz="4" w:space="0" w:color="000000"/>
              <w:bottom w:val="single" w:sz="4" w:space="0" w:color="000000"/>
              <w:right w:val="single" w:sz="4" w:space="0" w:color="000000"/>
            </w:tcBorders>
          </w:tcPr>
          <w:p>
            <w:pPr/>
          </w:p>
        </w:tc>
        <w:tc>
          <w:tcPr>
            <w:tcW w:w="53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22" w:type="dxa"/>
            <w:tcBorders>
              <w:top w:val="single" w:sz="4" w:space="0" w:color="000000"/>
              <w:left w:val="single" w:sz="4" w:space="0" w:color="000000"/>
              <w:bottom w:val="single" w:sz="4" w:space="0" w:color="000000"/>
              <w:right w:val="single" w:sz="4" w:space="0" w:color="000000"/>
            </w:tcBorders>
          </w:tcPr>
          <w:p>
            <w:pPr/>
          </w:p>
        </w:tc>
        <w:tc>
          <w:tcPr>
            <w:tcW w:w="617" w:type="dxa"/>
            <w:tcBorders>
              <w:top w:val="single" w:sz="4" w:space="0" w:color="000000"/>
              <w:left w:val="single" w:sz="4" w:space="0" w:color="000000"/>
              <w:bottom w:val="single" w:sz="4" w:space="0" w:color="000000"/>
              <w:right w:val="single" w:sz="4" w:space="0" w:color="000000"/>
            </w:tcBorders>
          </w:tcPr>
          <w:p>
            <w:pPr/>
          </w:p>
        </w:tc>
        <w:tc>
          <w:tcPr>
            <w:tcW w:w="617" w:type="dxa"/>
            <w:tcBorders>
              <w:top w:val="single" w:sz="4" w:space="0" w:color="000000"/>
              <w:left w:val="single" w:sz="4" w:space="0" w:color="000000"/>
              <w:bottom w:val="single" w:sz="4" w:space="0" w:color="000000"/>
              <w:right w:val="single" w:sz="4" w:space="0" w:color="000000"/>
            </w:tcBorders>
          </w:tcPr>
          <w:p>
            <w:pPr/>
          </w:p>
        </w:tc>
        <w:tc>
          <w:tcPr>
            <w:tcW w:w="50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427"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公告</w:t>
            </w:r>
          </w:p>
        </w:tc>
      </w:tr>
      <w:tr>
        <w:trPr>
          <w:trHeight w:val="713" w:hRule="exact"/>
        </w:trPr>
        <w:tc>
          <w:tcPr>
            <w:tcW w:w="6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5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3,875,10</w:t>
            </w:r>
          </w:p>
          <w:p>
            <w:pPr>
              <w:pStyle w:val="TableParagraph"/>
              <w:spacing w:line="240" w:lineRule="auto" w:before="105"/>
              <w:ind w:left="43" w:right="0"/>
              <w:jc w:val="left"/>
              <w:rPr>
                <w:rFonts w:ascii="Times New Roman" w:hAnsi="Times New Roman" w:cs="Times New Roman" w:eastAsia="Times New Roman" w:hint="default"/>
                <w:sz w:val="18"/>
                <w:szCs w:val="18"/>
              </w:rPr>
            </w:pPr>
            <w:r>
              <w:rPr>
                <w:rFonts w:ascii="Times New Roman"/>
                <w:sz w:val="18"/>
              </w:rPr>
              <w:t>0,000.00</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w:t>
            </w:r>
          </w:p>
        </w:tc>
        <w:tc>
          <w:tcPr>
            <w:tcW w:w="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6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188,218,</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419.15</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4</w:t>
      </w:r>
      <w:r>
        <w:rPr/>
        <w:t>、以公允价值计量的金融资产</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rFonts w:ascii="Times New Roman" w:hAnsi="Times New Roman" w:cs="Times New Roman" w:eastAsia="Times New Roman" w:hint="default"/>
        </w:rPr>
        <w:t>5</w:t>
      </w:r>
      <w:r>
        <w:rPr/>
        <w:t>、募集资金使用情况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51"/>
        <w:jc w:val="right"/>
      </w:pPr>
      <w:r>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67"/>
        <w:gridCol w:w="862"/>
        <w:gridCol w:w="878"/>
        <w:gridCol w:w="869"/>
        <w:gridCol w:w="871"/>
        <w:gridCol w:w="869"/>
        <w:gridCol w:w="869"/>
        <w:gridCol w:w="871"/>
        <w:gridCol w:w="869"/>
        <w:gridCol w:w="872"/>
        <w:gridCol w:w="869"/>
      </w:tblGrid>
      <w:tr>
        <w:trPr>
          <w:trHeight w:val="1337"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56" w:right="71"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9" w:right="71"/>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9" w:right="67"/>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9" w:right="69"/>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1" w:right="67"/>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9" w:right="67"/>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1" w:right="68"/>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9" w:right="67"/>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357" w:hRule="exact"/>
        </w:trPr>
        <w:tc>
          <w:tcPr>
            <w:tcW w:w="867" w:type="dxa"/>
            <w:tcBorders>
              <w:top w:val="single" w:sz="4" w:space="0" w:color="000000"/>
              <w:left w:val="single" w:sz="4" w:space="0" w:color="000000"/>
              <w:bottom w:val="nil" w:sz="6" w:space="0" w:color="auto"/>
              <w:right w:val="single" w:sz="4" w:space="0" w:color="000000"/>
            </w:tcBorders>
          </w:tcPr>
          <w:p>
            <w:pPr/>
          </w:p>
        </w:tc>
        <w:tc>
          <w:tcPr>
            <w:tcW w:w="862" w:type="dxa"/>
            <w:tcBorders>
              <w:top w:val="single" w:sz="4" w:space="0" w:color="000000"/>
              <w:left w:val="single" w:sz="4" w:space="0" w:color="000000"/>
              <w:bottom w:val="nil" w:sz="6" w:space="0" w:color="auto"/>
              <w:right w:val="single" w:sz="4" w:space="0" w:color="000000"/>
            </w:tcBorders>
          </w:tcPr>
          <w:p>
            <w:pPr/>
          </w:p>
        </w:tc>
        <w:tc>
          <w:tcPr>
            <w:tcW w:w="878"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存放在公</w:t>
            </w:r>
          </w:p>
        </w:tc>
        <w:tc>
          <w:tcPr>
            <w:tcW w:w="869" w:type="dxa"/>
            <w:tcBorders>
              <w:top w:val="single" w:sz="4" w:space="0" w:color="000000"/>
              <w:left w:val="single" w:sz="4" w:space="0" w:color="000000"/>
              <w:bottom w:val="nil" w:sz="6" w:space="0" w:color="auto"/>
              <w:right w:val="single" w:sz="4" w:space="0" w:color="000000"/>
            </w:tcBorders>
          </w:tcPr>
          <w:p>
            <w:pPr/>
          </w:p>
        </w:tc>
      </w:tr>
      <w:tr>
        <w:trPr>
          <w:trHeight w:val="623" w:hRule="exact"/>
        </w:trPr>
        <w:tc>
          <w:tcPr>
            <w:tcW w:w="86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314" w:lineRule="auto" w:before="11"/>
              <w:ind w:left="23" w:right="107"/>
              <w:jc w:val="left"/>
              <w:rPr>
                <w:rFonts w:ascii="宋体" w:hAnsi="宋体" w:cs="宋体" w:eastAsia="宋体" w:hint="default"/>
                <w:sz w:val="18"/>
                <w:szCs w:val="18"/>
              </w:rPr>
            </w:pPr>
            <w:r>
              <w:rPr>
                <w:rFonts w:ascii="宋体" w:hAnsi="宋体" w:cs="宋体" w:eastAsia="宋体" w:hint="default"/>
                <w:sz w:val="18"/>
                <w:szCs w:val="18"/>
              </w:rPr>
              <w:t>首次公开 发行股票</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137,867.88</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6,886.90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125,345.98</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12,521.90</w:t>
            </w:r>
            <w:r>
              <w:rPr>
                <w:rFonts w:ascii="Times New Roman"/>
                <w:sz w:val="18"/>
              </w:rPr>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6" w:right="113"/>
              <w:jc w:val="left"/>
              <w:rPr>
                <w:rFonts w:ascii="宋体" w:hAnsi="宋体" w:cs="宋体" w:eastAsia="宋体" w:hint="default"/>
                <w:sz w:val="18"/>
                <w:szCs w:val="18"/>
              </w:rPr>
            </w:pPr>
            <w:r>
              <w:rPr>
                <w:rFonts w:ascii="宋体" w:hAnsi="宋体" w:cs="宋体" w:eastAsia="宋体" w:hint="default"/>
                <w:sz w:val="18"/>
                <w:szCs w:val="18"/>
              </w:rPr>
              <w:t>司的募集 资金专户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12,521.90</w:t>
            </w:r>
            <w:r>
              <w:rPr>
                <w:rFonts w:ascii="Times New Roman"/>
                <w:sz w:val="18"/>
              </w:rPr>
            </w:r>
          </w:p>
        </w:tc>
      </w:tr>
      <w:tr>
        <w:trPr>
          <w:trHeight w:val="360" w:hRule="exact"/>
        </w:trPr>
        <w:tc>
          <w:tcPr>
            <w:tcW w:w="867" w:type="dxa"/>
            <w:tcBorders>
              <w:top w:val="nil" w:sz="6" w:space="0" w:color="auto"/>
              <w:left w:val="single" w:sz="4" w:space="0" w:color="000000"/>
              <w:bottom w:val="single" w:sz="4" w:space="0" w:color="000000"/>
              <w:right w:val="single" w:sz="4" w:space="0" w:color="000000"/>
            </w:tcBorders>
          </w:tcPr>
          <w:p>
            <w:pPr/>
          </w:p>
        </w:tc>
        <w:tc>
          <w:tcPr>
            <w:tcW w:w="862" w:type="dxa"/>
            <w:tcBorders>
              <w:top w:val="nil" w:sz="6" w:space="0" w:color="auto"/>
              <w:left w:val="single" w:sz="4" w:space="0" w:color="000000"/>
              <w:bottom w:val="single" w:sz="4" w:space="0" w:color="000000"/>
              <w:right w:val="single" w:sz="4" w:space="0" w:color="000000"/>
            </w:tcBorders>
          </w:tcPr>
          <w:p>
            <w:pPr/>
          </w:p>
        </w:tc>
        <w:tc>
          <w:tcPr>
            <w:tcW w:w="878"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中</w:t>
            </w:r>
          </w:p>
        </w:tc>
        <w:tc>
          <w:tcPr>
            <w:tcW w:w="869"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867" w:type="dxa"/>
            <w:tcBorders>
              <w:top w:val="single" w:sz="4" w:space="0" w:color="000000"/>
              <w:left w:val="single" w:sz="4" w:space="0" w:color="000000"/>
              <w:bottom w:val="nil" w:sz="6" w:space="0" w:color="auto"/>
              <w:right w:val="single" w:sz="4" w:space="0" w:color="000000"/>
            </w:tcBorders>
          </w:tcPr>
          <w:p>
            <w:pPr/>
          </w:p>
        </w:tc>
        <w:tc>
          <w:tcPr>
            <w:tcW w:w="862" w:type="dxa"/>
            <w:tcBorders>
              <w:top w:val="single" w:sz="4" w:space="0" w:color="000000"/>
              <w:left w:val="single" w:sz="4" w:space="0" w:color="000000"/>
              <w:bottom w:val="nil" w:sz="6" w:space="0" w:color="auto"/>
              <w:right w:val="single" w:sz="4" w:space="0" w:color="000000"/>
            </w:tcBorders>
          </w:tcPr>
          <w:p>
            <w:pPr/>
          </w:p>
        </w:tc>
        <w:tc>
          <w:tcPr>
            <w:tcW w:w="878"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存放在公</w:t>
            </w:r>
          </w:p>
        </w:tc>
        <w:tc>
          <w:tcPr>
            <w:tcW w:w="869"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86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107"/>
              <w:jc w:val="left"/>
              <w:rPr>
                <w:rFonts w:ascii="宋体" w:hAnsi="宋体" w:cs="宋体" w:eastAsia="宋体" w:hint="default"/>
                <w:sz w:val="18"/>
                <w:szCs w:val="18"/>
              </w:rPr>
            </w:pPr>
            <w:r>
              <w:rPr>
                <w:rFonts w:ascii="宋体" w:hAnsi="宋体" w:cs="宋体" w:eastAsia="宋体" w:hint="default"/>
                <w:sz w:val="18"/>
                <w:szCs w:val="18"/>
              </w:rPr>
              <w:t>非公开发 行股票</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332,709.57</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179,590.43</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179,590.43</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153,119.14</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6" w:right="113"/>
              <w:jc w:val="left"/>
              <w:rPr>
                <w:rFonts w:ascii="宋体" w:hAnsi="宋体" w:cs="宋体" w:eastAsia="宋体" w:hint="default"/>
                <w:sz w:val="18"/>
                <w:szCs w:val="18"/>
              </w:rPr>
            </w:pPr>
            <w:r>
              <w:rPr>
                <w:rFonts w:ascii="宋体" w:hAnsi="宋体" w:cs="宋体" w:eastAsia="宋体" w:hint="default"/>
                <w:sz w:val="18"/>
                <w:szCs w:val="18"/>
              </w:rPr>
              <w:t>司的募集 资金专户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r>
      <w:tr>
        <w:trPr>
          <w:trHeight w:val="358" w:hRule="exact"/>
        </w:trPr>
        <w:tc>
          <w:tcPr>
            <w:tcW w:w="867" w:type="dxa"/>
            <w:tcBorders>
              <w:top w:val="nil" w:sz="6" w:space="0" w:color="auto"/>
              <w:left w:val="single" w:sz="4" w:space="0" w:color="000000"/>
              <w:bottom w:val="single" w:sz="4" w:space="0" w:color="000000"/>
              <w:right w:val="single" w:sz="4" w:space="0" w:color="000000"/>
            </w:tcBorders>
          </w:tcPr>
          <w:p>
            <w:pPr/>
          </w:p>
        </w:tc>
        <w:tc>
          <w:tcPr>
            <w:tcW w:w="862" w:type="dxa"/>
            <w:tcBorders>
              <w:top w:val="nil" w:sz="6" w:space="0" w:color="auto"/>
              <w:left w:val="single" w:sz="4" w:space="0" w:color="000000"/>
              <w:bottom w:val="single" w:sz="4" w:space="0" w:color="000000"/>
              <w:right w:val="single" w:sz="4" w:space="0" w:color="000000"/>
            </w:tcBorders>
          </w:tcPr>
          <w:p>
            <w:pPr/>
          </w:p>
        </w:tc>
        <w:tc>
          <w:tcPr>
            <w:tcW w:w="878"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中</w:t>
            </w:r>
          </w:p>
        </w:tc>
        <w:tc>
          <w:tcPr>
            <w:tcW w:w="869"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867" w:type="dxa"/>
            <w:tcBorders>
              <w:top w:val="single" w:sz="4" w:space="0" w:color="000000"/>
              <w:left w:val="single" w:sz="4" w:space="0" w:color="000000"/>
              <w:bottom w:val="nil" w:sz="6" w:space="0" w:color="auto"/>
              <w:right w:val="single" w:sz="4" w:space="0" w:color="000000"/>
            </w:tcBorders>
          </w:tcPr>
          <w:p>
            <w:pPr/>
          </w:p>
        </w:tc>
        <w:tc>
          <w:tcPr>
            <w:tcW w:w="862" w:type="dxa"/>
            <w:tcBorders>
              <w:top w:val="single" w:sz="4" w:space="0" w:color="000000"/>
              <w:left w:val="single" w:sz="4" w:space="0" w:color="000000"/>
              <w:bottom w:val="nil" w:sz="6" w:space="0" w:color="auto"/>
              <w:right w:val="single" w:sz="4" w:space="0" w:color="000000"/>
            </w:tcBorders>
          </w:tcPr>
          <w:p>
            <w:pPr/>
          </w:p>
        </w:tc>
        <w:tc>
          <w:tcPr>
            <w:tcW w:w="878"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存放在公</w:t>
            </w:r>
          </w:p>
        </w:tc>
        <w:tc>
          <w:tcPr>
            <w:tcW w:w="869" w:type="dxa"/>
            <w:tcBorders>
              <w:top w:val="single" w:sz="4" w:space="0" w:color="000000"/>
              <w:left w:val="single" w:sz="4" w:space="0" w:color="000000"/>
              <w:bottom w:val="nil" w:sz="6" w:space="0" w:color="auto"/>
              <w:right w:val="single" w:sz="4" w:space="0" w:color="000000"/>
            </w:tcBorders>
          </w:tcPr>
          <w:p>
            <w:pPr/>
          </w:p>
        </w:tc>
      </w:tr>
      <w:tr>
        <w:trPr>
          <w:trHeight w:val="623" w:hRule="exact"/>
        </w:trPr>
        <w:tc>
          <w:tcPr>
            <w:tcW w:w="86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tc>
        <w:tc>
          <w:tcPr>
            <w:tcW w:w="862" w:type="dxa"/>
            <w:tcBorders>
              <w:top w:val="nil" w:sz="6" w:space="0" w:color="auto"/>
              <w:left w:val="single" w:sz="4" w:space="0" w:color="000000"/>
              <w:bottom w:val="nil" w:sz="6" w:space="0" w:color="auto"/>
              <w:right w:val="single" w:sz="4" w:space="0" w:color="000000"/>
            </w:tcBorders>
          </w:tcPr>
          <w:p>
            <w:pPr>
              <w:pStyle w:val="TableParagraph"/>
              <w:spacing w:line="314" w:lineRule="auto" w:before="11"/>
              <w:ind w:left="23" w:right="107"/>
              <w:jc w:val="left"/>
              <w:rPr>
                <w:rFonts w:ascii="宋体" w:hAnsi="宋体" w:cs="宋体" w:eastAsia="宋体" w:hint="default"/>
                <w:sz w:val="18"/>
                <w:szCs w:val="18"/>
              </w:rPr>
            </w:pPr>
            <w:r>
              <w:rPr>
                <w:rFonts w:ascii="宋体" w:hAnsi="宋体" w:cs="宋体" w:eastAsia="宋体" w:hint="default"/>
                <w:sz w:val="18"/>
                <w:szCs w:val="18"/>
              </w:rPr>
              <w:t>公开发行 公司债券</w:t>
            </w:r>
          </w:p>
        </w:tc>
        <w:tc>
          <w:tcPr>
            <w:tcW w:w="87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w w:val="95"/>
                <w:sz w:val="18"/>
              </w:rPr>
              <w:t>5,000.00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2,985.10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2,985.1</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2,014.90</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6" w:right="113"/>
              <w:jc w:val="left"/>
              <w:rPr>
                <w:rFonts w:ascii="宋体" w:hAnsi="宋体" w:cs="宋体" w:eastAsia="宋体" w:hint="default"/>
                <w:sz w:val="18"/>
                <w:szCs w:val="18"/>
              </w:rPr>
            </w:pPr>
            <w:r>
              <w:rPr>
                <w:rFonts w:ascii="宋体" w:hAnsi="宋体" w:cs="宋体" w:eastAsia="宋体" w:hint="default"/>
                <w:sz w:val="18"/>
                <w:szCs w:val="18"/>
              </w:rPr>
              <w:t>司的募集 资金专户</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r>
      <w:tr>
        <w:trPr>
          <w:trHeight w:val="360" w:hRule="exact"/>
        </w:trPr>
        <w:tc>
          <w:tcPr>
            <w:tcW w:w="867" w:type="dxa"/>
            <w:tcBorders>
              <w:top w:val="nil" w:sz="6" w:space="0" w:color="auto"/>
              <w:left w:val="single" w:sz="4" w:space="0" w:color="000000"/>
              <w:bottom w:val="single" w:sz="4" w:space="0" w:color="000000"/>
              <w:right w:val="single" w:sz="4" w:space="0" w:color="000000"/>
            </w:tcBorders>
          </w:tcPr>
          <w:p>
            <w:pPr/>
          </w:p>
        </w:tc>
        <w:tc>
          <w:tcPr>
            <w:tcW w:w="862" w:type="dxa"/>
            <w:tcBorders>
              <w:top w:val="nil" w:sz="6" w:space="0" w:color="auto"/>
              <w:left w:val="single" w:sz="4" w:space="0" w:color="000000"/>
              <w:bottom w:val="single" w:sz="4" w:space="0" w:color="000000"/>
              <w:right w:val="single" w:sz="4" w:space="0" w:color="000000"/>
            </w:tcBorders>
          </w:tcPr>
          <w:p>
            <w:pPr/>
          </w:p>
        </w:tc>
        <w:tc>
          <w:tcPr>
            <w:tcW w:w="878"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z w:val="18"/>
                <w:szCs w:val="18"/>
              </w:rPr>
              <w:t>中</w:t>
            </w:r>
          </w:p>
        </w:tc>
        <w:tc>
          <w:tcPr>
            <w:tcW w:w="869" w:type="dxa"/>
            <w:tcBorders>
              <w:top w:val="nil" w:sz="6" w:space="0" w:color="auto"/>
              <w:left w:val="single" w:sz="4" w:space="0" w:color="000000"/>
              <w:bottom w:val="single" w:sz="4" w:space="0" w:color="000000"/>
              <w:right w:val="single" w:sz="4" w:space="0" w:color="000000"/>
            </w:tcBorders>
          </w:tcPr>
          <w:p>
            <w:pPr/>
          </w:p>
        </w:tc>
      </w:tr>
      <w:tr>
        <w:trPr>
          <w:trHeight w:val="402" w:hRule="exact"/>
        </w:trPr>
        <w:tc>
          <w:tcPr>
            <w:tcW w:w="8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475,577.45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189,462.43</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307,921.51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167,655.94</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12,521.90</w:t>
            </w:r>
            <w:r>
              <w:rPr>
                <w:rFonts w:ascii="Times New Roman"/>
                <w:sz w:val="18"/>
              </w:rPr>
            </w:r>
          </w:p>
        </w:tc>
      </w:tr>
      <w:tr>
        <w:trPr>
          <w:trHeight w:val="402" w:hRule="exact"/>
        </w:trPr>
        <w:tc>
          <w:tcPr>
            <w:tcW w:w="956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986" w:hRule="exact"/>
        </w:trPr>
        <w:tc>
          <w:tcPr>
            <w:tcW w:w="9566"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4" w:right="17"/>
              <w:jc w:val="both"/>
              <w:rPr>
                <w:rFonts w:ascii="Times New Roman" w:hAnsi="Times New Roman" w:cs="Times New Roman" w:eastAsia="Times New Roman" w:hint="default"/>
                <w:sz w:val="18"/>
                <w:szCs w:val="18"/>
              </w:rPr>
            </w:pPr>
            <w:r>
              <w:rPr>
                <w:rFonts w:ascii="宋体" w:hAnsi="宋体" w:cs="宋体" w:eastAsia="宋体" w:hint="default"/>
                <w:spacing w:val="-4"/>
                <w:sz w:val="18"/>
                <w:szCs w:val="18"/>
              </w:rPr>
              <w:t>一、</w:t>
            </w:r>
            <w:r>
              <w:rPr>
                <w:rFonts w:ascii="Times New Roman" w:hAnsi="Times New Roman" w:cs="Times New Roman" w:eastAsia="Times New Roman" w:hint="default"/>
                <w:spacing w:val="-4"/>
                <w:sz w:val="18"/>
                <w:szCs w:val="18"/>
              </w:rPr>
              <w:t>2010 </w:t>
            </w:r>
            <w:r>
              <w:rPr>
                <w:rFonts w:ascii="宋体" w:hAnsi="宋体" w:cs="宋体" w:eastAsia="宋体" w:hint="default"/>
                <w:sz w:val="18"/>
                <w:szCs w:val="18"/>
              </w:rPr>
              <w:t>年首次公开发行股票募集资金总体使用情况说明 经中国证监会以</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r>
              <w:rPr>
                <w:rFonts w:ascii="Times New Roman" w:hAnsi="Times New Roman" w:cs="Times New Roman" w:eastAsia="Times New Roman" w:hint="default"/>
                <w:sz w:val="18"/>
                <w:szCs w:val="18"/>
              </w:rPr>
              <w:t>[2010]438</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文《关于核准北京四维 </w:t>
            </w:r>
            <w:r>
              <w:rPr>
                <w:rFonts w:ascii="宋体" w:hAnsi="宋体" w:cs="宋体" w:eastAsia="宋体" w:hint="default"/>
                <w:spacing w:val="-1"/>
                <w:sz w:val="18"/>
                <w:szCs w:val="18"/>
              </w:rPr>
              <w:t>图新科技股份有限公司首次公开发行股票的通知》核准，公司与主承销商中信建投证券采用网下询价配售与网上资金申购</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定价发行相结合的方式，向社会公开发行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5,600 </w:t>
            </w:r>
            <w:r>
              <w:rPr>
                <w:rFonts w:ascii="宋体" w:hAnsi="宋体" w:cs="宋体" w:eastAsia="宋体" w:hint="default"/>
                <w:sz w:val="18"/>
                <w:szCs w:val="18"/>
              </w:rPr>
              <w:t>万股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股，每股面值人民币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 </w:t>
            </w:r>
            <w:r>
              <w:rPr>
                <w:rFonts w:ascii="宋体" w:hAnsi="宋体" w:cs="宋体" w:eastAsia="宋体" w:hint="default"/>
                <w:spacing w:val="-3"/>
                <w:sz w:val="18"/>
                <w:szCs w:val="18"/>
              </w:rPr>
              <w:t>元，发行价格为每股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25.60 </w:t>
            </w:r>
            <w:r>
              <w:rPr>
                <w:rFonts w:ascii="宋体" w:hAnsi="宋体" w:cs="宋体" w:eastAsia="宋体" w:hint="default"/>
                <w:spacing w:val="-5"/>
                <w:sz w:val="18"/>
                <w:szCs w:val="18"/>
              </w:rPr>
              <w:t>元。截至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2010</w:t>
            </w:r>
          </w:p>
        </w:tc>
      </w:tr>
    </w:tbl>
    <w:p>
      <w:pPr>
        <w:spacing w:after="0" w:line="309" w:lineRule="auto"/>
        <w:jc w:val="both"/>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6"/>
          <w:szCs w:val="26"/>
        </w:rPr>
      </w:pPr>
    </w:p>
    <w:p>
      <w:pPr>
        <w:pStyle w:val="BodyText"/>
        <w:spacing w:line="240" w:lineRule="auto" w:before="44"/>
        <w:ind w:left="181" w:right="0"/>
        <w:jc w:val="left"/>
      </w:pPr>
      <w:r>
        <w:rPr/>
        <w:pict>
          <v:group style="position:absolute;margin-left:56.400002pt;margin-top:1.071718pt;width:478.8pt;height:362.35pt;mso-position-horizontal-relative:page;mso-position-vertical-relative:paragraph;z-index:-1265800" coordorigin="1128,21" coordsize="9576,7247">
            <v:group style="position:absolute;left:1138;top:31;width:9557;height:2" coordorigin="1138,31" coordsize="9557,2">
              <v:shape style="position:absolute;left:1138;top:31;width:9557;height:2" coordorigin="1138,31" coordsize="9557,0" path="m1138,31l10694,31e" filled="false" stroked="true" strokeweight=".48pt" strokecolor="#000000">
                <v:path arrowok="t"/>
              </v:shape>
            </v:group>
            <v:group style="position:absolute;left:1133;top:26;width:2;height:7238" coordorigin="1133,26" coordsize="2,7238">
              <v:shape style="position:absolute;left:1133;top:26;width:2;height:7238" coordorigin="1133,26" coordsize="0,7238" path="m1133,26l1133,7264e" filled="false" stroked="true" strokeweight=".48pt" strokecolor="#000000">
                <v:path arrowok="t"/>
              </v:shape>
            </v:group>
            <v:group style="position:absolute;left:1138;top:7259;width:9557;height:2" coordorigin="1138,7259" coordsize="9557,2">
              <v:shape style="position:absolute;left:1138;top:7259;width:9557;height:2" coordorigin="1138,7259" coordsize="9557,0" path="m1138,7259l10694,7259e" filled="false" stroked="true" strokeweight=".48001pt" strokecolor="#000000">
                <v:path arrowok="t"/>
              </v:shape>
            </v:group>
            <v:group style="position:absolute;left:10699;top:26;width:2;height:7238" coordorigin="10699,26" coordsize="2,7238">
              <v:shape style="position:absolute;left:10699;top:26;width:2;height:7238" coordorigin="10699,26" coordsize="0,7238" path="m10699,26l10699,7264e" filled="false" stroked="true" strokeweight=".48004pt" strokecolor="#000000">
                <v:path arrowok="t"/>
              </v:shape>
            </v:group>
            <w10:wrap type="none"/>
          </v:group>
        </w:pict>
      </w:r>
      <w:r>
        <w:rPr/>
        <w:t>年</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日，公司实际已向社会公开发行</w:t>
      </w:r>
      <w:r>
        <w:rPr>
          <w:spacing w:val="-46"/>
        </w:rPr>
        <w:t> </w:t>
      </w:r>
      <w:r>
        <w:rPr>
          <w:rFonts w:ascii="Times New Roman" w:hAnsi="Times New Roman" w:cs="Times New Roman" w:eastAsia="Times New Roman" w:hint="default"/>
        </w:rPr>
        <w:t>5,600 </w:t>
      </w:r>
      <w:r>
        <w:rPr/>
        <w:t>万股</w:t>
      </w:r>
      <w:r>
        <w:rPr>
          <w:spacing w:val="-47"/>
        </w:rPr>
        <w:t> </w:t>
      </w:r>
      <w:r>
        <w:rPr>
          <w:rFonts w:ascii="Times New Roman" w:hAnsi="Times New Roman" w:cs="Times New Roman" w:eastAsia="Times New Roman" w:hint="default"/>
        </w:rPr>
        <w:t>A</w:t>
      </w:r>
      <w:r>
        <w:rPr>
          <w:rFonts w:ascii="Times New Roman" w:hAnsi="Times New Roman" w:cs="Times New Roman" w:eastAsia="Times New Roman" w:hint="default"/>
          <w:spacing w:val="-5"/>
        </w:rPr>
        <w:t> </w:t>
      </w:r>
      <w:r>
        <w:rPr/>
        <w:t>股，募集资金总额</w:t>
      </w:r>
      <w:r>
        <w:rPr>
          <w:spacing w:val="-46"/>
        </w:rPr>
        <w:t> </w:t>
      </w:r>
      <w:r>
        <w:rPr>
          <w:rFonts w:ascii="Times New Roman" w:hAnsi="Times New Roman" w:cs="Times New Roman" w:eastAsia="Times New Roman" w:hint="default"/>
        </w:rPr>
        <w:t>143,360.00 </w:t>
      </w:r>
      <w:r>
        <w:rPr/>
        <w:t>万元，扣除发行费用</w:t>
      </w:r>
      <w:r>
        <w:rPr>
          <w:spacing w:val="-46"/>
        </w:rPr>
        <w:t> </w:t>
      </w:r>
      <w:r>
        <w:rPr>
          <w:rFonts w:ascii="Times New Roman" w:hAnsi="Times New Roman" w:cs="Times New Roman" w:eastAsia="Times New Roman" w:hint="default"/>
        </w:rPr>
        <w:t>6,582.70 </w:t>
      </w:r>
      <w:r>
        <w:rPr/>
        <w:t>万元，</w:t>
      </w:r>
    </w:p>
    <w:p>
      <w:pPr>
        <w:pStyle w:val="BodyText"/>
        <w:spacing w:line="240" w:lineRule="auto" w:before="63"/>
        <w:ind w:left="181" w:right="0"/>
        <w:jc w:val="left"/>
      </w:pPr>
      <w:r>
        <w:rPr/>
        <w:t>实际募集资金净额为</w:t>
      </w:r>
      <w:r>
        <w:rPr>
          <w:spacing w:val="-46"/>
        </w:rPr>
        <w:t> </w:t>
      </w:r>
      <w:r>
        <w:rPr>
          <w:rFonts w:ascii="Times New Roman" w:hAnsi="Times New Roman" w:cs="Times New Roman" w:eastAsia="Times New Roman" w:hint="default"/>
        </w:rPr>
        <w:t>136,777.30 </w:t>
      </w:r>
      <w:r>
        <w:rPr/>
        <w:t>万元，已于</w:t>
      </w:r>
      <w:r>
        <w:rPr>
          <w:spacing w:val="-46"/>
        </w:rPr>
        <w:t> </w:t>
      </w:r>
      <w:r>
        <w:rPr>
          <w:rFonts w:ascii="Times New Roman" w:hAnsi="Times New Roman" w:cs="Times New Roman" w:eastAsia="Times New Roman" w:hint="default"/>
        </w:rPr>
        <w:t>2010 </w:t>
      </w:r>
      <w:r>
        <w:rPr/>
        <w:t>年</w:t>
      </w:r>
      <w:r>
        <w:rPr>
          <w:spacing w:val="-49"/>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月</w:t>
      </w:r>
      <w:r>
        <w:rPr>
          <w:spacing w:val="-49"/>
        </w:rPr>
        <w:t> </w:t>
      </w:r>
      <w:r>
        <w:rPr>
          <w:rFonts w:ascii="Times New Roman" w:hAnsi="Times New Roman" w:cs="Times New Roman" w:eastAsia="Times New Roman" w:hint="default"/>
        </w:rPr>
        <w:t>7</w:t>
      </w:r>
      <w:r>
        <w:rPr>
          <w:rFonts w:ascii="Times New Roman" w:hAnsi="Times New Roman" w:cs="Times New Roman" w:eastAsia="Times New Roman" w:hint="default"/>
          <w:spacing w:val="-1"/>
        </w:rPr>
        <w:t> </w:t>
      </w:r>
      <w:r>
        <w:rPr/>
        <w:t>日汇入本公司在相关银行开设的募集资金账户中。根据财政部</w:t>
      </w:r>
    </w:p>
    <w:p>
      <w:pPr>
        <w:pStyle w:val="BodyText"/>
        <w:spacing w:line="240" w:lineRule="auto" w:before="63"/>
        <w:ind w:left="181" w:right="0"/>
        <w:jc w:val="left"/>
        <w:rPr>
          <w:rFonts w:ascii="Times New Roman" w:hAnsi="Times New Roman" w:cs="Times New Roman" w:eastAsia="Times New Roman" w:hint="default"/>
        </w:rPr>
      </w:pPr>
      <w:r>
        <w:rPr/>
        <w:t>《关于执行企业会计准则的上市公司和非上市企业做好</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年年报工作的通知</w:t>
      </w:r>
      <w:r>
        <w:rPr>
          <w:spacing w:val="-113"/>
        </w:rPr>
        <w:t>》</w:t>
      </w:r>
      <w:r>
        <w:rPr/>
        <w:t>（财会</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010</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2"/>
        </w:rPr>
        <w:t>2</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号</w:t>
      </w:r>
      <w:r>
        <w:rPr>
          <w:spacing w:val="-22"/>
        </w:rPr>
        <w:t>）</w:t>
      </w:r>
      <w:r>
        <w:rPr/>
        <w:t>的精神</w:t>
      </w:r>
      <w:r>
        <w:rPr>
          <w:spacing w:val="-22"/>
        </w:rPr>
        <w:t>，</w:t>
      </w:r>
      <w:r>
        <w:rPr/>
        <w:t>公司于</w:t>
      </w:r>
      <w:r>
        <w:rPr>
          <w:spacing w:val="-44"/>
        </w:rPr>
        <w:t> </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0</w:t>
      </w:r>
    </w:p>
    <w:p>
      <w:pPr>
        <w:pStyle w:val="BodyText"/>
        <w:spacing w:line="240" w:lineRule="auto" w:before="63"/>
        <w:ind w:left="181" w:right="0"/>
        <w:jc w:val="left"/>
      </w:pPr>
      <w:r>
        <w:rPr/>
        <w:t>年末对发行费用进行了重新确认，将广告费、路演费、上市酒会等费用</w:t>
      </w:r>
      <w:r>
        <w:rPr>
          <w:spacing w:val="-47"/>
        </w:rPr>
        <w:t> </w:t>
      </w:r>
      <w:r>
        <w:rPr>
          <w:rFonts w:ascii="Times New Roman" w:hAnsi="Times New Roman" w:cs="Times New Roman" w:eastAsia="Times New Roman" w:hint="default"/>
        </w:rPr>
        <w:t>1,090.58</w:t>
      </w:r>
      <w:r>
        <w:rPr>
          <w:rFonts w:ascii="Times New Roman" w:hAnsi="Times New Roman" w:cs="Times New Roman" w:eastAsia="Times New Roman" w:hint="default"/>
          <w:spacing w:val="-2"/>
        </w:rPr>
        <w:t> </w:t>
      </w:r>
      <w:r>
        <w:rPr/>
        <w:t>万元从发行费用中调出，计入当期损益，</w:t>
      </w:r>
    </w:p>
    <w:p>
      <w:pPr>
        <w:pStyle w:val="BodyText"/>
        <w:spacing w:line="240" w:lineRule="auto" w:before="63"/>
        <w:ind w:left="181" w:right="0"/>
        <w:jc w:val="left"/>
      </w:pPr>
      <w:r>
        <w:rPr/>
        <w:t>最终确认的发行费用金额为人民币</w:t>
      </w:r>
      <w:r>
        <w:rPr>
          <w:spacing w:val="-48"/>
        </w:rPr>
        <w:t> </w:t>
      </w:r>
      <w:r>
        <w:rPr>
          <w:rFonts w:ascii="Times New Roman" w:hAnsi="Times New Roman" w:cs="Times New Roman" w:eastAsia="Times New Roman" w:hint="default"/>
        </w:rPr>
        <w:t>5,492.12</w:t>
      </w:r>
      <w:r>
        <w:rPr>
          <w:rFonts w:ascii="Times New Roman" w:hAnsi="Times New Roman" w:cs="Times New Roman" w:eastAsia="Times New Roman" w:hint="default"/>
          <w:spacing w:val="-1"/>
        </w:rPr>
        <w:t> </w:t>
      </w:r>
      <w:r>
        <w:rPr/>
        <w:t>万元，最终确认的募集资金净额为人民币</w:t>
      </w:r>
      <w:r>
        <w:rPr>
          <w:spacing w:val="-49"/>
        </w:rPr>
        <w:t> </w:t>
      </w:r>
      <w:r>
        <w:rPr>
          <w:rFonts w:ascii="Times New Roman" w:hAnsi="Times New Roman" w:cs="Times New Roman" w:eastAsia="Times New Roman" w:hint="default"/>
        </w:rPr>
        <w:t>137,867.88</w:t>
      </w:r>
      <w:r>
        <w:rPr>
          <w:rFonts w:ascii="Times New Roman" w:hAnsi="Times New Roman" w:cs="Times New Roman" w:eastAsia="Times New Roman" w:hint="default"/>
          <w:spacing w:val="-2"/>
        </w:rPr>
        <w:t> </w:t>
      </w:r>
      <w:r>
        <w:rPr>
          <w:spacing w:val="-4"/>
        </w:rPr>
        <w:t>万元。截至</w:t>
      </w:r>
      <w:r>
        <w:rPr>
          <w:spacing w:val="-5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49"/>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p>
    <w:p>
      <w:pPr>
        <w:pStyle w:val="BodyText"/>
        <w:spacing w:line="304" w:lineRule="auto" w:before="63"/>
        <w:ind w:left="181" w:right="259"/>
        <w:jc w:val="both"/>
        <w:rPr>
          <w:rFonts w:ascii="Times New Roman" w:hAnsi="Times New Roman" w:cs="Times New Roman" w:eastAsia="Times New Roman" w:hint="default"/>
        </w:rPr>
      </w:pPr>
      <w:r>
        <w:rPr>
          <w:rFonts w:ascii="Times New Roman" w:hAnsi="Times New Roman" w:cs="Times New Roman" w:eastAsia="Times New Roman" w:hint="default"/>
        </w:rPr>
        <w:t>31 </w:t>
      </w:r>
      <w:r>
        <w:rPr/>
        <w:t>日，募集资金净额结余</w:t>
      </w:r>
      <w:r>
        <w:rPr>
          <w:spacing w:val="-49"/>
        </w:rPr>
        <w:t> </w:t>
      </w:r>
      <w:r>
        <w:rPr>
          <w:rFonts w:ascii="Times New Roman" w:hAnsi="Times New Roman" w:cs="Times New Roman" w:eastAsia="Times New Roman" w:hint="default"/>
        </w:rPr>
        <w:t>12,521.90</w:t>
      </w:r>
      <w:r>
        <w:rPr>
          <w:rFonts w:ascii="Times New Roman" w:hAnsi="Times New Roman" w:cs="Times New Roman" w:eastAsia="Times New Roman" w:hint="default"/>
          <w:spacing w:val="1"/>
        </w:rPr>
        <w:t> </w:t>
      </w:r>
      <w:r>
        <w:rPr/>
        <w:t>万元，与募集资金专户余额</w:t>
      </w:r>
      <w:r>
        <w:rPr>
          <w:spacing w:val="-47"/>
        </w:rPr>
        <w:t> </w:t>
      </w:r>
      <w:r>
        <w:rPr>
          <w:rFonts w:ascii="Times New Roman" w:hAnsi="Times New Roman" w:cs="Times New Roman" w:eastAsia="Times New Roman" w:hint="default"/>
        </w:rPr>
        <w:t>25,905.64 </w:t>
      </w:r>
      <w:r>
        <w:rPr/>
        <w:t>万元，差异</w:t>
      </w:r>
      <w:r>
        <w:rPr>
          <w:spacing w:val="-47"/>
        </w:rPr>
        <w:t> </w:t>
      </w:r>
      <w:r>
        <w:rPr>
          <w:rFonts w:ascii="Times New Roman" w:hAnsi="Times New Roman" w:cs="Times New Roman" w:eastAsia="Times New Roman" w:hint="default"/>
        </w:rPr>
        <w:t>13,383.74 </w:t>
      </w:r>
      <w:r>
        <w:rPr/>
        <w:t>万元，差异为利息收入扣 除银行手续费。</w:t>
      </w:r>
      <w:r>
        <w:rPr>
          <w:spacing w:val="-1"/>
        </w:rPr>
        <w:t> </w:t>
      </w:r>
      <w:r>
        <w:rPr/>
        <w:t>二、</w:t>
      </w:r>
      <w:r>
        <w:rPr>
          <w:rFonts w:ascii="Times New Roman" w:hAnsi="Times New Roman" w:cs="Times New Roman" w:eastAsia="Times New Roman" w:hint="default"/>
        </w:rPr>
        <w:t>2017</w:t>
      </w:r>
      <w:r>
        <w:rPr>
          <w:rFonts w:ascii="Times New Roman" w:hAnsi="Times New Roman" w:cs="Times New Roman" w:eastAsia="Times New Roman" w:hint="default"/>
          <w:spacing w:val="43"/>
        </w:rPr>
        <w:t> </w:t>
      </w:r>
      <w:r>
        <w:rPr/>
        <w:t>年非公开发行股票募集配套资金总体使用情况说明 根据公司</w:t>
      </w:r>
      <w:r>
        <w:rPr>
          <w:spacing w:val="-46"/>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5 </w:t>
      </w:r>
      <w:r>
        <w:rPr/>
        <w:t>月</w:t>
      </w:r>
      <w:r>
        <w:rPr>
          <w:spacing w:val="-46"/>
        </w:rPr>
        <w:t> </w:t>
      </w:r>
      <w:r>
        <w:rPr>
          <w:rFonts w:ascii="Times New Roman" w:hAnsi="Times New Roman" w:cs="Times New Roman" w:eastAsia="Times New Roman" w:hint="default"/>
        </w:rPr>
        <w:t>13</w:t>
      </w:r>
      <w:r>
        <w:rPr>
          <w:rFonts w:ascii="Times New Roman" w:hAnsi="Times New Roman" w:cs="Times New Roman" w:eastAsia="Times New Roman" w:hint="default"/>
          <w:spacing w:val="1"/>
        </w:rPr>
        <w:t> </w:t>
      </w:r>
      <w:r>
        <w:rPr/>
        <w:t>日第三届董事会 第二十一次会议审议通过、</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6 </w:t>
      </w:r>
      <w:r>
        <w:rPr/>
        <w:t>月</w:t>
      </w:r>
      <w:r>
        <w:rPr>
          <w:spacing w:val="-48"/>
        </w:rPr>
        <w:t> </w:t>
      </w:r>
      <w:r>
        <w:rPr>
          <w:rFonts w:ascii="Times New Roman" w:hAnsi="Times New Roman" w:cs="Times New Roman" w:eastAsia="Times New Roman" w:hint="default"/>
        </w:rPr>
        <w:t>7 </w:t>
      </w:r>
      <w:r>
        <w:rPr/>
        <w:t>日</w:t>
      </w:r>
      <w:r>
        <w:rPr>
          <w:spacing w:val="-46"/>
        </w:rPr>
        <w:t> </w:t>
      </w:r>
      <w:r>
        <w:rPr>
          <w:rFonts w:ascii="Times New Roman" w:hAnsi="Times New Roman" w:cs="Times New Roman" w:eastAsia="Times New Roman" w:hint="default"/>
        </w:rPr>
        <w:t>2015</w:t>
      </w:r>
      <w:r>
        <w:rPr>
          <w:rFonts w:ascii="Times New Roman" w:hAnsi="Times New Roman" w:cs="Times New Roman" w:eastAsia="Times New Roman" w:hint="default"/>
          <w:spacing w:val="1"/>
        </w:rPr>
        <w:t> </w:t>
      </w:r>
      <w:r>
        <w:rPr/>
        <w:t>年度股东大会会议审议通过，并经中国证券监督管理委员会《关于核准 </w:t>
      </w:r>
      <w:r>
        <w:rPr>
          <w:spacing w:val="-2"/>
        </w:rPr>
        <w:t>北京四维图新科技股份有限公司向合肥高新科技创业投资有限公司等发行股份购买资产并募集配套资金的批复》（证监许</w:t>
      </w:r>
      <w:r>
        <w:rPr>
          <w:spacing w:val="-76"/>
        </w:rPr>
        <w:t> </w:t>
      </w:r>
      <w:r>
        <w:rPr>
          <w:spacing w:val="-76"/>
        </w:rPr>
      </w:r>
      <w:r>
        <w:rPr/>
        <w:t>可</w:t>
      </w:r>
      <w:r>
        <w:rPr>
          <w:rFonts w:ascii="Times New Roman" w:hAnsi="Times New Roman" w:cs="Times New Roman" w:eastAsia="Times New Roman" w:hint="default"/>
        </w:rPr>
        <w:t>[2017]22</w:t>
      </w:r>
      <w:r>
        <w:rPr>
          <w:rFonts w:ascii="Times New Roman" w:hAnsi="Times New Roman" w:cs="Times New Roman" w:eastAsia="Times New Roman" w:hint="default"/>
          <w:spacing w:val="-1"/>
        </w:rPr>
        <w:t> </w:t>
      </w:r>
      <w:r>
        <w:rPr/>
        <w:t>号）的核准，公司非公开发行不超过</w:t>
      </w:r>
      <w:r>
        <w:rPr>
          <w:spacing w:val="-46"/>
        </w:rPr>
        <w:t> </w:t>
      </w:r>
      <w:r>
        <w:rPr>
          <w:rFonts w:ascii="Times New Roman" w:hAnsi="Times New Roman" w:cs="Times New Roman" w:eastAsia="Times New Roman" w:hint="default"/>
        </w:rPr>
        <w:t>223,266,740</w:t>
      </w:r>
      <w:r>
        <w:rPr>
          <w:rFonts w:ascii="Times New Roman" w:hAnsi="Times New Roman" w:cs="Times New Roman" w:eastAsia="Times New Roman" w:hint="default"/>
          <w:spacing w:val="-2"/>
        </w:rPr>
        <w:t> </w:t>
      </w:r>
      <w:r>
        <w:rPr/>
        <w:t>股新股。其中，公司向合肥高新科技创业投资有限公司等</w:t>
      </w:r>
      <w:r>
        <w:rPr>
          <w:spacing w:val="-46"/>
        </w:rPr>
        <w:t> </w:t>
      </w:r>
      <w:r>
        <w:rPr>
          <w:rFonts w:ascii="Times New Roman" w:hAnsi="Times New Roman" w:cs="Times New Roman" w:eastAsia="Times New Roman" w:hint="default"/>
        </w:rPr>
        <w:t>5</w:t>
      </w:r>
    </w:p>
    <w:p>
      <w:pPr>
        <w:pStyle w:val="BodyText"/>
        <w:spacing w:line="240" w:lineRule="auto" w:before="9"/>
        <w:ind w:left="181" w:right="0"/>
        <w:jc w:val="left"/>
      </w:pPr>
      <w:r>
        <w:rPr/>
        <w:t>位交易对方共计发行</w:t>
      </w:r>
      <w:r>
        <w:rPr>
          <w:spacing w:val="-65"/>
        </w:rPr>
        <w:t> </w:t>
      </w:r>
      <w:r>
        <w:rPr>
          <w:rFonts w:ascii="Times New Roman" w:hAnsi="Times New Roman" w:cs="Times New Roman" w:eastAsia="Times New Roman" w:hint="default"/>
        </w:rPr>
        <w:t>19,418,723</w:t>
      </w:r>
      <w:r>
        <w:rPr>
          <w:rFonts w:ascii="Times New Roman" w:hAnsi="Times New Roman" w:cs="Times New Roman" w:eastAsia="Times New Roman" w:hint="default"/>
          <w:spacing w:val="-19"/>
        </w:rPr>
        <w:t> </w:t>
      </w:r>
      <w:r>
        <w:rPr/>
        <w:t>股新股购买其持有的合肥杰发科技有限公司（原名杰发科技（合肥）有限公司，以下简称</w:t>
      </w:r>
    </w:p>
    <w:p>
      <w:pPr>
        <w:pStyle w:val="BodyText"/>
        <w:spacing w:line="240" w:lineRule="auto" w:before="63"/>
        <w:ind w:left="181" w:right="0"/>
        <w:jc w:val="left"/>
      </w:pPr>
      <w:r>
        <w:rPr/>
        <w:t>杰发科技）股权。公司本次非公开发行现金认购部分实际发行数量为</w:t>
      </w:r>
      <w:r>
        <w:rPr>
          <w:spacing w:val="-54"/>
        </w:rPr>
        <w:t> </w:t>
      </w:r>
      <w:r>
        <w:rPr>
          <w:rFonts w:ascii="Times New Roman" w:hAnsi="Times New Roman" w:cs="Times New Roman" w:eastAsia="Times New Roman" w:hint="default"/>
        </w:rPr>
        <w:t>196,923,025</w:t>
      </w:r>
      <w:r>
        <w:rPr>
          <w:rFonts w:ascii="Times New Roman" w:hAnsi="Times New Roman" w:cs="Times New Roman" w:eastAsia="Times New Roman" w:hint="default"/>
          <w:spacing w:val="-9"/>
        </w:rPr>
        <w:t> </w:t>
      </w:r>
      <w:r>
        <w:rPr>
          <w:spacing w:val="-3"/>
        </w:rPr>
        <w:t>股新股，股票的每股面值人民币</w:t>
      </w:r>
      <w:r>
        <w:rPr>
          <w:spacing w:val="-55"/>
        </w:rPr>
        <w:t> </w:t>
      </w:r>
      <w:r>
        <w:rPr>
          <w:rFonts w:ascii="Times New Roman" w:hAnsi="Times New Roman" w:cs="Times New Roman" w:eastAsia="Times New Roman" w:hint="default"/>
        </w:rPr>
        <w:t>1.00</w:t>
      </w:r>
      <w:r>
        <w:rPr>
          <w:rFonts w:ascii="Times New Roman" w:hAnsi="Times New Roman" w:cs="Times New Roman" w:eastAsia="Times New Roman" w:hint="default"/>
          <w:spacing w:val="-9"/>
        </w:rPr>
        <w:t> </w:t>
      </w:r>
      <w:r>
        <w:rPr>
          <w:spacing w:val="-3"/>
        </w:rPr>
        <w:t>元，</w:t>
      </w:r>
      <w:r>
        <w:rPr/>
      </w:r>
    </w:p>
    <w:p>
      <w:pPr>
        <w:pStyle w:val="BodyText"/>
        <w:spacing w:line="240" w:lineRule="auto" w:before="63"/>
        <w:ind w:left="181" w:right="0"/>
        <w:jc w:val="left"/>
      </w:pPr>
      <w:r>
        <w:rPr/>
        <w:t>发行价格为每股人民币</w:t>
      </w:r>
      <w:r>
        <w:rPr>
          <w:spacing w:val="-52"/>
        </w:rPr>
        <w:t> </w:t>
      </w:r>
      <w:r>
        <w:rPr>
          <w:rFonts w:ascii="Times New Roman" w:hAnsi="Times New Roman" w:cs="Times New Roman" w:eastAsia="Times New Roman" w:hint="default"/>
        </w:rPr>
        <w:t>17.02</w:t>
      </w:r>
      <w:r>
        <w:rPr>
          <w:rFonts w:ascii="Times New Roman" w:hAnsi="Times New Roman" w:cs="Times New Roman" w:eastAsia="Times New Roman" w:hint="default"/>
          <w:spacing w:val="27"/>
        </w:rPr>
        <w:t> </w:t>
      </w:r>
      <w:r>
        <w:rPr/>
        <w:t>元，募集资金总额为人民币</w:t>
      </w:r>
      <w:r>
        <w:rPr>
          <w:spacing w:val="-52"/>
        </w:rPr>
        <w:t> </w:t>
      </w:r>
      <w:r>
        <w:rPr>
          <w:rFonts w:ascii="Times New Roman" w:hAnsi="Times New Roman" w:cs="Times New Roman" w:eastAsia="Times New Roman" w:hint="default"/>
        </w:rPr>
        <w:t>335,163.00</w:t>
      </w:r>
      <w:r>
        <w:rPr>
          <w:rFonts w:ascii="Times New Roman" w:hAnsi="Times New Roman" w:cs="Times New Roman" w:eastAsia="Times New Roman" w:hint="default"/>
          <w:spacing w:val="-6"/>
        </w:rPr>
        <w:t> </w:t>
      </w:r>
      <w:r>
        <w:rPr/>
        <w:t>万元，募集资金总额扣除承销费用以及累计发生的其</w:t>
      </w:r>
    </w:p>
    <w:p>
      <w:pPr>
        <w:pStyle w:val="BodyText"/>
        <w:spacing w:line="240" w:lineRule="auto" w:before="63"/>
        <w:ind w:left="181" w:right="0"/>
        <w:jc w:val="left"/>
      </w:pPr>
      <w:r>
        <w:rPr/>
        <w:t>他发行费用共计</w:t>
      </w:r>
      <w:r>
        <w:rPr>
          <w:spacing w:val="-46"/>
        </w:rPr>
        <w:t> </w:t>
      </w:r>
      <w:r>
        <w:rPr>
          <w:rFonts w:ascii="Times New Roman" w:hAnsi="Times New Roman" w:cs="Times New Roman" w:eastAsia="Times New Roman" w:hint="default"/>
        </w:rPr>
        <w:t>24,534,341.75</w:t>
      </w:r>
      <w:r>
        <w:rPr>
          <w:rFonts w:ascii="Times New Roman" w:hAnsi="Times New Roman" w:cs="Times New Roman" w:eastAsia="Times New Roman" w:hint="default"/>
          <w:spacing w:val="-2"/>
        </w:rPr>
        <w:t> </w:t>
      </w:r>
      <w:r>
        <w:rPr/>
        <w:t>元后，募集资金净额为人民币</w:t>
      </w:r>
      <w:r>
        <w:rPr>
          <w:spacing w:val="-46"/>
        </w:rPr>
        <w:t> </w:t>
      </w:r>
      <w:r>
        <w:rPr>
          <w:rFonts w:ascii="Times New Roman" w:hAnsi="Times New Roman" w:cs="Times New Roman" w:eastAsia="Times New Roman" w:hint="default"/>
        </w:rPr>
        <w:t>3,327,095,658.25</w:t>
      </w:r>
      <w:r>
        <w:rPr>
          <w:rFonts w:ascii="Times New Roman" w:hAnsi="Times New Roman" w:cs="Times New Roman" w:eastAsia="Times New Roman" w:hint="default"/>
          <w:spacing w:val="1"/>
        </w:rPr>
        <w:t> </w:t>
      </w:r>
      <w:r>
        <w:rPr/>
        <w:t>元，已于</w:t>
      </w:r>
      <w:r>
        <w:rPr>
          <w:spacing w:val="-49"/>
        </w:rPr>
        <w:t> </w:t>
      </w:r>
      <w:r>
        <w:rPr>
          <w:rFonts w:ascii="Times New Roman" w:hAnsi="Times New Roman" w:cs="Times New Roman" w:eastAsia="Times New Roman" w:hint="default"/>
        </w:rPr>
        <w:t>2017 </w:t>
      </w:r>
      <w:r>
        <w:rPr/>
        <w:t>年</w:t>
      </w:r>
      <w:r>
        <w:rPr>
          <w:spacing w:val="-49"/>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10 </w:t>
      </w:r>
      <w:r>
        <w:rPr/>
        <w:t>日汇入本公司在相</w:t>
      </w:r>
    </w:p>
    <w:p>
      <w:pPr>
        <w:pStyle w:val="BodyText"/>
        <w:spacing w:line="300" w:lineRule="auto" w:before="63"/>
        <w:ind w:left="181" w:right="233"/>
        <w:jc w:val="left"/>
      </w:pPr>
      <w:r>
        <w:rPr/>
        <w:t>关银行开设的募集资金账户中。截至</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3"/>
        </w:rPr>
        <w:t> </w:t>
      </w:r>
      <w:r>
        <w:rPr/>
        <w:t>年</w:t>
      </w:r>
      <w:r>
        <w:rPr>
          <w:spacing w:val="-47"/>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日，非公开发行股票募集资金净额结余</w:t>
      </w:r>
      <w:r>
        <w:rPr>
          <w:spacing w:val="-47"/>
        </w:rPr>
        <w:t> </w:t>
      </w:r>
      <w:r>
        <w:rPr>
          <w:rFonts w:ascii="Times New Roman" w:hAnsi="Times New Roman" w:cs="Times New Roman" w:eastAsia="Times New Roman" w:hint="default"/>
        </w:rPr>
        <w:t>153,119.14 </w:t>
      </w:r>
      <w:r>
        <w:rPr/>
        <w:t>万元，与募集资 金专户余额</w:t>
      </w:r>
      <w:r>
        <w:rPr>
          <w:spacing w:val="-50"/>
        </w:rPr>
        <w:t> </w:t>
      </w:r>
      <w:r>
        <w:rPr>
          <w:rFonts w:ascii="Times New Roman" w:hAnsi="Times New Roman" w:cs="Times New Roman" w:eastAsia="Times New Roman" w:hint="default"/>
        </w:rPr>
        <w:t>153,658.52</w:t>
      </w:r>
      <w:r>
        <w:rPr>
          <w:rFonts w:ascii="Times New Roman" w:hAnsi="Times New Roman" w:cs="Times New Roman" w:eastAsia="Times New Roman" w:hint="default"/>
          <w:spacing w:val="-4"/>
        </w:rPr>
        <w:t> </w:t>
      </w:r>
      <w:r>
        <w:rPr/>
        <w:t>万元，差异</w:t>
      </w:r>
      <w:r>
        <w:rPr>
          <w:spacing w:val="-51"/>
        </w:rPr>
        <w:t> </w:t>
      </w:r>
      <w:r>
        <w:rPr>
          <w:rFonts w:ascii="Times New Roman" w:hAnsi="Times New Roman" w:cs="Times New Roman" w:eastAsia="Times New Roman" w:hint="default"/>
        </w:rPr>
        <w:t>539.38</w:t>
      </w:r>
      <w:r>
        <w:rPr>
          <w:rFonts w:ascii="Times New Roman" w:hAnsi="Times New Roman" w:cs="Times New Roman" w:eastAsia="Times New Roman" w:hint="default"/>
          <w:spacing w:val="-3"/>
        </w:rPr>
        <w:t> </w:t>
      </w:r>
      <w:r>
        <w:rPr/>
        <w:t>万元，差异为利息收入扣除银行手续费。</w:t>
      </w:r>
      <w:r>
        <w:rPr>
          <w:spacing w:val="-17"/>
        </w:rPr>
        <w:t> </w:t>
      </w:r>
      <w:r>
        <w:rPr/>
        <w:t>三、</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年面向合格投资者公开发行 公司债券（第一期）募集资金总体使用情况说明 中国证券监督管理委员会</w:t>
      </w:r>
      <w:r>
        <w:rPr>
          <w:rFonts w:ascii="Times New Roman" w:hAnsi="Times New Roman" w:cs="Times New Roman" w:eastAsia="Times New Roman" w:hint="default"/>
        </w:rPr>
        <w:t>“</w:t>
      </w:r>
      <w:r>
        <w:rPr/>
        <w:t>证监许可 </w:t>
      </w:r>
      <w:r>
        <w:rPr>
          <w:rFonts w:ascii="Times New Roman" w:hAnsi="Times New Roman" w:cs="Times New Roman" w:eastAsia="Times New Roman" w:hint="default"/>
        </w:rPr>
        <w:t>[2016]3158</w:t>
      </w:r>
      <w:r>
        <w:rPr>
          <w:rFonts w:ascii="Times New Roman" w:hAnsi="Times New Roman" w:cs="Times New Roman" w:eastAsia="Times New Roman" w:hint="default"/>
          <w:spacing w:val="7"/>
        </w:rPr>
        <w:t> </w:t>
      </w:r>
      <w:r>
        <w:rPr/>
        <w:t>号</w:t>
      </w:r>
      <w:r>
        <w:rPr>
          <w:rFonts w:ascii="Times New Roman" w:hAnsi="Times New Roman" w:cs="Times New Roman" w:eastAsia="Times New Roman" w:hint="default"/>
        </w:rPr>
        <w:t>”</w:t>
      </w:r>
      <w:r>
        <w:rPr/>
        <w:t>号文核准面向合格投 资者公开发行面值不超过 </w:t>
      </w:r>
      <w:r>
        <w:rPr>
          <w:rFonts w:ascii="Times New Roman" w:hAnsi="Times New Roman" w:cs="Times New Roman" w:eastAsia="Times New Roman" w:hint="default"/>
        </w:rPr>
        <w:t>12 </w:t>
      </w:r>
      <w:r>
        <w:rPr/>
        <w:t>亿元（含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亿元）的公司债券。本次债券采取分期发行的方式，其中首期发行债券发行规</w:t>
      </w:r>
    </w:p>
    <w:p>
      <w:pPr>
        <w:pStyle w:val="BodyText"/>
        <w:spacing w:line="240" w:lineRule="auto" w:before="13"/>
        <w:ind w:left="181" w:right="0"/>
        <w:jc w:val="left"/>
      </w:pPr>
      <w:r>
        <w:rPr/>
        <w:t>模为</w:t>
      </w:r>
      <w:r>
        <w:rPr>
          <w:spacing w:val="-51"/>
        </w:rPr>
        <w:t> </w:t>
      </w:r>
      <w:r>
        <w:rPr>
          <w:rFonts w:ascii="Times New Roman" w:hAnsi="Times New Roman" w:cs="Times New Roman" w:eastAsia="Times New Roman" w:hint="default"/>
        </w:rPr>
        <w:t>5,000.00</w:t>
      </w:r>
      <w:r>
        <w:rPr>
          <w:rFonts w:ascii="Times New Roman" w:hAnsi="Times New Roman" w:cs="Times New Roman" w:eastAsia="Times New Roman" w:hint="default"/>
          <w:spacing w:val="-5"/>
        </w:rPr>
        <w:t> </w:t>
      </w:r>
      <w:r>
        <w:rPr/>
        <w:t>万元，首期自中国证监会核准发行之日起</w:t>
      </w:r>
      <w:r>
        <w:rPr>
          <w:spacing w:val="-12"/>
        </w:rPr>
        <w:t> </w:t>
      </w:r>
      <w:r>
        <w:rPr>
          <w:rFonts w:ascii="Times New Roman" w:hAnsi="Times New Roman" w:cs="Times New Roman" w:eastAsia="Times New Roman" w:hint="default"/>
        </w:rPr>
        <w:t>12</w:t>
      </w:r>
      <w:r>
        <w:rPr>
          <w:rFonts w:ascii="Times New Roman" w:hAnsi="Times New Roman" w:cs="Times New Roman" w:eastAsia="Times New Roman" w:hint="default"/>
          <w:spacing w:val="30"/>
        </w:rPr>
        <w:t> </w:t>
      </w:r>
      <w:r>
        <w:rPr/>
        <w:t>个月内完成，其余各期债券发行，自中国证监会核准发行之日</w:t>
      </w:r>
    </w:p>
    <w:p>
      <w:pPr>
        <w:pStyle w:val="BodyText"/>
        <w:spacing w:line="240" w:lineRule="auto" w:before="63"/>
        <w:ind w:left="181" w:right="0"/>
        <w:jc w:val="left"/>
      </w:pPr>
      <w:r>
        <w:rPr/>
        <w:t>起</w:t>
      </w:r>
      <w:r>
        <w:rPr>
          <w:spacing w:val="1"/>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4  </w:t>
      </w:r>
      <w:r>
        <w:rPr/>
        <w:t>个</w:t>
      </w:r>
      <w:r>
        <w:rPr>
          <w:spacing w:val="-1"/>
        </w:rPr>
        <w:t>月</w:t>
      </w:r>
      <w:r>
        <w:rPr/>
        <w:t>内完成</w:t>
      </w:r>
      <w:r>
        <w:rPr>
          <w:spacing w:val="-8"/>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1</w:t>
      </w:r>
      <w:r>
        <w:rPr>
          <w:rFonts w:ascii="Times New Roman" w:hAnsi="Times New Roman" w:cs="Times New Roman" w:eastAsia="Times New Roman" w:hint="default"/>
        </w:rPr>
        <w:t>7  </w:t>
      </w:r>
      <w:r>
        <w:rPr/>
        <w:t>年</w:t>
      </w:r>
      <w:r>
        <w:rPr>
          <w:spacing w:val="1"/>
        </w:rPr>
        <w:t> </w:t>
      </w:r>
      <w:r>
        <w:rPr>
          <w:rFonts w:ascii="Times New Roman" w:hAnsi="Times New Roman" w:cs="Times New Roman" w:eastAsia="Times New Roman" w:hint="default"/>
          <w:spacing w:val="-9"/>
        </w:rPr>
        <w:t>1</w:t>
      </w:r>
      <w:r>
        <w:rPr>
          <w:rFonts w:ascii="Times New Roman" w:hAnsi="Times New Roman" w:cs="Times New Roman" w:eastAsia="Times New Roman" w:hint="default"/>
        </w:rPr>
        <w:t>1 </w:t>
      </w:r>
      <w:r>
        <w:rPr>
          <w:rFonts w:ascii="Times New Roman" w:hAnsi="Times New Roman" w:cs="Times New Roman" w:eastAsia="Times New Roman" w:hint="default"/>
          <w:spacing w:val="2"/>
        </w:rPr>
        <w:t> </w:t>
      </w:r>
      <w:r>
        <w:rPr/>
        <w:t>月</w:t>
      </w:r>
      <w:r>
        <w:rPr>
          <w:spacing w:val="-1"/>
        </w:rPr>
        <w:t> </w:t>
      </w:r>
      <w:r>
        <w:rPr>
          <w:rFonts w:ascii="Times New Roman" w:hAnsi="Times New Roman" w:cs="Times New Roman" w:eastAsia="Times New Roman" w:hint="default"/>
          <w:spacing w:val="1"/>
        </w:rPr>
        <w:t>2</w:t>
      </w:r>
      <w:r>
        <w:rPr>
          <w:rFonts w:ascii="Times New Roman" w:hAnsi="Times New Roman" w:cs="Times New Roman" w:eastAsia="Times New Roman" w:hint="default"/>
        </w:rPr>
        <w:t>4  </w:t>
      </w:r>
      <w:r>
        <w:rPr/>
        <w:t>日</w:t>
      </w:r>
      <w:r>
        <w:rPr>
          <w:spacing w:val="-5"/>
        </w:rPr>
        <w:t>，</w:t>
      </w:r>
      <w:r>
        <w:rPr/>
        <w:t>公司公开发行</w:t>
      </w:r>
      <w:r>
        <w:rPr>
          <w:spacing w:val="-3"/>
        </w:rPr>
        <w:t>公</w:t>
      </w:r>
      <w:r>
        <w:rPr/>
        <w:t>司债</w:t>
      </w:r>
      <w:r>
        <w:rPr>
          <w:spacing w:val="-5"/>
        </w:rPr>
        <w:t>券</w:t>
      </w:r>
      <w:r>
        <w:rPr/>
        <w:t>（第一期</w:t>
      </w:r>
      <w:r>
        <w:rPr>
          <w:spacing w:val="-92"/>
        </w:rPr>
        <w:t>）</w:t>
      </w:r>
      <w:r>
        <w:rPr>
          <w:spacing w:val="-5"/>
        </w:rPr>
        <w:t>，</w:t>
      </w:r>
      <w:r>
        <w:rPr/>
        <w:t>募集资金总额</w:t>
      </w:r>
      <w:r>
        <w:rPr>
          <w:spacing w:val="-44"/>
        </w:rPr>
        <w:t> </w:t>
      </w:r>
      <w:r>
        <w:rPr>
          <w:rFonts w:ascii="Times New Roman" w:hAnsi="Times New Roman" w:cs="Times New Roman" w:eastAsia="Times New Roman" w:hint="default"/>
          <w:spacing w:val="1"/>
        </w:rPr>
        <w:t>5</w:t>
      </w:r>
      <w:r>
        <w:rPr>
          <w:rFonts w:ascii="Times New Roman" w:hAnsi="Times New Roman" w:cs="Times New Roman" w:eastAsia="Times New Roman" w:hint="default"/>
          <w:spacing w:val="-2"/>
        </w:rPr>
        <w:t>0</w:t>
      </w:r>
      <w:r>
        <w:rPr>
          <w:rFonts w:ascii="Times New Roman" w:hAnsi="Times New Roman" w:cs="Times New Roman" w:eastAsia="Times New Roman" w:hint="default"/>
          <w:spacing w:val="1"/>
        </w:rPr>
        <w:t>00</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0</w:t>
      </w:r>
      <w:r>
        <w:rPr>
          <w:rFonts w:ascii="Times New Roman" w:hAnsi="Times New Roman" w:cs="Times New Roman" w:eastAsia="Times New Roman" w:hint="default"/>
        </w:rPr>
        <w:t>0 </w:t>
      </w:r>
      <w:r>
        <w:rPr>
          <w:rFonts w:ascii="Times New Roman" w:hAnsi="Times New Roman" w:cs="Times New Roman" w:eastAsia="Times New Roman" w:hint="default"/>
          <w:spacing w:val="1"/>
        </w:rPr>
        <w:t> </w:t>
      </w:r>
      <w:r>
        <w:rPr/>
        <w:t>万元</w:t>
      </w:r>
      <w:r>
        <w:rPr>
          <w:spacing w:val="-5"/>
        </w:rPr>
        <w:t>，</w:t>
      </w:r>
      <w:r>
        <w:rPr/>
        <w:t>扣除发行费</w:t>
      </w:r>
    </w:p>
    <w:p>
      <w:pPr>
        <w:pStyle w:val="BodyText"/>
        <w:spacing w:line="240" w:lineRule="auto" w:before="63"/>
        <w:ind w:left="181" w:right="0"/>
        <w:jc w:val="left"/>
      </w:pPr>
      <w:r>
        <w:rPr/>
        <w:t>用后，募集资金净额</w:t>
      </w:r>
      <w:r>
        <w:rPr>
          <w:spacing w:val="-6"/>
        </w:rPr>
        <w:t> </w:t>
      </w:r>
      <w:r>
        <w:rPr>
          <w:rFonts w:ascii="Times New Roman" w:hAnsi="Times New Roman" w:cs="Times New Roman" w:eastAsia="Times New Roman" w:hint="default"/>
        </w:rPr>
        <w:t>5000.00</w:t>
      </w:r>
      <w:r>
        <w:rPr>
          <w:rFonts w:ascii="Times New Roman" w:hAnsi="Times New Roman" w:cs="Times New Roman" w:eastAsia="Times New Roman" w:hint="default"/>
          <w:spacing w:val="-4"/>
        </w:rPr>
        <w:t> </w:t>
      </w:r>
      <w:r>
        <w:rPr/>
        <w:t>万元，已于</w:t>
      </w:r>
      <w:r>
        <w:rPr>
          <w:spacing w:val="-48"/>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r>
        <w:rPr>
          <w:spacing w:val="-49"/>
        </w:rPr>
        <w:t> </w:t>
      </w:r>
      <w:r>
        <w:rPr>
          <w:rFonts w:ascii="Times New Roman" w:hAnsi="Times New Roman" w:cs="Times New Roman" w:eastAsia="Times New Roman" w:hint="default"/>
          <w:spacing w:val="-5"/>
        </w:rPr>
        <w:t>11</w:t>
      </w:r>
      <w:r>
        <w:rPr>
          <w:rFonts w:ascii="Times New Roman" w:hAnsi="Times New Roman" w:cs="Times New Roman" w:eastAsia="Times New Roman" w:hint="default"/>
          <w:spacing w:val="-3"/>
        </w:rPr>
        <w:t> </w:t>
      </w:r>
      <w:r>
        <w:rPr/>
        <w:t>月</w:t>
      </w:r>
      <w:r>
        <w:rPr>
          <w:spacing w:val="-50"/>
        </w:rPr>
        <w:t> </w:t>
      </w:r>
      <w:r>
        <w:rPr>
          <w:rFonts w:ascii="Times New Roman" w:hAnsi="Times New Roman" w:cs="Times New Roman" w:eastAsia="Times New Roman" w:hint="default"/>
        </w:rPr>
        <w:t>24</w:t>
      </w:r>
      <w:r>
        <w:rPr>
          <w:rFonts w:ascii="Times New Roman" w:hAnsi="Times New Roman" w:cs="Times New Roman" w:eastAsia="Times New Roman" w:hint="default"/>
          <w:spacing w:val="-3"/>
        </w:rPr>
        <w:t> </w:t>
      </w:r>
      <w:r>
        <w:rPr/>
        <w:t>日汇入本公司在相关银行开设的募集资金账户中。截至</w:t>
      </w:r>
      <w:r>
        <w:rPr>
          <w:spacing w:val="-48"/>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w:t>
      </w:r>
    </w:p>
    <w:p>
      <w:pPr>
        <w:pStyle w:val="BodyText"/>
        <w:spacing w:line="300" w:lineRule="auto" w:before="63"/>
        <w:ind w:left="181" w:right="0"/>
        <w:jc w:val="left"/>
      </w:pP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1"/>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日，募集资金净额结余</w:t>
      </w:r>
      <w:r>
        <w:rPr>
          <w:spacing w:val="-49"/>
        </w:rPr>
        <w:t> </w:t>
      </w:r>
      <w:r>
        <w:rPr>
          <w:rFonts w:ascii="Times New Roman" w:hAnsi="Times New Roman" w:cs="Times New Roman" w:eastAsia="Times New Roman" w:hint="default"/>
        </w:rPr>
        <w:t>2,014.90</w:t>
      </w:r>
      <w:r>
        <w:rPr>
          <w:rFonts w:ascii="Times New Roman" w:hAnsi="Times New Roman" w:cs="Times New Roman" w:eastAsia="Times New Roman" w:hint="default"/>
          <w:spacing w:val="-2"/>
        </w:rPr>
        <w:t> </w:t>
      </w:r>
      <w:r>
        <w:rPr/>
        <w:t>万元，与募集资金专户余额</w:t>
      </w:r>
      <w:r>
        <w:rPr>
          <w:spacing w:val="-49"/>
        </w:rPr>
        <w:t> </w:t>
      </w:r>
      <w:r>
        <w:rPr>
          <w:rFonts w:ascii="Times New Roman" w:hAnsi="Times New Roman" w:cs="Times New Roman" w:eastAsia="Times New Roman" w:hint="default"/>
        </w:rPr>
        <w:t>2,016.00</w:t>
      </w:r>
      <w:r>
        <w:rPr>
          <w:rFonts w:ascii="Times New Roman" w:hAnsi="Times New Roman" w:cs="Times New Roman" w:eastAsia="Times New Roman" w:hint="default"/>
          <w:spacing w:val="-2"/>
        </w:rPr>
        <w:t> </w:t>
      </w:r>
      <w:r>
        <w:rPr>
          <w:spacing w:val="-3"/>
        </w:rPr>
        <w:t>万元，差异</w:t>
      </w:r>
      <w:r>
        <w:rPr>
          <w:spacing w:val="-51"/>
        </w:rPr>
        <w:t> </w:t>
      </w:r>
      <w:r>
        <w:rPr>
          <w:rFonts w:ascii="Times New Roman" w:hAnsi="Times New Roman" w:cs="Times New Roman" w:eastAsia="Times New Roman" w:hint="default"/>
        </w:rPr>
        <w:t>1.10</w:t>
      </w:r>
      <w:r>
        <w:rPr>
          <w:rFonts w:ascii="Times New Roman" w:hAnsi="Times New Roman" w:cs="Times New Roman" w:eastAsia="Times New Roman" w:hint="default"/>
          <w:spacing w:val="-3"/>
        </w:rPr>
        <w:t> </w:t>
      </w:r>
      <w:r>
        <w:rPr/>
        <w:t>万元，差异为利息收入扣除 银行手续费。</w:t>
      </w:r>
    </w:p>
    <w:p>
      <w:pPr>
        <w:spacing w:line="240" w:lineRule="auto" w:before="11"/>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20"/>
          <w:szCs w:val="20"/>
        </w:rPr>
      </w:pPr>
    </w:p>
    <w:p>
      <w:pPr>
        <w:pStyle w:val="Heading5"/>
        <w:spacing w:line="240" w:lineRule="auto"/>
        <w:ind w:left="2706" w:right="0"/>
        <w:jc w:val="left"/>
        <w:rPr>
          <w:b w:val="0"/>
          <w:bCs w:val="0"/>
        </w:rPr>
      </w:pPr>
      <w:r>
        <w:rPr/>
        <w:t>首次公开发行募集资金</w:t>
      </w:r>
      <w:r>
        <w:rPr>
          <w:spacing w:val="-52"/>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年度使用情况对照表</w:t>
      </w:r>
      <w:r>
        <w:rPr>
          <w:b w:val="0"/>
          <w:bCs w:val="0"/>
        </w:rPr>
      </w:r>
    </w:p>
    <w:p>
      <w:pPr>
        <w:spacing w:line="240" w:lineRule="auto" w:before="6"/>
        <w:rPr>
          <w:rFonts w:ascii="宋体" w:hAnsi="宋体" w:cs="宋体" w:eastAsia="宋体" w:hint="default"/>
          <w:b/>
          <w:bCs/>
          <w:sz w:val="10"/>
          <w:szCs w:val="10"/>
        </w:rPr>
      </w:pPr>
    </w:p>
    <w:p>
      <w:pPr>
        <w:pStyle w:val="BodyText"/>
        <w:spacing w:line="240" w:lineRule="auto" w:before="44"/>
        <w:ind w:left="0" w:right="151"/>
        <w:jc w:val="right"/>
      </w:pPr>
      <w:r>
        <w:rPr/>
        <w:t>单位：万元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33"/>
        <w:gridCol w:w="677"/>
        <w:gridCol w:w="853"/>
        <w:gridCol w:w="850"/>
        <w:gridCol w:w="852"/>
        <w:gridCol w:w="850"/>
        <w:gridCol w:w="991"/>
        <w:gridCol w:w="852"/>
        <w:gridCol w:w="850"/>
        <w:gridCol w:w="425"/>
        <w:gridCol w:w="708"/>
      </w:tblGrid>
      <w:tr>
        <w:trPr>
          <w:trHeight w:val="1652"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18" w:right="34" w:hanging="452"/>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79" w:right="47"/>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60" w:right="62"/>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45" w:right="41" w:firstLine="14"/>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9" w:right="60"/>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59" w:right="58"/>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28" w:lineRule="auto" w:before="125"/>
              <w:ind w:left="26" w:right="23" w:hanging="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截至期末投 资进度</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59" w:right="60"/>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59" w:right="58"/>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8" w:right="24"/>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1" w:hRule="exact"/>
        </w:trPr>
        <w:tc>
          <w:tcPr>
            <w:tcW w:w="964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5"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第二代导航电子地图 生产平台开发项目</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9"/>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11,450.00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11,450.00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11,450.00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81,276.72</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5"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both"/>
              <w:rPr>
                <w:rFonts w:ascii="宋体" w:hAnsi="宋体" w:cs="宋体" w:eastAsia="宋体" w:hint="default"/>
                <w:sz w:val="18"/>
                <w:szCs w:val="18"/>
              </w:rPr>
            </w:pPr>
            <w:r>
              <w:rPr>
                <w:rFonts w:ascii="宋体" w:hAnsi="宋体" w:cs="宋体" w:eastAsia="宋体" w:hint="default"/>
                <w:sz w:val="18"/>
                <w:szCs w:val="18"/>
              </w:rPr>
              <w:t>高现势性、高精度、 精细化车载导航电子 地图开发项目</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29"/>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31,760.00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8" w:right="0"/>
              <w:jc w:val="center"/>
              <w:rPr>
                <w:rFonts w:ascii="Times New Roman" w:hAnsi="Times New Roman" w:cs="Times New Roman" w:eastAsia="Times New Roman" w:hint="default"/>
                <w:sz w:val="18"/>
                <w:szCs w:val="18"/>
              </w:rPr>
            </w:pPr>
            <w:r>
              <w:rPr>
                <w:rFonts w:ascii="Times New Roman"/>
                <w:sz w:val="18"/>
              </w:rPr>
              <w:t>31,760.00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2,441.39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31,595.30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99.48%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06</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w w:val="95"/>
                <w:sz w:val="18"/>
              </w:rPr>
              <w:t>11,764.56</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行人导航数据产品开</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9"/>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15,280.00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8" w:right="0"/>
              <w:jc w:val="center"/>
              <w:rPr>
                <w:rFonts w:ascii="Times New Roman" w:hAnsi="Times New Roman" w:cs="Times New Roman" w:eastAsia="Times New Roman" w:hint="default"/>
                <w:sz w:val="18"/>
                <w:szCs w:val="18"/>
              </w:rPr>
            </w:pPr>
            <w:r>
              <w:rPr>
                <w:rFonts w:ascii="Times New Roman"/>
                <w:sz w:val="18"/>
              </w:rPr>
              <w:t>15,280.00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3,200.00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14,494.79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94.86%</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r>
        <w:rPr/>
        <w:pict>
          <v:shape style="position:absolute;margin-left:111.963005pt;margin-top:166.459976pt;width:65.1pt;height:50.9pt;mso-position-horizontal-relative:page;mso-position-vertical-relative:page;z-index:-1265752" type="#_x0000_t202" filled="false" stroked="false">
            <v:textbox inset="0,0,0,0">
              <w:txbxContent>
                <w:p>
                  <w:pPr>
                    <w:pStyle w:val="BodyText"/>
                    <w:spacing w:line="240" w:lineRule="auto" w:before="49"/>
                    <w:ind w:left="0" w:right="0"/>
                    <w:jc w:val="left"/>
                  </w:pPr>
                  <w:r>
                    <w:rPr/>
                    <w:t>（北京）</w:t>
                  </w:r>
                </w:p>
              </w:txbxContent>
            </v:textbox>
            <w10:wrap type="none"/>
          </v:shape>
        </w:pict>
      </w:r>
      <w:r>
        <w:rPr/>
        <w:pict>
          <v:shape style="position:absolute;margin-left:111.963005pt;margin-top:289.249969pt;width:65.1pt;height:19.6pt;mso-position-horizontal-relative:page;mso-position-vertical-relative:page;z-index:-1265728" type="#_x0000_t202" filled="false" stroked="false">
            <v:textbox inset="0,0,0,0">
              <w:txbxContent>
                <w:p>
                  <w:pPr>
                    <w:pStyle w:val="BodyText"/>
                    <w:spacing w:line="240" w:lineRule="auto" w:before="49"/>
                    <w:ind w:left="0" w:right="0"/>
                    <w:jc w:val="left"/>
                  </w:pPr>
                  <w:r>
                    <w:rPr/>
                    <w:t>（如有）</w:t>
                  </w:r>
                </w:p>
              </w:txbxContent>
            </v:textbox>
            <w10:wrap type="none"/>
          </v:shape>
        </w:pict>
      </w:r>
      <w:r>
        <w:rPr/>
        <w:pict>
          <v:shape style="position:absolute;margin-left:111.963005pt;margin-top:309.289978pt;width:65.1pt;height:19.7pt;mso-position-horizontal-relative:page;mso-position-vertical-relative:page;z-index:-1265704" type="#_x0000_t202" filled="false" stroked="false">
            <v:textbox inset="0,0,0,0">
              <w:txbxContent>
                <w:p>
                  <w:pPr>
                    <w:pStyle w:val="BodyText"/>
                    <w:spacing w:line="240" w:lineRule="auto" w:before="49"/>
                    <w:ind w:left="0" w:right="0"/>
                    <w:jc w:val="left"/>
                  </w:pPr>
                  <w:r>
                    <w:rPr/>
                    <w:t>（如有）</w:t>
                  </w:r>
                </w:p>
              </w:txbxContent>
            </v:textbox>
            <w10:wrap type="none"/>
          </v:shape>
        </w:pict>
      </w:r>
      <w:r>
        <w:rPr/>
        <w:pict>
          <v:shape style="position:absolute;margin-left:56.400002pt;margin-top:71.999985pt;width:482.75pt;height:690.1pt;mso-position-horizontal-relative:page;mso-position-vertical-relative:page;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33"/>
                    <w:gridCol w:w="677"/>
                    <w:gridCol w:w="853"/>
                    <w:gridCol w:w="850"/>
                    <w:gridCol w:w="852"/>
                    <w:gridCol w:w="850"/>
                    <w:gridCol w:w="991"/>
                    <w:gridCol w:w="852"/>
                    <w:gridCol w:w="850"/>
                    <w:gridCol w:w="425"/>
                    <w:gridCol w:w="708"/>
                  </w:tblGrid>
                  <w:tr>
                    <w:trPr>
                      <w:trHeight w:val="363"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发项目</w:t>
                        </w:r>
                      </w:p>
                    </w:tc>
                    <w:tc>
                      <w:tcPr>
                        <w:tcW w:w="677" w:type="dxa"/>
                        <w:tcBorders>
                          <w:top w:val="single" w:sz="4" w:space="0" w:color="000000"/>
                          <w:left w:val="single" w:sz="4" w:space="0" w:color="000000"/>
                          <w:bottom w:val="single" w:sz="4" w:space="0" w:color="000000"/>
                          <w:right w:val="single" w:sz="4" w:space="0" w:color="000000"/>
                        </w:tcBorders>
                      </w:tcPr>
                      <w:p>
                        <w:pPr/>
                      </w:p>
                    </w:tc>
                    <w:tc>
                      <w:tcPr>
                        <w:tcW w:w="85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r>
                  <w:tr>
                    <w:trPr>
                      <w:trHeight w:val="406"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6"/>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58,490.00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58,490.00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5,650.64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57,540.09</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93,041.28</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398" w:hRule="exact"/>
                    </w:trPr>
                    <w:tc>
                      <w:tcPr>
                        <w:tcW w:w="964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713"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收购</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Mapscape</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pacing w:val="-6"/>
                            <w:sz w:val="18"/>
                            <w:szCs w:val="18"/>
                          </w:rPr>
                          <w:t>B.V.</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6,164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6,164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6,069.55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98.47%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30,851.63</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收购中交宇科 空间信息技术有限公 司</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13,800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13,800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12,800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92.75%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5,443.33</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收购中寰卫星导航通 信有限公司</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6,224.08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6,224.08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6,224.08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17,928.60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北京中关村永丰高新 技术产业基地建设</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53,189.80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53,189.80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1,236.26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42,712.26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80.30%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0.00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归还银行贷款</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79,377.88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79,377.88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1,236.26</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67,805.89</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54,223.56</w:t>
                        </w:r>
                        <w:r>
                          <w:rPr>
                            <w:rFonts w:ascii="Times New Roman"/>
                            <w:sz w:val="18"/>
                          </w:rPr>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715"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137,867.8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137,867.8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6,886.90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125,345.9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147,264.8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0" w:right="0"/>
                          <w:jc w:val="left"/>
                          <w:rPr>
                            <w:rFonts w:ascii="Times New Roman" w:hAnsi="Times New Roman" w:cs="Times New Roman" w:eastAsia="Times New Roman" w:hint="default"/>
                            <w:sz w:val="18"/>
                            <w:szCs w:val="18"/>
                          </w:rPr>
                        </w:pPr>
                        <w:r>
                          <w:rPr>
                            <w:rFonts w:ascii="Times New Roman"/>
                            <w:sz w:val="18"/>
                          </w:rPr>
                          <w:t>--</w:t>
                        </w:r>
                      </w:p>
                    </w:tc>
                  </w:tr>
                  <w:tr>
                    <w:trPr>
                      <w:trHeight w:val="355" w:hRule="exact"/>
                    </w:trPr>
                    <w:tc>
                      <w:tcPr>
                        <w:tcW w:w="1733"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未达到计划进度或预</w:t>
                        </w:r>
                      </w:p>
                    </w:tc>
                    <w:tc>
                      <w:tcPr>
                        <w:tcW w:w="7907" w:type="dxa"/>
                        <w:gridSpan w:val="10"/>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73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计收益的情况和原因</w:t>
                        </w:r>
                      </w:p>
                    </w:tc>
                    <w:tc>
                      <w:tcPr>
                        <w:tcW w:w="7907" w:type="dxa"/>
                        <w:gridSpan w:val="10"/>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55" w:right="0"/>
                          <w:jc w:val="left"/>
                          <w:rPr>
                            <w:rFonts w:ascii="宋体" w:hAnsi="宋体" w:cs="宋体" w:eastAsia="宋体" w:hint="default"/>
                            <w:sz w:val="18"/>
                            <w:szCs w:val="18"/>
                          </w:rPr>
                        </w:pPr>
                        <w:r>
                          <w:rPr>
                            <w:rFonts w:ascii="宋体" w:hAnsi="宋体" w:cs="宋体" w:eastAsia="宋体" w:hint="default"/>
                            <w:sz w:val="18"/>
                            <w:szCs w:val="18"/>
                          </w:rPr>
                          <w:t>无此情况</w:t>
                        </w:r>
                      </w:p>
                    </w:tc>
                  </w:tr>
                  <w:tr>
                    <w:trPr>
                      <w:trHeight w:val="358" w:hRule="exact"/>
                    </w:trPr>
                    <w:tc>
                      <w:tcPr>
                        <w:tcW w:w="173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907" w:type="dxa"/>
                        <w:gridSpan w:val="10"/>
                        <w:tcBorders>
                          <w:top w:val="nil" w:sz="6" w:space="0" w:color="auto"/>
                          <w:left w:val="single" w:sz="4" w:space="0" w:color="000000"/>
                          <w:bottom w:val="single" w:sz="4" w:space="0" w:color="000000"/>
                          <w:right w:val="single" w:sz="4" w:space="0" w:color="000000"/>
                        </w:tcBorders>
                      </w:tcPr>
                      <w:p>
                        <w:pPr/>
                      </w:p>
                    </w:tc>
                  </w:tr>
                  <w:tr>
                    <w:trPr>
                      <w:trHeight w:val="715" w:hRule="exact"/>
                    </w:trPr>
                    <w:tc>
                      <w:tcPr>
                        <w:tcW w:w="1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90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1" w:hRule="exact"/>
                    </w:trPr>
                    <w:tc>
                      <w:tcPr>
                        <w:tcW w:w="1733" w:type="dxa"/>
                        <w:tcBorders>
                          <w:top w:val="single" w:sz="4" w:space="0" w:color="000000"/>
                          <w:left w:val="single" w:sz="4" w:space="0" w:color="000000"/>
                          <w:bottom w:val="nil" w:sz="6" w:space="0" w:color="auto"/>
                          <w:right w:val="single" w:sz="4" w:space="0" w:color="000000"/>
                        </w:tcBorders>
                        <w:shd w:val="clear" w:color="auto" w:fill="D2D2D2"/>
                      </w:tcPr>
                      <w:p>
                        <w:pPr/>
                      </w:p>
                    </w:tc>
                    <w:tc>
                      <w:tcPr>
                        <w:tcW w:w="7907"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5"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2496" w:hRule="exact"/>
                    </w:trPr>
                    <w:tc>
                      <w:tcPr>
                        <w:tcW w:w="173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超募资金的金额、用</w:t>
                        </w:r>
                      </w:p>
                    </w:tc>
                    <w:tc>
                      <w:tcPr>
                        <w:tcW w:w="7907" w:type="dxa"/>
                        <w:gridSpan w:val="10"/>
                        <w:vMerge w:val="restart"/>
                        <w:tcBorders>
                          <w:top w:val="single" w:sz="4" w:space="0" w:color="000000"/>
                          <w:left w:val="single" w:sz="4" w:space="0" w:color="000000"/>
                          <w:right w:val="single" w:sz="4" w:space="0" w:color="000000"/>
                        </w:tcBorders>
                      </w:tcPr>
                      <w:p>
                        <w:pPr>
                          <w:pStyle w:val="TableParagraph"/>
                          <w:spacing w:line="240" w:lineRule="auto" w:before="8"/>
                          <w:ind w:left="55" w:right="0"/>
                          <w:jc w:val="left"/>
                          <w:rPr>
                            <w:rFonts w:ascii="宋体" w:hAnsi="宋体" w:cs="宋体" w:eastAsia="宋体" w:hint="default"/>
                            <w:sz w:val="18"/>
                            <w:szCs w:val="18"/>
                          </w:rPr>
                        </w:pPr>
                        <w:r>
                          <w:rPr>
                            <w:rFonts w:ascii="宋体" w:hAnsi="宋体" w:cs="宋体" w:eastAsia="宋体" w:hint="default"/>
                            <w:sz w:val="18"/>
                            <w:szCs w:val="18"/>
                          </w:rPr>
                          <w:t>超募资金的金额为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79,377.88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63"/>
                          <w:ind w:left="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月，公司董事会审议决定，用超募资金</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6,164.00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万元收购荷兰</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Mapscape</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pacing w:val="-3"/>
                            <w:sz w:val="18"/>
                            <w:szCs w:val="18"/>
                          </w:rPr>
                          <w:t>B.V.</w:t>
                        </w:r>
                        <w:r>
                          <w:rPr>
                            <w:rFonts w:ascii="宋体" w:hAnsi="宋体" w:cs="宋体" w:eastAsia="宋体" w:hint="default"/>
                            <w:spacing w:val="-3"/>
                            <w:sz w:val="18"/>
                            <w:szCs w:val="18"/>
                          </w:rPr>
                          <w:t>公司全部股权</w:t>
                        </w:r>
                      </w:p>
                      <w:p>
                        <w:pPr>
                          <w:pStyle w:val="TableParagraph"/>
                          <w:spacing w:line="300" w:lineRule="auto" w:before="63"/>
                          <w:ind w:left="55" w:right="38"/>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日，公司累计使用超募资金支付荷兰</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Mapscape</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pacing w:val="-3"/>
                            <w:sz w:val="18"/>
                            <w:szCs w:val="18"/>
                          </w:rPr>
                          <w:t>B.V.</w:t>
                        </w:r>
                        <w:r>
                          <w:rPr>
                            <w:rFonts w:ascii="宋体" w:hAnsi="宋体" w:cs="宋体" w:eastAsia="宋体" w:hint="default"/>
                            <w:spacing w:val="-3"/>
                            <w:sz w:val="18"/>
                            <w:szCs w:val="18"/>
                          </w:rPr>
                          <w:t>公司投资款</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6,069.55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占投资总额的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98.47%</w:t>
                        </w:r>
                        <w:r>
                          <w:rPr>
                            <w:rFonts w:ascii="宋体" w:hAnsi="宋体" w:cs="宋体" w:eastAsia="宋体" w:hint="default"/>
                            <w:sz w:val="18"/>
                            <w:szCs w:val="18"/>
                          </w:rPr>
                          <w:t>。投资款已全部支付完毕，差额是由于汇率差异产生。</w:t>
                        </w:r>
                      </w:p>
                      <w:p>
                        <w:pPr>
                          <w:pStyle w:val="TableParagraph"/>
                          <w:spacing w:line="240" w:lineRule="auto" w:before="13"/>
                          <w:ind w:left="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月，公司董事会审议决定，用超募资金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13,800.00 </w:t>
                        </w:r>
                        <w:r>
                          <w:rPr>
                            <w:rFonts w:ascii="宋体" w:hAnsi="宋体" w:cs="宋体" w:eastAsia="宋体" w:hint="default"/>
                            <w:sz w:val="18"/>
                            <w:szCs w:val="18"/>
                          </w:rPr>
                          <w:t>万元收购中交宇科</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空间信息技术有</w:t>
                        </w:r>
                      </w:p>
                      <w:p>
                        <w:pPr>
                          <w:pStyle w:val="TableParagraph"/>
                          <w:spacing w:line="300" w:lineRule="auto" w:before="63"/>
                          <w:ind w:left="55" w:right="98"/>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51.98%</w:t>
                        </w:r>
                        <w:r>
                          <w:rPr>
                            <w:rFonts w:ascii="宋体" w:hAnsi="宋体" w:cs="宋体" w:eastAsia="宋体" w:hint="default"/>
                            <w:sz w:val="18"/>
                            <w:szCs w:val="18"/>
                          </w:rPr>
                          <w:t>股权。截至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日，公司累计使用超募资金支付中交宇科</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空间信息 技术有限公司投资款</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12,800.00 </w:t>
                        </w:r>
                        <w:r>
                          <w:rPr>
                            <w:rFonts w:ascii="宋体" w:hAnsi="宋体" w:cs="宋体" w:eastAsia="宋体" w:hint="default"/>
                            <w:sz w:val="18"/>
                            <w:szCs w:val="18"/>
                          </w:rPr>
                          <w:t>万元，占投资总额的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92.75%</w:t>
                        </w:r>
                        <w:r>
                          <w:rPr>
                            <w:rFonts w:ascii="宋体" w:hAnsi="宋体" w:cs="宋体" w:eastAsia="宋体" w:hint="default"/>
                            <w:sz w:val="18"/>
                            <w:szCs w:val="18"/>
                          </w:rPr>
                          <w:t>。</w:t>
                        </w:r>
                      </w:p>
                      <w:p>
                        <w:pPr>
                          <w:pStyle w:val="TableParagraph"/>
                          <w:spacing w:line="240" w:lineRule="auto" w:before="13"/>
                          <w:ind w:left="5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月，公司董事会审议决定，用超募资金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6,224.08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万元以增资的形式投资中寰卫星导航通信</w:t>
                        </w:r>
                      </w:p>
                      <w:p>
                        <w:pPr>
                          <w:pStyle w:val="TableParagraph"/>
                          <w:spacing w:line="300" w:lineRule="auto" w:before="63"/>
                          <w:ind w:left="55" w:right="20"/>
                          <w:jc w:val="left"/>
                          <w:rPr>
                            <w:rFonts w:ascii="宋体" w:hAnsi="宋体" w:cs="宋体" w:eastAsia="宋体" w:hint="default"/>
                            <w:sz w:val="18"/>
                            <w:szCs w:val="18"/>
                          </w:rPr>
                        </w:pPr>
                        <w:r>
                          <w:rPr>
                            <w:rFonts w:ascii="宋体" w:hAnsi="宋体" w:cs="宋体" w:eastAsia="宋体" w:hint="default"/>
                            <w:sz w:val="18"/>
                            <w:szCs w:val="18"/>
                          </w:rPr>
                          <w:t>有限公司，增资完成后公司获得中寰卫星导航通信有限公司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w:t>
                        </w:r>
                        <w:r>
                          <w:rPr>
                            <w:rFonts w:ascii="Times New Roman" w:hAnsi="Times New Roman" w:cs="Times New Roman" w:eastAsia="Times New Roman" w:hint="default"/>
                            <w:sz w:val="18"/>
                            <w:szCs w:val="18"/>
                          </w:rPr>
                          <w:t>,</w:t>
                        </w:r>
                        <w:r>
                          <w:rPr>
                            <w:rFonts w:ascii="宋体" w:hAnsi="宋体" w:cs="宋体" w:eastAsia="宋体" w:hint="default"/>
                            <w:sz w:val="18"/>
                            <w:szCs w:val="18"/>
                          </w:rPr>
                          <w:t>公司 累计使用超募资金支付中寰卫星导航通信有限公司投资款</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6,224.08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万元，占投资总额的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w:t>
                        </w:r>
                      </w:p>
                      <w:p>
                        <w:pPr>
                          <w:pStyle w:val="TableParagraph"/>
                          <w:spacing w:line="307" w:lineRule="auto" w:before="53"/>
                          <w:ind w:left="55"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月，公司董事会审议决定，用超募资金不超过</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41,476.00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万元在北京中关村永丰高新技术产 </w:t>
                        </w:r>
                        <w:r>
                          <w:rPr>
                            <w:rFonts w:ascii="宋体" w:hAnsi="宋体" w:cs="宋体" w:eastAsia="宋体" w:hint="default"/>
                            <w:spacing w:val="-4"/>
                            <w:sz w:val="18"/>
                            <w:szCs w:val="18"/>
                          </w:rPr>
                          <w:t>业基地购买建设用地，并建设公司研发、生产及办公综合大楼。</w:t>
                        </w:r>
                        <w:r>
                          <w:rPr>
                            <w:rFonts w:ascii="Times New Roman" w:hAnsi="Times New Roman" w:cs="Times New Roman" w:eastAsia="Times New Roman" w:hint="default"/>
                            <w:spacing w:val="-4"/>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33"/>
                            <w:sz w:val="18"/>
                            <w:szCs w:val="18"/>
                          </w:rPr>
                          <w:t> </w:t>
                        </w:r>
                        <w:r>
                          <w:rPr>
                            <w:rFonts w:ascii="宋体" w:hAnsi="宋体" w:cs="宋体" w:eastAsia="宋体" w:hint="default"/>
                            <w:sz w:val="18"/>
                            <w:szCs w:val="18"/>
                          </w:rPr>
                          <w:t>公司董事会审议决定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鉴于土地出让金提高、建筑及安装工程费用增加、地下停车场面积增加、根据公司业务发展情况功 能设计变更等影响因素，同意使用部分募集资金及利息追加投资</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21,184.00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万元，计划总投资预算调</w:t>
                        </w:r>
                      </w:p>
                      <w:p>
                        <w:pPr>
                          <w:pStyle w:val="TableParagraph"/>
                          <w:spacing w:line="240" w:lineRule="auto" w:before="7"/>
                          <w:ind w:left="5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整为不超过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74,340.00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万元，并要求在工程结算完成后进行专项审计。</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2016</w:t>
                        </w:r>
                      </w:p>
                      <w:p>
                        <w:pPr>
                          <w:pStyle w:val="TableParagraph"/>
                          <w:spacing w:line="300" w:lineRule="auto" w:before="63"/>
                          <w:ind w:left="55" w:right="20"/>
                          <w:jc w:val="left"/>
                          <w:rPr>
                            <w:rFonts w:ascii="宋体" w:hAnsi="宋体" w:cs="宋体" w:eastAsia="宋体" w:hint="default"/>
                            <w:sz w:val="18"/>
                            <w:szCs w:val="18"/>
                          </w:rPr>
                        </w:pPr>
                        <w:r>
                          <w:rPr>
                            <w:rFonts w:ascii="宋体" w:hAnsi="宋体" w:cs="宋体" w:eastAsia="宋体" w:hint="default"/>
                            <w:sz w:val="18"/>
                            <w:szCs w:val="18"/>
                          </w:rPr>
                          <w:t>年度股东大会通过了该项议案。截至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日，公司累计使用超募资金支付中关村永丰高 新技术产业基地建设款</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42,712.26 </w:t>
                        </w:r>
                        <w:r>
                          <w:rPr>
                            <w:rFonts w:ascii="宋体" w:hAnsi="宋体" w:cs="宋体" w:eastAsia="宋体" w:hint="default"/>
                            <w:sz w:val="18"/>
                            <w:szCs w:val="18"/>
                          </w:rPr>
                          <w:t>万元，占超募资金投资总额的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80.30%</w:t>
                        </w:r>
                        <w:r>
                          <w:rPr>
                            <w:rFonts w:ascii="宋体" w:hAnsi="宋体" w:cs="宋体" w:eastAsia="宋体" w:hint="default"/>
                            <w:sz w:val="18"/>
                            <w:szCs w:val="18"/>
                          </w:rPr>
                          <w:t>。</w:t>
                        </w:r>
                      </w:p>
                    </w:tc>
                  </w:tr>
                  <w:tr>
                    <w:trPr>
                      <w:trHeight w:val="2900" w:hRule="exact"/>
                    </w:trPr>
                    <w:tc>
                      <w:tcPr>
                        <w:tcW w:w="173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途及使用进展情况</w:t>
                        </w:r>
                      </w:p>
                    </w:tc>
                    <w:tc>
                      <w:tcPr>
                        <w:tcW w:w="7907" w:type="dxa"/>
                        <w:gridSpan w:val="10"/>
                        <w:vMerge/>
                        <w:tcBorders>
                          <w:left w:val="single" w:sz="4" w:space="0" w:color="000000"/>
                          <w:bottom w:val="single" w:sz="4" w:space="0" w:color="000000"/>
                          <w:right w:val="single" w:sz="4" w:space="0" w:color="000000"/>
                        </w:tcBorders>
                      </w:tcPr>
                      <w:p>
                        <w:pP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2"/>
          <w:szCs w:val="12"/>
        </w:rPr>
      </w:pPr>
    </w:p>
    <w:p>
      <w:pPr>
        <w:spacing w:line="1017" w:lineRule="exact"/>
        <w:ind w:left="1924"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31.8pt;height:50.9pt;mso-position-horizontal-relative:char;mso-position-vertical-relative:line" coordorigin="0,0" coordsize="636,1018">
            <v:group style="position:absolute;left:0;top:0;width:636;height:1018" coordorigin="0,0" coordsize="636,1018">
              <v:shape style="position:absolute;left:0;top:0;width:636;height:1018" coordorigin="0,0" coordsize="636,1018" path="m0,1018l636,1018,636,0,0,0,0,1018xe" filled="true" fillcolor="#ffffff" stroked="false">
                <v:path arrowok="t"/>
                <v:fill type="solid"/>
              </v:shape>
            </v:group>
            <v:group style="position:absolute;left:22;top:312;width:591;height:394" coordorigin="22,312" coordsize="591,394">
              <v:shape style="position:absolute;left:22;top:312;width:591;height:394" coordorigin="22,312" coordsize="591,394" path="m22,706l612,706,612,312,22,312,22,706xe" filled="true" fillcolor="#ffffff" stroked="false">
                <v:path arrowok="t"/>
                <v:fill type="solid"/>
              </v:shape>
            </v:group>
          </v:group>
        </w:pict>
      </w:r>
      <w:r>
        <w:rPr>
          <w:rFonts w:ascii="宋体" w:hAnsi="宋体" w:cs="宋体" w:eastAsia="宋体" w:hint="default"/>
          <w:position w:val="-1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BodyText"/>
        <w:spacing w:line="240" w:lineRule="auto" w:before="44"/>
        <w:ind w:left="0" w:right="106"/>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pStyle w:val="BodyText"/>
        <w:spacing w:line="240" w:lineRule="auto" w:before="44"/>
        <w:ind w:left="0" w:right="106"/>
        <w:jc w:val="right"/>
      </w:pPr>
      <w:r>
        <w:rPr/>
        <w:t>，</w:t>
      </w:r>
    </w:p>
    <w:p>
      <w:pPr>
        <w:spacing w:after="0" w:line="240" w:lineRule="auto"/>
        <w:jc w:val="right"/>
        <w:sectPr>
          <w:pgSz w:w="11910" w:h="16840"/>
          <w:pgMar w:header="745" w:footer="979" w:top="1060" w:bottom="1160" w:left="980" w:right="96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763"/>
        <w:gridCol w:w="7876"/>
      </w:tblGrid>
      <w:tr>
        <w:trPr>
          <w:trHeight w:val="322"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日，超募资金结余为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11,571.99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万元。其余超募资金暂未指定用途。</w:t>
            </w:r>
          </w:p>
        </w:tc>
      </w:tr>
      <w:tr>
        <w:trPr>
          <w:trHeight w:val="715"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17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316" w:lineRule="auto"/>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3" w:hRule="exact"/>
        </w:trPr>
        <w:tc>
          <w:tcPr>
            <w:tcW w:w="1763" w:type="dxa"/>
            <w:vMerge/>
            <w:tcBorders>
              <w:left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2273" w:hRule="exact"/>
        </w:trPr>
        <w:tc>
          <w:tcPr>
            <w:tcW w:w="1763" w:type="dxa"/>
            <w:vMerge/>
            <w:tcBorders>
              <w:left w:val="single" w:sz="4" w:space="0" w:color="000000"/>
              <w:bottom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19"/>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日公司第二届董事会第二十一次会议以及</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年度第一次临时 </w:t>
            </w:r>
            <w:r>
              <w:rPr>
                <w:rFonts w:ascii="宋体" w:hAnsi="宋体" w:cs="宋体" w:eastAsia="宋体" w:hint="default"/>
                <w:spacing w:val="-3"/>
                <w:sz w:val="18"/>
                <w:szCs w:val="18"/>
              </w:rPr>
              <w:t>股东大会审议通过了《关于变更募投项目部分内容实施方式和实施进度的议案》，同意公司变更募投</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项目部分内容的实施方式和实施进度，将原拟用于在北京海淀中关村科技园区内购买办公楼的 </w:t>
            </w:r>
            <w:r>
              <w:rPr>
                <w:rFonts w:ascii="Times New Roman" w:hAnsi="Times New Roman" w:cs="Times New Roman" w:eastAsia="Times New Roman" w:hint="default"/>
                <w:sz w:val="18"/>
                <w:szCs w:val="18"/>
              </w:rPr>
              <w:t>11,680.00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万元募集资金使用方式变更为自建，即用于在北京中关村永丰高新技术产业基地购买建设 用地建设公司研发、生产及办公综合大楼，该部分募集资金使用进度亦根据大楼建设进度作相应调 整。该事项不涉及募集资金使用方向的实质性变更，也不影响募投项目的具体实施。对于该事项， 公司独立董事、监事会及保荐机构均发表了明确同意意见。</w:t>
            </w:r>
          </w:p>
        </w:tc>
      </w:tr>
      <w:tr>
        <w:trPr>
          <w:trHeight w:val="403" w:hRule="exact"/>
        </w:trPr>
        <w:tc>
          <w:tcPr>
            <w:tcW w:w="17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1" w:hRule="exact"/>
        </w:trPr>
        <w:tc>
          <w:tcPr>
            <w:tcW w:w="1763" w:type="dxa"/>
            <w:vMerge/>
            <w:tcBorders>
              <w:left w:val="single" w:sz="4" w:space="0" w:color="000000"/>
              <w:bottom w:val="single" w:sz="4" w:space="0" w:color="000000"/>
              <w:right w:val="single" w:sz="4" w:space="0" w:color="000000"/>
            </w:tcBorders>
            <w:shd w:val="clear" w:color="auto" w:fill="D2D2D2"/>
          </w:tcPr>
          <w:p>
            <w:pP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日以公司自有资金垫资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8,176.38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月份已置换。</w:t>
            </w:r>
          </w:p>
        </w:tc>
      </w:tr>
      <w:tr>
        <w:trPr>
          <w:trHeight w:val="715"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08"/>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108"/>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836"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60"/>
              <w:ind w:left="22" w:right="108"/>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日公司第三届董事会第四次会议审议通过《关于公司使用部分闲置募集资金和自有资</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金购买银行理财产品的议案</w:t>
            </w:r>
            <w:r>
              <w:rPr>
                <w:rFonts w:ascii="宋体" w:hAnsi="宋体" w:cs="宋体" w:eastAsia="宋体" w:hint="default"/>
                <w:spacing w:val="-92"/>
                <w:sz w:val="18"/>
                <w:szCs w:val="18"/>
              </w:rPr>
              <w:t>》</w:t>
            </w:r>
            <w:r>
              <w:rPr>
                <w:rFonts w:ascii="宋体" w:hAnsi="宋体" w:cs="宋体" w:eastAsia="宋体" w:hint="default"/>
                <w:spacing w:val="-5"/>
                <w:sz w:val="18"/>
                <w:szCs w:val="18"/>
              </w:rPr>
              <w:t>，</w:t>
            </w:r>
            <w:r>
              <w:rPr>
                <w:rFonts w:ascii="宋体" w:hAnsi="宋体" w:cs="宋体" w:eastAsia="宋体" w:hint="default"/>
                <w:sz w:val="18"/>
                <w:szCs w:val="18"/>
              </w:rPr>
              <w:t>同意公司使用不超过人民币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亿元额度的短期闲置募集资</w:t>
            </w:r>
            <w:r>
              <w:rPr>
                <w:rFonts w:ascii="宋体" w:hAnsi="宋体" w:cs="宋体" w:eastAsia="宋体" w:hint="default"/>
                <w:spacing w:val="-5"/>
                <w:sz w:val="18"/>
                <w:szCs w:val="18"/>
              </w:rPr>
              <w:t>金</w:t>
            </w:r>
            <w:r>
              <w:rPr>
                <w:rFonts w:ascii="宋体" w:hAnsi="宋体" w:cs="宋体" w:eastAsia="宋体" w:hint="default"/>
                <w:sz w:val="18"/>
                <w:szCs w:val="18"/>
              </w:rPr>
              <w:t>（含超募</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资金）和不超过人民币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亿元额度的短期闲置自有资金购买商业银行发行的安全性高、流动性好、</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保本型银行理财产品。在上述额度内，资金可以在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日前进行滚动使用，相关决议自</w:t>
            </w:r>
          </w:p>
          <w:p>
            <w:pPr>
              <w:pStyle w:val="TableParagraph"/>
              <w:spacing w:line="309" w:lineRule="auto" w:before="63"/>
              <w:ind w:left="23" w:right="17"/>
              <w:jc w:val="left"/>
              <w:rPr>
                <w:rFonts w:ascii="宋体" w:hAnsi="宋体" w:cs="宋体" w:eastAsia="宋体" w:hint="default"/>
                <w:sz w:val="18"/>
                <w:szCs w:val="18"/>
              </w:rPr>
            </w:pPr>
            <w:r>
              <w:rPr>
                <w:rFonts w:ascii="宋体" w:hAnsi="宋体" w:cs="宋体" w:eastAsia="宋体" w:hint="default"/>
                <w:sz w:val="18"/>
                <w:szCs w:val="18"/>
              </w:rPr>
              <w:t>董事会审议通过之日起至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pacing w:val="-7"/>
                <w:sz w:val="18"/>
                <w:szCs w:val="18"/>
              </w:rPr>
              <w:t>日前有效。</w:t>
            </w:r>
            <w:r>
              <w:rPr>
                <w:rFonts w:ascii="Times New Roman" w:hAnsi="Times New Roman" w:cs="Times New Roman" w:eastAsia="Times New Roman" w:hint="default"/>
                <w:spacing w:val="-7"/>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日公司第三届董事会第十四次会 </w:t>
            </w:r>
            <w:r>
              <w:rPr>
                <w:rFonts w:ascii="宋体" w:hAnsi="宋体" w:cs="宋体" w:eastAsia="宋体" w:hint="default"/>
                <w:spacing w:val="-3"/>
                <w:sz w:val="18"/>
                <w:szCs w:val="18"/>
              </w:rPr>
              <w:t>议，审议通过了《关于公司使用部分闲置募集资金和自有资金购买理财产品的议案》，同意公司使用</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z w:val="18"/>
                <w:szCs w:val="18"/>
              </w:rPr>
              <w:t>不超过人民币</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亿元额度的短期闲置募集资金</w:t>
            </w:r>
            <w:r>
              <w:rPr>
                <w:rFonts w:ascii="Times New Roman" w:hAnsi="Times New Roman" w:cs="Times New Roman" w:eastAsia="Times New Roman" w:hint="default"/>
                <w:sz w:val="18"/>
                <w:szCs w:val="18"/>
              </w:rPr>
              <w:t>(</w:t>
            </w:r>
            <w:r>
              <w:rPr>
                <w:rFonts w:ascii="宋体" w:hAnsi="宋体" w:cs="宋体" w:eastAsia="宋体" w:hint="default"/>
                <w:sz w:val="18"/>
                <w:szCs w:val="18"/>
              </w:rPr>
              <w:t>含超募资金</w:t>
            </w:r>
            <w:r>
              <w:rPr>
                <w:rFonts w:ascii="Times New Roman" w:hAnsi="Times New Roman" w:cs="Times New Roman" w:eastAsia="Times New Roman" w:hint="default"/>
                <w:sz w:val="18"/>
                <w:szCs w:val="18"/>
              </w:rPr>
              <w:t>)</w:t>
            </w:r>
            <w:r>
              <w:rPr>
                <w:rFonts w:ascii="宋体" w:hAnsi="宋体" w:cs="宋体" w:eastAsia="宋体" w:hint="default"/>
                <w:sz w:val="18"/>
                <w:szCs w:val="18"/>
              </w:rPr>
              <w:t>和不超过人民币</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亿元额度的短期闲置自 有资金购买商业银行发行的安全性高、流动性好、保本型银行理财产品，在上述额度内，资金可以 在</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日前进行滚动使用，相关决议自董事会审议通过之日起至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日前有</w:t>
            </w:r>
          </w:p>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效。</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年公司根据前述决议使用募集资金购买银行理财产品的收益为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274.52 </w:t>
            </w:r>
            <w:r>
              <w:rPr>
                <w:rFonts w:ascii="宋体" w:hAnsi="宋体" w:cs="宋体" w:eastAsia="宋体" w:hint="default"/>
                <w:sz w:val="18"/>
                <w:szCs w:val="18"/>
              </w:rPr>
              <w:t>万元。截至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p>
          <w:p>
            <w:pPr>
              <w:pStyle w:val="TableParagraph"/>
              <w:spacing w:line="300" w:lineRule="auto" w:before="63"/>
              <w:ind w:left="23" w:right="99"/>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日，公司使用募集资金购买银行理财产品的份额余额为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年度公司未购买理财产 品，尚未使用的募集资金存放在募集资金专户中。</w:t>
            </w:r>
          </w:p>
        </w:tc>
      </w:tr>
      <w:tr>
        <w:trPr>
          <w:trHeight w:val="348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316" w:lineRule="auto"/>
              <w:ind w:left="22" w:right="108"/>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both"/>
              <w:rPr>
                <w:rFonts w:ascii="宋体" w:hAnsi="宋体" w:cs="宋体" w:eastAsia="宋体" w:hint="default"/>
                <w:sz w:val="18"/>
                <w:szCs w:val="18"/>
              </w:rPr>
            </w:pPr>
            <w:r>
              <w:rPr>
                <w:rFonts w:ascii="宋体" w:hAnsi="宋体" w:cs="宋体" w:eastAsia="宋体" w:hint="default"/>
                <w:sz w:val="18"/>
                <w:szCs w:val="18"/>
              </w:rPr>
              <w:t>原计划在首次公开发行股票募集资金到位后第一年使用</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11,680.00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万元购买办公楼，由于公司未寻找</w:t>
            </w:r>
          </w:p>
          <w:p>
            <w:pPr>
              <w:pStyle w:val="TableParagraph"/>
              <w:spacing w:line="240" w:lineRule="auto" w:before="61"/>
              <w:ind w:left="23" w:right="0"/>
              <w:jc w:val="both"/>
              <w:rPr>
                <w:rFonts w:ascii="宋体" w:hAnsi="宋体" w:cs="宋体" w:eastAsia="宋体" w:hint="default"/>
                <w:sz w:val="18"/>
                <w:szCs w:val="18"/>
              </w:rPr>
            </w:pPr>
            <w:r>
              <w:rPr>
                <w:rFonts w:ascii="宋体" w:hAnsi="宋体" w:cs="宋体" w:eastAsia="宋体" w:hint="default"/>
                <w:sz w:val="18"/>
                <w:szCs w:val="18"/>
              </w:rPr>
              <w:t>到合适的购买标的，将该</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11,680.00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万元募集资金使用方式由购置办公楼变更为在北京中关村永丰高</w:t>
            </w:r>
          </w:p>
          <w:p>
            <w:pPr>
              <w:pStyle w:val="TableParagraph"/>
              <w:spacing w:line="240" w:lineRule="auto" w:before="63"/>
              <w:ind w:left="23" w:right="0"/>
              <w:jc w:val="both"/>
              <w:rPr>
                <w:rFonts w:ascii="宋体" w:hAnsi="宋体" w:cs="宋体" w:eastAsia="宋体" w:hint="default"/>
                <w:sz w:val="18"/>
                <w:szCs w:val="18"/>
              </w:rPr>
            </w:pPr>
            <w:r>
              <w:rPr>
                <w:rFonts w:ascii="宋体" w:hAnsi="宋体" w:cs="宋体" w:eastAsia="宋体" w:hint="default"/>
                <w:sz w:val="18"/>
                <w:szCs w:val="18"/>
              </w:rPr>
              <w:t>新技术产业基地购买建设用地自主建设，原计划于</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年底前完成项目建设，但实施进度将会根据</w:t>
            </w:r>
          </w:p>
          <w:p>
            <w:pPr>
              <w:pStyle w:val="TableParagraph"/>
              <w:spacing w:line="309" w:lineRule="auto" w:before="63"/>
              <w:ind w:left="23" w:right="11"/>
              <w:jc w:val="left"/>
              <w:rPr>
                <w:rFonts w:ascii="宋体" w:hAnsi="宋体" w:cs="宋体" w:eastAsia="宋体" w:hint="default"/>
                <w:sz w:val="18"/>
                <w:szCs w:val="18"/>
              </w:rPr>
            </w:pPr>
            <w:r>
              <w:rPr>
                <w:rFonts w:ascii="宋体" w:hAnsi="宋体" w:cs="宋体" w:eastAsia="宋体" w:hint="default"/>
                <w:sz w:val="18"/>
                <w:szCs w:val="18"/>
              </w:rPr>
              <w:t>项目建设进度作相应调整。公司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日第三届董事会第十九次会议审议通过了《关于调 </w:t>
            </w:r>
            <w:r>
              <w:rPr>
                <w:rFonts w:ascii="宋体" w:hAnsi="宋体" w:cs="宋体" w:eastAsia="宋体" w:hint="default"/>
                <w:spacing w:val="-3"/>
                <w:sz w:val="18"/>
                <w:szCs w:val="18"/>
              </w:rPr>
              <w:t>整公司在北京中关村永丰高新技术产业基地建设研发、生产及办公综合大楼项目进度计划的议案》，</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同意公司变更北京中关村永丰高新技术产业基地建设项目的进度计划，由计划在</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年底前完成项</w:t>
            </w:r>
          </w:p>
          <w:p>
            <w:pPr>
              <w:pStyle w:val="TableParagraph"/>
              <w:spacing w:line="240" w:lineRule="auto" w:before="5"/>
              <w:ind w:left="23"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目建设变更为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年内完成项目建设。截止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日，项目已基本建设完成。公司</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2017</w:t>
            </w:r>
          </w:p>
          <w:p>
            <w:pPr>
              <w:pStyle w:val="TableParagraph"/>
              <w:spacing w:line="309" w:lineRule="auto" w:before="63"/>
              <w:ind w:left="23" w:right="21"/>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日第三届董事会第二十八次会议审议通过了《关于使用部分募集资金及利息追加在北京中 </w:t>
            </w:r>
            <w:r>
              <w:rPr>
                <w:rFonts w:ascii="宋体" w:hAnsi="宋体" w:cs="宋体" w:eastAsia="宋体" w:hint="default"/>
                <w:spacing w:val="-3"/>
                <w:sz w:val="18"/>
                <w:szCs w:val="18"/>
              </w:rPr>
              <w:t>关村永丰高新技术产业基地建设研发、生产及办公综合大楼投资的议案》，同意公司追加北京中关村</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永丰高新技术产业基地建设项目的投资，由原计划总投资不超过 </w:t>
            </w:r>
            <w:r>
              <w:rPr>
                <w:rFonts w:ascii="Times New Roman" w:hAnsi="Times New Roman" w:cs="Times New Roman" w:eastAsia="Times New Roman" w:hint="default"/>
                <w:sz w:val="18"/>
                <w:szCs w:val="18"/>
              </w:rPr>
              <w:t>53,156.00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万元变更为不超过</w:t>
            </w:r>
          </w:p>
          <w:p>
            <w:pPr>
              <w:pStyle w:val="TableParagraph"/>
              <w:spacing w:line="240" w:lineRule="auto" w:before="5"/>
              <w:ind w:left="2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74,340.00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万元，计划增加使用不超过</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11,713.80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万元的超募资金和不超过</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9,470.20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万元的募集资金利</w:t>
            </w:r>
          </w:p>
        </w:tc>
      </w:tr>
    </w:tbl>
    <w:p>
      <w:pPr>
        <w:spacing w:after="0" w:line="240" w:lineRule="auto"/>
        <w:jc w:val="both"/>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shape style="position:absolute;margin-left:111.963005pt;margin-top:344.209991pt;width:65.1pt;height:19.7pt;mso-position-horizontal-relative:page;mso-position-vertical-relative:page;z-index:-1265608" type="#_x0000_t202" filled="false" stroked="false">
            <v:textbox inset="0,0,0,0">
              <w:txbxContent>
                <w:p>
                  <w:pPr>
                    <w:pStyle w:val="BodyText"/>
                    <w:spacing w:line="240" w:lineRule="auto" w:before="49"/>
                    <w:ind w:left="0" w:right="0"/>
                    <w:jc w:val="left"/>
                  </w:pPr>
                  <w:r>
                    <w:rPr/>
                    <w:t>（如有）</w:t>
                  </w:r>
                </w:p>
              </w:txbxContent>
            </v:textbox>
            <w10:wrap type="none"/>
          </v:shape>
        </w:pict>
      </w:r>
      <w:r>
        <w:rPr/>
        <w:pict>
          <v:shape style="position:absolute;margin-left:111.963005pt;margin-top:364.369995pt;width:65.1pt;height:19.6pt;mso-position-horizontal-relative:page;mso-position-vertical-relative:page;z-index:-1265584" type="#_x0000_t202" filled="false" stroked="false">
            <v:textbox inset="0,0,0,0">
              <w:txbxContent>
                <w:p>
                  <w:pPr>
                    <w:pStyle w:val="BodyText"/>
                    <w:spacing w:line="240" w:lineRule="auto" w:before="49"/>
                    <w:ind w:left="0" w:right="0"/>
                    <w:jc w:val="left"/>
                  </w:pPr>
                  <w:r>
                    <w:rPr/>
                    <w:t>（如有）</w:t>
                  </w:r>
                </w:p>
              </w:txbxContent>
            </v:textbox>
            <w10:wrap type="none"/>
          </v:shape>
        </w:pict>
      </w:r>
    </w:p>
    <w:p>
      <w:pPr>
        <w:spacing w:line="240" w:lineRule="auto" w:before="0"/>
        <w:rPr>
          <w:rFonts w:ascii="Times New Roman" w:hAnsi="Times New Roman" w:cs="Times New Roman" w:eastAsia="Times New Roman" w:hint="default"/>
          <w:sz w:val="12"/>
          <w:szCs w:val="12"/>
        </w:rPr>
      </w:pPr>
    </w:p>
    <w:p>
      <w:pPr>
        <w:spacing w:line="382" w:lineRule="exact"/>
        <w:ind w:left="14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7"/>
          <w:sz w:val="20"/>
          <w:szCs w:val="20"/>
        </w:rPr>
        <w:pict>
          <v:group style="width:482.5pt;height:19.1pt;mso-position-horizontal-relative:char;mso-position-vertical-relative:line" coordorigin="0,0" coordsize="9650,382">
            <v:group style="position:absolute;left:12;top:14;width:1753;height:354" coordorigin="12,14" coordsize="1753,354">
              <v:shape style="position:absolute;left:12;top:14;width:1753;height:354" coordorigin="12,14" coordsize="1753,354" path="m12,368l1764,368,1764,14,12,14,12,368xe" filled="true" fillcolor="#d2d2d2" stroked="false">
                <v:path arrowok="t"/>
                <v:fill type="solid"/>
              </v:shape>
            </v:group>
            <v:group style="position:absolute;left:10;top:10;width:1755;height:2" coordorigin="10,10" coordsize="1755,2">
              <v:shape style="position:absolute;left:10;top:10;width:1755;height:2" coordorigin="10,10" coordsize="1755,0" path="m10,10l1764,10e" filled="false" stroked="true" strokeweight=".48pt" strokecolor="#000000">
                <v:path arrowok="t"/>
              </v:shape>
            </v:group>
            <v:group style="position:absolute;left:1774;top:10;width:7867;height:2" coordorigin="1774,10" coordsize="7867,2">
              <v:shape style="position:absolute;left:1774;top:10;width:7867;height:2" coordorigin="1774,10" coordsize="7867,0" path="m1774,10l9640,10e" filled="false" stroked="true" strokeweight=".48pt" strokecolor="#000000">
                <v:path arrowok="t"/>
              </v:shape>
            </v:group>
            <v:group style="position:absolute;left:5;top:5;width:2;height:373" coordorigin="5,5" coordsize="2,373">
              <v:shape style="position:absolute;left:5;top:5;width:2;height:373" coordorigin="5,5" coordsize="0,373" path="m5,5l5,377e" filled="false" stroked="true" strokeweight=".48pt" strokecolor="#000000">
                <v:path arrowok="t"/>
              </v:shape>
            </v:group>
            <v:group style="position:absolute;left:10;top:372;width:1755;height:2" coordorigin="10,372" coordsize="1755,2">
              <v:shape style="position:absolute;left:10;top:372;width:1755;height:2" coordorigin="10,372" coordsize="1755,0" path="m10,372l1764,372e" filled="false" stroked="true" strokeweight=".48pt" strokecolor="#000000">
                <v:path arrowok="t"/>
              </v:shape>
            </v:group>
            <v:group style="position:absolute;left:1769;top:5;width:2;height:373" coordorigin="1769,5" coordsize="2,373">
              <v:shape style="position:absolute;left:1769;top:5;width:2;height:373" coordorigin="1769,5" coordsize="0,373" path="m1769,5l1769,377e" filled="false" stroked="true" strokeweight=".48pt" strokecolor="#000000">
                <v:path arrowok="t"/>
              </v:shape>
            </v:group>
            <v:group style="position:absolute;left:1774;top:372;width:7867;height:2" coordorigin="1774,372" coordsize="7867,2">
              <v:shape style="position:absolute;left:1774;top:372;width:7867;height:2" coordorigin="1774,372" coordsize="7867,0" path="m1774,372l9640,372e" filled="false" stroked="true" strokeweight=".48pt" strokecolor="#000000">
                <v:path arrowok="t"/>
              </v:shape>
            </v:group>
            <v:group style="position:absolute;left:9645;top:5;width:2;height:373" coordorigin="9645,5" coordsize="2,373">
              <v:shape style="position:absolute;left:9645;top:5;width:2;height:373" coordorigin="9645,5" coordsize="0,373" path="m9645,5l9645,377e" filled="false" stroked="true" strokeweight=".47998pt" strokecolor="#000000">
                <v:path arrowok="t"/>
              </v:shape>
              <v:shape style="position:absolute;left:1769;top:10;width:7876;height:363" type="#_x0000_t202" filled="false" stroked="false">
                <v:textbox inset="0,0,0,0">
                  <w:txbxContent>
                    <w:p>
                      <w:pPr>
                        <w:spacing w:before="13"/>
                        <w:ind w:left="28" w:right="0" w:firstLine="0"/>
                        <w:jc w:val="left"/>
                        <w:rPr>
                          <w:rFonts w:ascii="宋体" w:hAnsi="宋体" w:cs="宋体" w:eastAsia="宋体" w:hint="default"/>
                          <w:sz w:val="18"/>
                          <w:szCs w:val="18"/>
                        </w:rPr>
                      </w:pPr>
                      <w:r>
                        <w:rPr>
                          <w:rFonts w:ascii="宋体" w:hAnsi="宋体" w:cs="宋体" w:eastAsia="宋体" w:hint="default"/>
                          <w:sz w:val="18"/>
                          <w:szCs w:val="18"/>
                        </w:rPr>
                        <w:t>息用于北京中关村永丰高新技术产业基地建设项目。</w:t>
                      </w:r>
                    </w:p>
                  </w:txbxContent>
                </v:textbox>
                <w10:wrap type="none"/>
              </v:shape>
            </v:group>
          </v:group>
        </w:pict>
      </w:r>
      <w:r>
        <w:rPr>
          <w:rFonts w:ascii="Times New Roman" w:hAnsi="Times New Roman" w:cs="Times New Roman" w:eastAsia="Times New Roman" w:hint="default"/>
          <w:position w:val="-7"/>
          <w:sz w:val="20"/>
          <w:szCs w:val="20"/>
        </w:rPr>
      </w:r>
    </w:p>
    <w:p>
      <w:pPr>
        <w:spacing w:line="240" w:lineRule="auto" w:before="4"/>
        <w:rPr>
          <w:rFonts w:ascii="Times New Roman" w:hAnsi="Times New Roman" w:cs="Times New Roman" w:eastAsia="Times New Roman" w:hint="default"/>
          <w:sz w:val="28"/>
          <w:szCs w:val="28"/>
        </w:rPr>
      </w:pPr>
    </w:p>
    <w:p>
      <w:pPr>
        <w:pStyle w:val="Heading5"/>
        <w:spacing w:line="240" w:lineRule="auto" w:before="36"/>
        <w:ind w:left="2810" w:right="0"/>
        <w:jc w:val="left"/>
        <w:rPr>
          <w:b w:val="0"/>
          <w:bCs w:val="0"/>
        </w:rPr>
      </w:pPr>
      <w:r>
        <w:rPr/>
        <w:t>非公开发行募集资金</w:t>
      </w:r>
      <w:r>
        <w:rPr>
          <w:spacing w:val="-50"/>
        </w:rPr>
        <w:t> </w:t>
      </w:r>
      <w:r>
        <w:rPr>
          <w:rFonts w:ascii="Times New Roman" w:hAnsi="Times New Roman" w:cs="Times New Roman" w:eastAsia="Times New Roman" w:hint="default"/>
        </w:rPr>
        <w:t>2017 </w:t>
      </w:r>
      <w:r>
        <w:rPr/>
        <w:t>年度使用情况对照表</w:t>
      </w:r>
      <w:r>
        <w:rPr>
          <w:b w:val="0"/>
          <w:bCs w:val="0"/>
        </w:rPr>
      </w:r>
    </w:p>
    <w:p>
      <w:pPr>
        <w:spacing w:line="240" w:lineRule="auto" w:before="3"/>
        <w:rPr>
          <w:rFonts w:ascii="宋体" w:hAnsi="宋体" w:cs="宋体" w:eastAsia="宋体" w:hint="default"/>
          <w:b/>
          <w:bCs/>
          <w:sz w:val="10"/>
          <w:szCs w:val="10"/>
        </w:rPr>
      </w:pPr>
    </w:p>
    <w:p>
      <w:pPr>
        <w:pStyle w:val="BodyText"/>
        <w:spacing w:line="240" w:lineRule="auto" w:before="44"/>
        <w:ind w:left="0" w:right="151"/>
        <w:jc w:val="right"/>
      </w:pPr>
      <w:r>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764"/>
        <w:gridCol w:w="646"/>
        <w:gridCol w:w="905"/>
        <w:gridCol w:w="938"/>
        <w:gridCol w:w="850"/>
        <w:gridCol w:w="852"/>
        <w:gridCol w:w="708"/>
        <w:gridCol w:w="708"/>
        <w:gridCol w:w="853"/>
        <w:gridCol w:w="708"/>
        <w:gridCol w:w="638"/>
      </w:tblGrid>
      <w:tr>
        <w:trPr>
          <w:trHeight w:val="1649"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4" w:lineRule="auto"/>
              <w:ind w:left="518" w:right="65" w:hanging="452"/>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2" w:lineRule="auto" w:before="49"/>
              <w:ind w:left="47" w:right="47"/>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88" w:right="86"/>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4" w:lineRule="auto"/>
              <w:ind w:left="91" w:right="84" w:firstLine="14"/>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4" w:lineRule="auto"/>
              <w:ind w:left="60" w:right="59"/>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59" w:right="60"/>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4" w:right="60"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w:t>
            </w:r>
            <w:r>
              <w:rPr>
                <w:rFonts w:ascii="Times New Roman" w:hAnsi="Times New Roman" w:cs="Times New Roman" w:eastAsia="Times New Roman" w:hint="default"/>
                <w:sz w:val="18"/>
                <w:szCs w:val="18"/>
              </w:rPr>
              <w:t>(3)</w:t>
            </w:r>
          </w:p>
          <w:p>
            <w:pPr>
              <w:pStyle w:val="TableParagraph"/>
              <w:spacing w:line="248" w:lineRule="exact"/>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59" w:right="62"/>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79" w:right="77"/>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 w:right="43"/>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3" w:hRule="exact"/>
        </w:trPr>
        <w:tc>
          <w:tcPr>
            <w:tcW w:w="957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713"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48"/>
              <w:jc w:val="left"/>
              <w:rPr>
                <w:rFonts w:ascii="宋体" w:hAnsi="宋体" w:cs="宋体" w:eastAsia="宋体" w:hint="default"/>
                <w:sz w:val="18"/>
                <w:szCs w:val="18"/>
              </w:rPr>
            </w:pPr>
            <w:r>
              <w:rPr>
                <w:rFonts w:ascii="宋体" w:hAnsi="宋体" w:cs="宋体" w:eastAsia="宋体" w:hint="default"/>
                <w:spacing w:val="-12"/>
                <w:sz w:val="18"/>
                <w:szCs w:val="18"/>
              </w:rPr>
              <w:t>支付收购合肥杰发科技 有限公司股权现金对价</w:t>
            </w:r>
            <w:r>
              <w:rPr>
                <w:rFonts w:ascii="宋体" w:hAnsi="宋体" w:cs="宋体" w:eastAsia="宋体" w:hint="default"/>
                <w:sz w:val="18"/>
                <w:szCs w:val="18"/>
              </w:rPr>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332,709.57</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332,709.57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179,590.4</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179,590.4</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53.98%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51,731.38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20"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93"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332,709.57</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332,709.57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179,590.4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179,590.4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51,731.38</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1" w:hRule="exact"/>
        </w:trPr>
        <w:tc>
          <w:tcPr>
            <w:tcW w:w="957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8"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归还银行贷款</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90"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1"/>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 w:right="0"/>
              <w:jc w:val="center"/>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left="254"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54"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54" w:right="0"/>
              <w:jc w:val="left"/>
              <w:rPr>
                <w:rFonts w:ascii="Times New Roman" w:hAnsi="Times New Roman" w:cs="Times New Roman" w:eastAsia="Times New Roman" w:hint="default"/>
                <w:sz w:val="18"/>
                <w:szCs w:val="18"/>
              </w:rPr>
            </w:pPr>
            <w:r>
              <w:rPr>
                <w:rFonts w:ascii="Times New Roman"/>
                <w:sz w:val="18"/>
              </w:rPr>
              <w:t>--</w:t>
            </w:r>
          </w:p>
        </w:tc>
      </w:tr>
      <w:tr>
        <w:trPr>
          <w:trHeight w:val="71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332,709.57</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332,709.57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179,590.4</w:t>
            </w:r>
          </w:p>
          <w:p>
            <w:pPr>
              <w:pStyle w:val="TableParagraph"/>
              <w:spacing w:line="240" w:lineRule="auto" w:before="103"/>
              <w:ind w:right="20"/>
              <w:jc w:val="right"/>
              <w:rPr>
                <w:rFonts w:ascii="Times New Roman" w:hAnsi="Times New Roman" w:cs="Times New Roman" w:eastAsia="Times New Roman" w:hint="default"/>
                <w:sz w:val="18"/>
                <w:szCs w:val="18"/>
              </w:rPr>
            </w:pPr>
            <w:r>
              <w:rPr>
                <w:rFonts w:ascii="Times New Roman"/>
                <w:sz w:val="18"/>
              </w:rPr>
              <w:t>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179,590.4</w:t>
            </w:r>
          </w:p>
          <w:p>
            <w:pPr>
              <w:pStyle w:val="TableParagraph"/>
              <w:spacing w:line="240" w:lineRule="auto" w:before="103"/>
              <w:ind w:right="23"/>
              <w:jc w:val="right"/>
              <w:rPr>
                <w:rFonts w:ascii="Times New Roman" w:hAnsi="Times New Roman" w:cs="Times New Roman" w:eastAsia="Times New Roman" w:hint="default"/>
                <w:sz w:val="18"/>
                <w:szCs w:val="18"/>
              </w:rPr>
            </w:pPr>
            <w:r>
              <w:rPr>
                <w:rFonts w:ascii="Times New Roman"/>
                <w:sz w:val="18"/>
              </w:rPr>
              <w:t>3</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51,731.38</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7"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无此情况</w:t>
            </w:r>
          </w:p>
        </w:tc>
      </w:tr>
      <w:tr>
        <w:trPr>
          <w:trHeight w:val="71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715"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超募资金的金额、用 途及使用进展情况</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6"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1" w:hRule="exact"/>
        </w:trPr>
        <w:tc>
          <w:tcPr>
            <w:tcW w:w="17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4" w:lineRule="auto"/>
              <w:ind w:left="24" w:right="108"/>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027" w:hRule="exact"/>
        </w:trPr>
        <w:tc>
          <w:tcPr>
            <w:tcW w:w="1764" w:type="dxa"/>
            <w:vMerge/>
            <w:tcBorders>
              <w:left w:val="single" w:sz="4" w:space="0" w:color="000000"/>
              <w:bottom w:val="single" w:sz="4" w:space="0" w:color="000000"/>
              <w:right w:val="single" w:sz="4" w:space="0" w:color="000000"/>
            </w:tcBorders>
            <w:shd w:val="clear" w:color="auto" w:fill="D2D2D2"/>
          </w:tcPr>
          <w:p>
            <w:pP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使用自有资金垫支本次非公开发行其他发行费用 </w:t>
            </w:r>
            <w:r>
              <w:rPr>
                <w:rFonts w:ascii="Times New Roman" w:hAnsi="Times New Roman" w:cs="Times New Roman" w:eastAsia="Times New Roman" w:hint="default"/>
                <w:sz w:val="18"/>
                <w:szCs w:val="18"/>
              </w:rPr>
              <w:t>121.43</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万元；中信建投证券股份有限公司在募集资</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金总额中扣除了财务顾问费用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106.00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万元，财务顾问费应由自有资金支付；该部分垫支资金已于</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月进行了资金置换。</w:t>
            </w:r>
          </w:p>
        </w:tc>
      </w:tr>
      <w:tr>
        <w:trPr>
          <w:trHeight w:val="71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项目实施出现募集资</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r>
        <w:rPr/>
        <w:pict>
          <v:shape style="position:absolute;margin-left:111.963005pt;margin-top:558.909973pt;width:65.1pt;height:19.6pt;mso-position-horizontal-relative:page;mso-position-vertical-relative:page;z-index:-1265560" type="#_x0000_t202" filled="false" stroked="false">
            <v:textbox inset="0,0,0,0">
              <w:txbxContent>
                <w:p>
                  <w:pPr>
                    <w:pStyle w:val="BodyText"/>
                    <w:spacing w:line="240" w:lineRule="auto" w:before="49"/>
                    <w:ind w:left="0" w:right="0"/>
                    <w:jc w:val="left"/>
                  </w:pPr>
                  <w:r>
                    <w:rPr/>
                    <w:t>（如有）</w:t>
                  </w:r>
                </w:p>
              </w:txbxContent>
            </v:textbox>
            <w10:wrap type="none"/>
          </v:shape>
        </w:pict>
      </w:r>
      <w:r>
        <w:rPr/>
        <w:pict>
          <v:shape style="position:absolute;margin-left:111.963005pt;margin-top:578.950012pt;width:65.1pt;height:19.6pt;mso-position-horizontal-relative:page;mso-position-vertical-relative:page;z-index:-1265536" type="#_x0000_t202" filled="false" stroked="false">
            <v:textbox inset="0,0,0,0">
              <w:txbxContent>
                <w:p>
                  <w:pPr>
                    <w:pStyle w:val="BodyText"/>
                    <w:spacing w:line="240" w:lineRule="auto" w:before="49"/>
                    <w:ind w:left="0" w:right="0"/>
                    <w:jc w:val="left"/>
                  </w:pPr>
                  <w:r>
                    <w:rPr/>
                    <w:t>（如有）</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1763"/>
        <w:gridCol w:w="7806"/>
      </w:tblGrid>
      <w:tr>
        <w:trPr>
          <w:trHeight w:val="36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金结余的金额及原因</w:t>
            </w:r>
          </w:p>
        </w:tc>
        <w:tc>
          <w:tcPr>
            <w:tcW w:w="7806" w:type="dxa"/>
            <w:tcBorders>
              <w:top w:val="single" w:sz="4" w:space="0" w:color="000000"/>
              <w:left w:val="single" w:sz="4" w:space="0" w:color="000000"/>
              <w:bottom w:val="single" w:sz="4" w:space="0" w:color="000000"/>
              <w:right w:val="single" w:sz="4" w:space="0" w:color="000000"/>
            </w:tcBorders>
          </w:tcPr>
          <w:p>
            <w:pPr/>
          </w:p>
        </w:tc>
      </w:tr>
      <w:tr>
        <w:trPr>
          <w:trHeight w:val="360" w:hRule="exact"/>
        </w:trPr>
        <w:tc>
          <w:tcPr>
            <w:tcW w:w="1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日公司第四届董事会第三次会议，审议通过了《关于使用部分闲置募集资金和自有</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资金购买理财产品的议案</w:t>
            </w:r>
            <w:r>
              <w:rPr>
                <w:rFonts w:ascii="宋体" w:hAnsi="宋体" w:cs="宋体" w:eastAsia="宋体" w:hint="default"/>
                <w:spacing w:val="-92"/>
                <w:sz w:val="18"/>
                <w:szCs w:val="18"/>
              </w:rPr>
              <w:t>》</w:t>
            </w:r>
            <w:r>
              <w:rPr>
                <w:rFonts w:ascii="宋体" w:hAnsi="宋体" w:cs="宋体" w:eastAsia="宋体" w:hint="default"/>
                <w:spacing w:val="-82"/>
                <w:sz w:val="18"/>
                <w:szCs w:val="18"/>
              </w:rPr>
              <w:t>，</w:t>
            </w:r>
            <w:r>
              <w:rPr>
                <w:rFonts w:ascii="宋体" w:hAnsi="宋体" w:cs="宋体" w:eastAsia="宋体" w:hint="default"/>
                <w:sz w:val="18"/>
                <w:szCs w:val="18"/>
              </w:rPr>
              <w:t>同意公司使用不超过人民币</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亿</w:t>
            </w:r>
            <w:r>
              <w:rPr>
                <w:rFonts w:ascii="宋体" w:hAnsi="宋体" w:cs="宋体" w:eastAsia="宋体" w:hint="default"/>
                <w:sz w:val="18"/>
                <w:szCs w:val="18"/>
              </w:rPr>
              <w:t>元额度的短期闲置募集资金和不超过人</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尚未使用的募集资金</w:t>
            </w: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亿元额度的短期闲置自有资金购买安全性高、流动性好、有保本约定、一年以内的短期保本</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用途及去向</w:t>
            </w: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型理财产品。在上述额度内，资金可以在</w:t>
            </w:r>
            <w:r>
              <w:rPr>
                <w:rFonts w:ascii="宋体" w:hAnsi="宋体" w:cs="宋体" w:eastAsia="宋体" w:hint="default"/>
                <w:spacing w:val="-13"/>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日前进行滚动使用，相关决议自董事会审</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议通过之日起至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日前有效。尚未使用的募集资金存放在募集资金专户中，用于募集</w:t>
            </w:r>
          </w:p>
        </w:tc>
      </w:tr>
      <w:tr>
        <w:trPr>
          <w:trHeight w:val="353" w:hRule="exact"/>
        </w:trPr>
        <w:tc>
          <w:tcPr>
            <w:tcW w:w="1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资金投资项目的后续投入。</w:t>
            </w:r>
          </w:p>
        </w:tc>
      </w:tr>
      <w:tr>
        <w:trPr>
          <w:trHeight w:val="360" w:hRule="exact"/>
        </w:trPr>
        <w:tc>
          <w:tcPr>
            <w:tcW w:w="1763"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经</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日公司第三届董事会第二十一次会议、</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日公司</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年年度股东大</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会审议通过，公司本次重组拟非公开发行募集配套资金不超过</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380,000</w:t>
            </w:r>
            <w:r>
              <w:rPr>
                <w:rFonts w:ascii="Times New Roman" w:hAnsi="Times New Roman" w:cs="Times New Roman" w:eastAsia="Times New Roman" w:hint="default"/>
                <w:spacing w:val="-8"/>
                <w:sz w:val="18"/>
                <w:szCs w:val="18"/>
              </w:rPr>
              <w:t> </w:t>
            </w:r>
            <w:r>
              <w:rPr>
                <w:rFonts w:ascii="宋体" w:hAnsi="宋体" w:cs="宋体" w:eastAsia="宋体" w:hint="default"/>
                <w:spacing w:val="-4"/>
                <w:sz w:val="18"/>
                <w:szCs w:val="18"/>
              </w:rPr>
              <w:t>万元，其中：</w:t>
            </w:r>
            <w:r>
              <w:rPr>
                <w:rFonts w:ascii="Times New Roman" w:hAnsi="Times New Roman" w:cs="Times New Roman" w:eastAsia="Times New Roman" w:hint="default"/>
                <w:spacing w:val="-4"/>
                <w:sz w:val="18"/>
                <w:szCs w:val="18"/>
              </w:rPr>
              <w:t>354,459.33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万元</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募集资金使用及披露</w:t>
            </w: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拟用于支付本次交易标的资产现金对价，</w:t>
            </w:r>
            <w:r>
              <w:rPr>
                <w:rFonts w:ascii="Times New Roman" w:hAnsi="Times New Roman" w:cs="Times New Roman" w:eastAsia="Times New Roman" w:hint="default"/>
                <w:sz w:val="18"/>
                <w:szCs w:val="18"/>
              </w:rPr>
              <w:t>22,000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万元用于趣驾</w:t>
            </w:r>
            <w:r>
              <w:rPr>
                <w:rFonts w:ascii="宋体" w:hAnsi="宋体" w:cs="宋体" w:eastAsia="宋体" w:hint="default"/>
                <w:spacing w:val="-52"/>
                <w:sz w:val="18"/>
                <w:szCs w:val="18"/>
              </w:rPr>
              <w:t> </w:t>
            </w:r>
            <w:r>
              <w:rPr>
                <w:rFonts w:ascii="Times New Roman" w:hAnsi="Times New Roman" w:cs="Times New Roman" w:eastAsia="Times New Roman" w:hint="default"/>
                <w:spacing w:val="-3"/>
                <w:sz w:val="18"/>
                <w:szCs w:val="18"/>
              </w:rPr>
              <w:t>Welink</w:t>
            </w:r>
            <w:r>
              <w:rPr>
                <w:rFonts w:ascii="Times New Roman" w:hAnsi="Times New Roman" w:cs="Times New Roman" w:eastAsia="Times New Roman" w:hint="default"/>
                <w:spacing w:val="-8"/>
                <w:sz w:val="18"/>
                <w:szCs w:val="18"/>
              </w:rPr>
              <w:t> </w:t>
            </w:r>
            <w:r>
              <w:rPr>
                <w:rFonts w:ascii="宋体" w:hAnsi="宋体" w:cs="宋体" w:eastAsia="宋体" w:hint="default"/>
                <w:spacing w:val="-6"/>
                <w:sz w:val="18"/>
                <w:szCs w:val="18"/>
              </w:rPr>
              <w:t>项目，剩余</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3,540.67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万元用于</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中存在的问题或其他</w:t>
            </w: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pacing w:val="18"/>
                <w:sz w:val="18"/>
                <w:szCs w:val="18"/>
              </w:rPr>
              <w:t>支付本次交易相关费用。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 </w:t>
            </w:r>
            <w:r>
              <w:rPr>
                <w:rFonts w:ascii="Times New Roman" w:hAnsi="Times New Roman" w:cs="Times New Roman" w:eastAsia="Times New Roman" w:hint="default"/>
                <w:sz w:val="18"/>
                <w:szCs w:val="18"/>
              </w:rPr>
              <w:t>10  </w:t>
            </w:r>
            <w:r>
              <w:rPr>
                <w:rFonts w:ascii="宋体" w:hAnsi="宋体" w:cs="宋体" w:eastAsia="宋体" w:hint="default"/>
                <w:spacing w:val="18"/>
                <w:sz w:val="18"/>
                <w:szCs w:val="18"/>
              </w:rPr>
              <w:t>日公司完成配套募集资金，</w:t>
            </w:r>
            <w:r>
              <w:rPr>
                <w:rFonts w:ascii="宋体" w:hAnsi="宋体" w:cs="宋体" w:eastAsia="宋体" w:hint="default"/>
                <w:spacing w:val="-36"/>
                <w:sz w:val="18"/>
                <w:szCs w:val="18"/>
              </w:rPr>
              <w:t> </w:t>
            </w:r>
            <w:r>
              <w:rPr>
                <w:rFonts w:ascii="宋体" w:hAnsi="宋体" w:cs="宋体" w:eastAsia="宋体" w:hint="default"/>
                <w:spacing w:val="17"/>
                <w:sz w:val="18"/>
                <w:szCs w:val="18"/>
              </w:rPr>
              <w:t>实际募集资金净额</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left="22" w:right="0"/>
              <w:jc w:val="left"/>
              <w:rPr>
                <w:rFonts w:ascii="宋体" w:hAnsi="宋体" w:cs="宋体" w:eastAsia="宋体" w:hint="default"/>
                <w:sz w:val="18"/>
                <w:szCs w:val="18"/>
              </w:rPr>
            </w:pPr>
            <w:r>
              <w:rPr>
                <w:rFonts w:ascii="宋体" w:hAnsi="宋体" w:cs="宋体" w:eastAsia="宋体" w:hint="default"/>
                <w:sz w:val="18"/>
                <w:szCs w:val="18"/>
              </w:rPr>
              <w:t>情况</w:t>
            </w: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3,327,095,658.25</w:t>
            </w:r>
            <w:r>
              <w:rPr>
                <w:rFonts w:ascii="Times New Roman" w:hAnsi="Times New Roman" w:cs="Times New Roman" w:eastAsia="Times New Roman" w:hint="default"/>
                <w:spacing w:val="43"/>
                <w:sz w:val="18"/>
                <w:szCs w:val="18"/>
              </w:rPr>
              <w:t> </w:t>
            </w:r>
            <w:r>
              <w:rPr>
                <w:rFonts w:ascii="宋体" w:hAnsi="宋体" w:cs="宋体" w:eastAsia="宋体" w:hint="default"/>
                <w:spacing w:val="-2"/>
                <w:sz w:val="18"/>
                <w:szCs w:val="18"/>
              </w:rPr>
              <w:t>元。公司拟将前述募集资金净额全部用于支付本次交易标的资产现金对价，差额部</w:t>
            </w:r>
          </w:p>
        </w:tc>
      </w:tr>
      <w:tr>
        <w:trPr>
          <w:trHeight w:val="312" w:hRule="exact"/>
        </w:trPr>
        <w:tc>
          <w:tcPr>
            <w:tcW w:w="1763" w:type="dxa"/>
            <w:tcBorders>
              <w:top w:val="nil" w:sz="6" w:space="0" w:color="auto"/>
              <w:left w:val="single" w:sz="4" w:space="0" w:color="000000"/>
              <w:bottom w:val="nil" w:sz="6" w:space="0" w:color="auto"/>
              <w:right w:val="single" w:sz="4" w:space="0" w:color="000000"/>
            </w:tcBorders>
            <w:shd w:val="clear" w:color="auto" w:fill="D2D2D2"/>
          </w:tcPr>
          <w:p>
            <w:pPr/>
          </w:p>
        </w:tc>
        <w:tc>
          <w:tcPr>
            <w:tcW w:w="780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分公司将以自有资金支付；此外，公司拟以自有资金投资于趣驾</w:t>
            </w:r>
            <w:r>
              <w:rPr>
                <w:rFonts w:ascii="宋体" w:hAnsi="宋体" w:cs="宋体" w:eastAsia="宋体" w:hint="default"/>
                <w:spacing w:val="-75"/>
                <w:sz w:val="18"/>
                <w:szCs w:val="18"/>
              </w:rPr>
              <w:t> </w:t>
            </w:r>
            <w:r>
              <w:rPr>
                <w:rFonts w:ascii="Times New Roman" w:hAnsi="Times New Roman" w:cs="Times New Roman" w:eastAsia="Times New Roman" w:hint="default"/>
                <w:spacing w:val="-3"/>
                <w:sz w:val="18"/>
                <w:szCs w:val="18"/>
              </w:rPr>
              <w:t>Welink</w:t>
            </w:r>
            <w:r>
              <w:rPr>
                <w:rFonts w:ascii="Times New Roman" w:hAnsi="Times New Roman" w:cs="Times New Roman" w:eastAsia="Times New Roman" w:hint="default"/>
                <w:spacing w:val="-30"/>
                <w:sz w:val="18"/>
                <w:szCs w:val="18"/>
              </w:rPr>
              <w:t> </w:t>
            </w:r>
            <w:r>
              <w:rPr>
                <w:rFonts w:ascii="宋体" w:hAnsi="宋体" w:cs="宋体" w:eastAsia="宋体" w:hint="default"/>
                <w:sz w:val="18"/>
                <w:szCs w:val="18"/>
              </w:rPr>
              <w:t>项目，以及支付本次交易相</w:t>
            </w:r>
          </w:p>
        </w:tc>
      </w:tr>
      <w:tr>
        <w:trPr>
          <w:trHeight w:val="355" w:hRule="exact"/>
        </w:trPr>
        <w:tc>
          <w:tcPr>
            <w:tcW w:w="1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关费用。</w:t>
            </w:r>
          </w:p>
        </w:tc>
      </w:tr>
    </w:tbl>
    <w:p>
      <w:pPr>
        <w:spacing w:line="240" w:lineRule="auto" w:before="3"/>
        <w:rPr>
          <w:rFonts w:ascii="宋体" w:hAnsi="宋体" w:cs="宋体" w:eastAsia="宋体" w:hint="default"/>
          <w:sz w:val="24"/>
          <w:szCs w:val="24"/>
        </w:rPr>
      </w:pPr>
    </w:p>
    <w:p>
      <w:pPr>
        <w:spacing w:line="429" w:lineRule="auto" w:before="32"/>
        <w:ind w:left="3492" w:right="2034" w:hanging="495"/>
        <w:jc w:val="left"/>
        <w:rPr>
          <w:rFonts w:ascii="宋体" w:hAnsi="宋体" w:cs="宋体" w:eastAsia="宋体" w:hint="default"/>
          <w:sz w:val="22"/>
          <w:szCs w:val="22"/>
        </w:rPr>
      </w:pPr>
      <w:r>
        <w:rPr>
          <w:rFonts w:ascii="宋体" w:hAnsi="宋体" w:cs="宋体" w:eastAsia="宋体" w:hint="default"/>
          <w:b/>
          <w:bCs/>
          <w:sz w:val="22"/>
          <w:szCs w:val="22"/>
        </w:rPr>
        <w:t>面向合格投资者公开发行公司债券（第一期）</w:t>
      </w:r>
      <w:r>
        <w:rPr>
          <w:rFonts w:ascii="宋体" w:hAnsi="宋体" w:cs="宋体" w:eastAsia="宋体" w:hint="default"/>
          <w:b/>
          <w:bCs/>
          <w:w w:val="99"/>
          <w:sz w:val="22"/>
          <w:szCs w:val="22"/>
        </w:rPr>
        <w:t> </w:t>
      </w:r>
      <w:r>
        <w:rPr>
          <w:rFonts w:ascii="宋体" w:hAnsi="宋体" w:cs="宋体" w:eastAsia="宋体" w:hint="default"/>
          <w:b/>
          <w:bCs/>
          <w:sz w:val="22"/>
          <w:szCs w:val="22"/>
        </w:rPr>
        <w:t>募集资金</w:t>
      </w:r>
      <w:r>
        <w:rPr>
          <w:rFonts w:ascii="宋体" w:hAnsi="宋体" w:cs="宋体" w:eastAsia="宋体" w:hint="default"/>
          <w:b/>
          <w:bCs/>
          <w:spacing w:val="-57"/>
          <w:sz w:val="22"/>
          <w:szCs w:val="22"/>
        </w:rPr>
        <w:t> </w:t>
      </w:r>
      <w:r>
        <w:rPr>
          <w:rFonts w:ascii="宋体" w:hAnsi="宋体" w:cs="宋体" w:eastAsia="宋体" w:hint="default"/>
          <w:b/>
          <w:bCs/>
          <w:sz w:val="22"/>
          <w:szCs w:val="22"/>
        </w:rPr>
        <w:t>2017</w:t>
      </w:r>
      <w:r>
        <w:rPr>
          <w:rFonts w:ascii="宋体" w:hAnsi="宋体" w:cs="宋体" w:eastAsia="宋体" w:hint="default"/>
          <w:b/>
          <w:bCs/>
          <w:spacing w:val="-57"/>
          <w:sz w:val="22"/>
          <w:szCs w:val="22"/>
        </w:rPr>
        <w:t> </w:t>
      </w:r>
      <w:r>
        <w:rPr>
          <w:rFonts w:ascii="宋体" w:hAnsi="宋体" w:cs="宋体" w:eastAsia="宋体" w:hint="default"/>
          <w:b/>
          <w:bCs/>
          <w:sz w:val="22"/>
          <w:szCs w:val="22"/>
        </w:rPr>
        <w:t>年度使用情况对照表</w:t>
      </w:r>
      <w:r>
        <w:rPr>
          <w:rFonts w:ascii="宋体" w:hAnsi="宋体" w:cs="宋体" w:eastAsia="宋体" w:hint="default"/>
          <w:b/>
          <w:bCs/>
          <w:w w:val="99"/>
          <w:sz w:val="22"/>
          <w:szCs w:val="22"/>
        </w:rPr>
        <w:t> </w:t>
      </w:r>
      <w:r>
        <w:rPr>
          <w:rFonts w:ascii="宋体" w:hAnsi="宋体" w:cs="宋体" w:eastAsia="宋体" w:hint="default"/>
          <w:sz w:val="22"/>
          <w:szCs w:val="22"/>
        </w:rPr>
      </w:r>
    </w:p>
    <w:p>
      <w:pPr>
        <w:pStyle w:val="BodyText"/>
        <w:spacing w:line="240" w:lineRule="auto" w:before="113"/>
        <w:ind w:left="0" w:right="151"/>
        <w:jc w:val="right"/>
      </w:pPr>
      <w:r>
        <w:rPr/>
        <w:t>单位：万元</w:t>
      </w:r>
    </w:p>
    <w:p>
      <w:pPr>
        <w:spacing w:line="240" w:lineRule="auto" w:before="0"/>
        <w:rPr>
          <w:rFonts w:ascii="宋体" w:hAnsi="宋体" w:cs="宋体" w:eastAsia="宋体" w:hint="default"/>
          <w:sz w:val="14"/>
          <w:szCs w:val="14"/>
        </w:rPr>
      </w:pPr>
    </w:p>
    <w:tbl>
      <w:tblPr>
        <w:tblW w:w="0" w:type="auto"/>
        <w:jc w:val="left"/>
        <w:tblInd w:w="148" w:type="dxa"/>
        <w:tblLayout w:type="fixed"/>
        <w:tblCellMar>
          <w:top w:w="0" w:type="dxa"/>
          <w:left w:w="0" w:type="dxa"/>
          <w:bottom w:w="0" w:type="dxa"/>
          <w:right w:w="0" w:type="dxa"/>
        </w:tblCellMar>
        <w:tblLook w:val="01E0"/>
      </w:tblPr>
      <w:tblGrid>
        <w:gridCol w:w="1764"/>
        <w:gridCol w:w="646"/>
        <w:gridCol w:w="905"/>
        <w:gridCol w:w="938"/>
        <w:gridCol w:w="850"/>
        <w:gridCol w:w="852"/>
        <w:gridCol w:w="708"/>
        <w:gridCol w:w="708"/>
        <w:gridCol w:w="853"/>
        <w:gridCol w:w="708"/>
        <w:gridCol w:w="638"/>
      </w:tblGrid>
      <w:tr>
        <w:trPr>
          <w:trHeight w:val="1650"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518" w:right="65" w:hanging="452"/>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47" w:right="47"/>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 变更项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部分变 更</w:t>
            </w:r>
            <w:r>
              <w:rPr>
                <w:rFonts w:ascii="Times New Roman" w:hAnsi="Times New Roman" w:cs="Times New Roman" w:eastAsia="Times New Roman" w:hint="default"/>
                <w:sz w:val="18"/>
                <w:szCs w:val="18"/>
              </w:rPr>
              <w:t>)</w:t>
            </w:r>
          </w:p>
        </w:tc>
        <w:tc>
          <w:tcPr>
            <w:tcW w:w="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88" w:right="86"/>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91" w:right="84" w:firstLine="14"/>
              <w:jc w:val="left"/>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w:t>
            </w:r>
            <w:r>
              <w:rPr>
                <w:rFonts w:ascii="Times New Roman" w:hAnsi="Times New Roman" w:cs="Times New Roman" w:eastAsia="Times New Roman" w:hint="default"/>
                <w:sz w:val="18"/>
                <w:szCs w:val="18"/>
              </w:rPr>
              <w:t>(1)</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60" w:right="59"/>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59" w:right="60"/>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4" w:right="60"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 末投资 进度</w:t>
            </w:r>
            <w:r>
              <w:rPr>
                <w:rFonts w:ascii="Times New Roman" w:hAnsi="Times New Roman" w:cs="Times New Roman" w:eastAsia="Times New Roman" w:hint="default"/>
                <w:sz w:val="18"/>
                <w:szCs w:val="18"/>
              </w:rPr>
              <w:t>(3)</w:t>
            </w:r>
          </w:p>
          <w:p>
            <w:pPr>
              <w:pStyle w:val="TableParagraph"/>
              <w:spacing w:line="246" w:lineRule="exact"/>
              <w:ind w:left="24" w:right="0"/>
              <w:jc w:val="both"/>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9" w:right="77"/>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59" w:right="62"/>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79" w:right="77"/>
              <w:jc w:val="both"/>
              <w:rPr>
                <w:rFonts w:ascii="宋体" w:hAnsi="宋体" w:cs="宋体" w:eastAsia="宋体" w:hint="default"/>
                <w:sz w:val="18"/>
                <w:szCs w:val="18"/>
              </w:rPr>
            </w:pPr>
            <w:r>
              <w:rPr>
                <w:rFonts w:ascii="宋体" w:hAnsi="宋体" w:cs="宋体" w:eastAsia="宋体" w:hint="default"/>
                <w:sz w:val="18"/>
                <w:szCs w:val="18"/>
              </w:rPr>
              <w:t>是否达 到预计 效益</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3" w:right="43"/>
              <w:jc w:val="center"/>
              <w:rPr>
                <w:rFonts w:ascii="宋体" w:hAnsi="宋体" w:cs="宋体" w:eastAsia="宋体" w:hint="default"/>
                <w:sz w:val="18"/>
                <w:szCs w:val="18"/>
              </w:rPr>
            </w:pPr>
            <w:r>
              <w:rPr>
                <w:rFonts w:ascii="宋体" w:hAnsi="宋体" w:cs="宋体" w:eastAsia="宋体" w:hint="default"/>
                <w:sz w:val="18"/>
                <w:szCs w:val="18"/>
              </w:rPr>
              <w:t>项目可 行性是 否发生 重大变 化</w:t>
            </w:r>
          </w:p>
        </w:tc>
      </w:tr>
      <w:tr>
        <w:trPr>
          <w:trHeight w:val="402" w:hRule="exact"/>
        </w:trPr>
        <w:tc>
          <w:tcPr>
            <w:tcW w:w="957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401" w:hRule="exact"/>
        </w:trPr>
        <w:tc>
          <w:tcPr>
            <w:tcW w:w="1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5,000.00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2,985.10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2,985.10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59.70%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8"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3"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5,000.00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z w:val="18"/>
              </w:rPr>
              <w:t>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2,985.10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w w:val="95"/>
                <w:sz w:val="18"/>
              </w:rPr>
              <w:t>2,985.10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6" w:hRule="exact"/>
        </w:trPr>
        <w:tc>
          <w:tcPr>
            <w:tcW w:w="957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归还银行贷款</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90"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359"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54"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补充流动资金</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0"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59" w:right="0"/>
              <w:jc w:val="left"/>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54" w:right="0"/>
              <w:jc w:val="left"/>
              <w:rPr>
                <w:rFonts w:ascii="Times New Roman" w:hAnsi="Times New Roman" w:cs="Times New Roman" w:eastAsia="Times New Roman" w:hint="default"/>
                <w:sz w:val="18"/>
                <w:szCs w:val="18"/>
              </w:rPr>
            </w:pPr>
            <w:r>
              <w:rPr>
                <w:rFonts w:ascii="Times New Roman"/>
                <w:sz w:val="18"/>
              </w:rPr>
              <w:t>--</w:t>
            </w:r>
          </w:p>
        </w:tc>
      </w:tr>
      <w:tr>
        <w:trPr>
          <w:trHeight w:val="404"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z w:val="18"/>
              </w:rPr>
              <w:t>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2"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290" w:right="0"/>
              <w:jc w:val="left"/>
              <w:rPr>
                <w:rFonts w:ascii="Times New Roman" w:hAnsi="Times New Roman" w:cs="Times New Roman" w:eastAsia="Times New Roman" w:hint="default"/>
                <w:sz w:val="18"/>
                <w:szCs w:val="18"/>
              </w:rPr>
            </w:pPr>
            <w:r>
              <w:rPr>
                <w:rFonts w:ascii="Times New Roman"/>
                <w:sz w:val="18"/>
              </w:rPr>
              <w:t>--</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2" w:right="0"/>
              <w:jc w:val="center"/>
              <w:rPr>
                <w:rFonts w:ascii="Times New Roman" w:hAnsi="Times New Roman" w:cs="Times New Roman" w:eastAsia="Times New Roman" w:hint="default"/>
                <w:sz w:val="18"/>
                <w:szCs w:val="18"/>
              </w:rPr>
            </w:pPr>
            <w:r>
              <w:rPr>
                <w:rFonts w:ascii="Times New Roman"/>
                <w:sz w:val="18"/>
              </w:rPr>
              <w:t>--</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254"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5,000.00</w:t>
            </w:r>
          </w:p>
        </w:tc>
        <w:tc>
          <w:tcPr>
            <w:tcW w:w="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5,000.00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2,985.10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2,985.10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1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7"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08"/>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0"/>
              <w:ind w:left="24"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无此情况</w:t>
            </w:r>
          </w:p>
        </w:tc>
      </w:tr>
      <w:tr>
        <w:trPr>
          <w:trHeight w:val="713"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715" w:hRule="exact"/>
        </w:trPr>
        <w:tc>
          <w:tcPr>
            <w:tcW w:w="1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08"/>
              <w:jc w:val="left"/>
              <w:rPr>
                <w:rFonts w:ascii="宋体" w:hAnsi="宋体" w:cs="宋体" w:eastAsia="宋体" w:hint="default"/>
                <w:sz w:val="18"/>
                <w:szCs w:val="18"/>
              </w:rPr>
            </w:pPr>
            <w:r>
              <w:rPr>
                <w:rFonts w:ascii="宋体" w:hAnsi="宋体" w:cs="宋体" w:eastAsia="宋体" w:hint="default"/>
                <w:sz w:val="18"/>
                <w:szCs w:val="18"/>
              </w:rPr>
              <w:t>超募资金的金额、用 途及使用进展情况</w:t>
            </w:r>
          </w:p>
        </w:tc>
        <w:tc>
          <w:tcPr>
            <w:tcW w:w="780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763"/>
        <w:gridCol w:w="7806"/>
      </w:tblGrid>
      <w:tr>
        <w:trPr>
          <w:trHeight w:val="71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08"/>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5"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3"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08"/>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1340"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8"/>
              <w:ind w:left="22" w:right="108"/>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2"/>
              <w:ind w:left="23" w:right="21"/>
              <w:jc w:val="both"/>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 </w:t>
            </w: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日公司第三届董事会第二十二次会议，审议通过《关于公司符合面向合格投资者 </w:t>
            </w:r>
            <w:r>
              <w:rPr>
                <w:rFonts w:ascii="宋体" w:hAnsi="宋体" w:cs="宋体" w:eastAsia="宋体" w:hint="default"/>
                <w:spacing w:val="-4"/>
                <w:sz w:val="18"/>
                <w:szCs w:val="18"/>
              </w:rPr>
              <w:t>公开发行公司债券条件的议案》，本次公司债券的募集资金拟用于补充公司流动资金。具体募集资金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用途提请股东大会授权董事会根据公司财务状况与资金需求情况，在上述范围内确定。尚未使用的 募集资金存放在募集资金专户中。</w:t>
            </w:r>
          </w:p>
        </w:tc>
      </w:tr>
      <w:tr>
        <w:trPr>
          <w:trHeight w:val="1027" w:hRule="exact"/>
        </w:trPr>
        <w:tc>
          <w:tcPr>
            <w:tcW w:w="1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08"/>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635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公司报告期不存在募集资金变更项目情况。</w:t>
      </w:r>
    </w:p>
    <w:p>
      <w:pPr>
        <w:spacing w:line="240" w:lineRule="auto" w:before="6"/>
        <w:rPr>
          <w:rFonts w:ascii="宋体" w:hAnsi="宋体" w:cs="宋体" w:eastAsia="宋体" w:hint="default"/>
          <w:sz w:val="19"/>
          <w:szCs w:val="19"/>
        </w:rPr>
      </w:pPr>
    </w:p>
    <w:p>
      <w:pPr>
        <w:pStyle w:val="Heading3"/>
        <w:spacing w:line="240" w:lineRule="auto"/>
        <w:ind w:right="0"/>
        <w:jc w:val="left"/>
        <w:rPr>
          <w:b w:val="0"/>
          <w:bCs w:val="0"/>
        </w:rPr>
      </w:pP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、出售重大资产情况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公司报告期未出售重大资产。</w:t>
      </w:r>
    </w:p>
    <w:p>
      <w:pPr>
        <w:spacing w:line="240" w:lineRule="auto" w:before="3"/>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2</w:t>
      </w:r>
      <w:r>
        <w:rPr/>
        <w:t>、出售重大股权情况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3"/>
        <w:spacing w:line="240" w:lineRule="auto"/>
        <w:ind w:right="0"/>
        <w:jc w:val="left"/>
        <w:rPr>
          <w:b w:val="0"/>
          <w:bCs w:val="0"/>
        </w:rPr>
      </w:pPr>
      <w:r>
        <w:rPr/>
        <w:t>七、主要控股参股公司分析</w:t>
      </w:r>
      <w:r>
        <w:rPr>
          <w:b w:val="0"/>
          <w:bCs w:val="0"/>
        </w:rPr>
      </w:r>
    </w:p>
    <w:p>
      <w:pPr>
        <w:spacing w:line="240" w:lineRule="auto" w:before="1"/>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5" w:footer="979" w:top="1060" w:bottom="1160" w:left="980" w:right="980"/>
        </w:sectPr>
      </w:pPr>
    </w:p>
    <w:p>
      <w:pPr>
        <w:pStyle w:val="BodyText"/>
        <w:spacing w:line="240" w:lineRule="auto" w:before="44"/>
        <w:ind w:right="-19"/>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right="-19"/>
        <w:jc w:val="left"/>
      </w:pPr>
      <w:r>
        <w:rPr/>
        <w:t>主要子公司及对公司净利润影响达</w:t>
      </w:r>
      <w:r>
        <w:rPr>
          <w:spacing w:val="-43"/>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980"/>
          <w:cols w:num="2" w:equalWidth="0">
            <w:col w:w="4851" w:space="4069"/>
            <w:col w:w="1030"/>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77"/>
        <w:gridCol w:w="850"/>
        <w:gridCol w:w="1169"/>
        <w:gridCol w:w="1044"/>
        <w:gridCol w:w="1046"/>
        <w:gridCol w:w="1047"/>
        <w:gridCol w:w="1044"/>
        <w:gridCol w:w="1045"/>
        <w:gridCol w:w="1046"/>
      </w:tblGrid>
      <w:tr>
        <w:trPr>
          <w:trHeight w:val="401" w:hRule="exact"/>
        </w:trPr>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4"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0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净资产</w:t>
            </w:r>
          </w:p>
        </w:tc>
        <w:tc>
          <w:tcPr>
            <w:tcW w:w="10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 w:right="0"/>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z w:val="18"/>
                <w:szCs w:val="18"/>
              </w:rPr>
              <w:t>北京世纪高通</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9"/>
              <w:jc w:val="center"/>
              <w:rPr>
                <w:rFonts w:ascii="宋体" w:hAnsi="宋体" w:cs="宋体" w:eastAsia="宋体" w:hint="default"/>
                <w:sz w:val="18"/>
                <w:szCs w:val="18"/>
              </w:rPr>
            </w:pPr>
            <w:r>
              <w:rPr>
                <w:rFonts w:ascii="宋体" w:hAnsi="宋体" w:cs="宋体" w:eastAsia="宋体" w:hint="default"/>
                <w:sz w:val="18"/>
                <w:szCs w:val="18"/>
              </w:rPr>
              <w:t>动态交通信息</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38"/>
              <w:jc w:val="center"/>
              <w:rPr>
                <w:rFonts w:ascii="Times New Roman" w:hAnsi="Times New Roman" w:cs="Times New Roman" w:eastAsia="Times New Roman" w:hint="default"/>
                <w:sz w:val="18"/>
                <w:szCs w:val="18"/>
              </w:rPr>
            </w:pPr>
            <w:r>
              <w:rPr>
                <w:rFonts w:ascii="Times New Roman"/>
                <w:sz w:val="18"/>
              </w:rPr>
              <w:t>46,000,000.0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8" w:right="0"/>
              <w:jc w:val="center"/>
              <w:rPr>
                <w:rFonts w:ascii="Times New Roman" w:hAnsi="Times New Roman" w:cs="Times New Roman" w:eastAsia="Times New Roman" w:hint="default"/>
                <w:sz w:val="18"/>
                <w:szCs w:val="18"/>
              </w:rPr>
            </w:pPr>
            <w:r>
              <w:rPr>
                <w:rFonts w:ascii="Times New Roman"/>
                <w:sz w:val="18"/>
              </w:rPr>
              <w:t>212,908,014.</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4" w:right="0"/>
              <w:jc w:val="center"/>
              <w:rPr>
                <w:rFonts w:ascii="Times New Roman" w:hAnsi="Times New Roman" w:cs="Times New Roman" w:eastAsia="Times New Roman" w:hint="default"/>
                <w:sz w:val="18"/>
                <w:szCs w:val="18"/>
              </w:rPr>
            </w:pPr>
            <w:r>
              <w:rPr>
                <w:rFonts w:ascii="Times New Roman"/>
                <w:sz w:val="18"/>
              </w:rPr>
              <w:t>150,325,766.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6" w:right="0"/>
              <w:jc w:val="center"/>
              <w:rPr>
                <w:rFonts w:ascii="Times New Roman" w:hAnsi="Times New Roman" w:cs="Times New Roman" w:eastAsia="Times New Roman" w:hint="default"/>
                <w:sz w:val="18"/>
                <w:szCs w:val="18"/>
              </w:rPr>
            </w:pPr>
            <w:r>
              <w:rPr>
                <w:rFonts w:ascii="Times New Roman"/>
                <w:sz w:val="18"/>
              </w:rPr>
              <w:t>210,793,120.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44" w:right="0"/>
              <w:jc w:val="center"/>
              <w:rPr>
                <w:rFonts w:ascii="Times New Roman" w:hAnsi="Times New Roman" w:cs="Times New Roman" w:eastAsia="Times New Roman" w:hint="default"/>
                <w:sz w:val="18"/>
                <w:szCs w:val="18"/>
              </w:rPr>
            </w:pPr>
            <w:r>
              <w:rPr>
                <w:rFonts w:ascii="Times New Roman"/>
                <w:sz w:val="18"/>
              </w:rPr>
              <w:t>74,941,968.7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left="52" w:right="0"/>
              <w:jc w:val="center"/>
              <w:rPr>
                <w:rFonts w:ascii="Times New Roman" w:hAnsi="Times New Roman" w:cs="Times New Roman" w:eastAsia="Times New Roman" w:hint="default"/>
                <w:sz w:val="18"/>
                <w:szCs w:val="18"/>
              </w:rPr>
            </w:pPr>
            <w:r>
              <w:rPr>
                <w:rFonts w:ascii="Times New Roman"/>
                <w:sz w:val="18"/>
              </w:rPr>
              <w:t>65,633,979.3</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277"/>
        <w:gridCol w:w="850"/>
        <w:gridCol w:w="1169"/>
        <w:gridCol w:w="1044"/>
        <w:gridCol w:w="1046"/>
        <w:gridCol w:w="1047"/>
        <w:gridCol w:w="1044"/>
        <w:gridCol w:w="1045"/>
        <w:gridCol w:w="1046"/>
      </w:tblGrid>
      <w:tr>
        <w:trPr>
          <w:trHeight w:val="36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科技有限公司</w:t>
            </w:r>
          </w:p>
        </w:tc>
        <w:tc>
          <w:tcPr>
            <w:tcW w:w="850"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z w:val="18"/>
              </w:rPr>
              <w:t>27</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46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7"/>
              <w:jc w:val="right"/>
              <w:rPr>
                <w:rFonts w:ascii="Times New Roman" w:hAnsi="Times New Roman" w:cs="Times New Roman" w:eastAsia="Times New Roman" w:hint="default"/>
                <w:sz w:val="18"/>
                <w:szCs w:val="18"/>
              </w:rPr>
            </w:pPr>
            <w:r>
              <w:rPr>
                <w:rFonts w:ascii="Times New Roman"/>
                <w:sz w:val="18"/>
              </w:rPr>
              <w:t>74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8</w:t>
            </w:r>
          </w:p>
        </w:tc>
      </w:tr>
      <w:tr>
        <w:trPr>
          <w:trHeight w:val="102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362" w:lineRule="auto"/>
              <w:ind w:left="24" w:right="249"/>
              <w:jc w:val="left"/>
              <w:rPr>
                <w:rFonts w:ascii="Times New Roman" w:hAnsi="Times New Roman" w:cs="Times New Roman" w:eastAsia="Times New Roman" w:hint="default"/>
                <w:sz w:val="18"/>
                <w:szCs w:val="18"/>
              </w:rPr>
            </w:pPr>
            <w:r>
              <w:rPr>
                <w:rFonts w:ascii="Times New Roman" w:hAnsi="Times New Roman"/>
                <w:sz w:val="18"/>
              </w:rPr>
              <w:t>Coöperatieve NavInfo</w:t>
            </w:r>
            <w:r>
              <w:rPr>
                <w:rFonts w:ascii="Times New Roman" w:hAnsi="Times New Roman"/>
                <w:spacing w:val="-7"/>
                <w:sz w:val="18"/>
              </w:rPr>
              <w:t> </w:t>
            </w:r>
            <w:r>
              <w:rPr>
                <w:rFonts w:ascii="Times New Roman" w:hAnsi="Times New Roman"/>
                <w:sz w:val="18"/>
              </w:rPr>
              <w:t>U.A.</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53"/>
              <w:jc w:val="both"/>
              <w:rPr>
                <w:rFonts w:ascii="宋体" w:hAnsi="宋体" w:cs="宋体" w:eastAsia="宋体" w:hint="default"/>
                <w:sz w:val="18"/>
                <w:szCs w:val="18"/>
              </w:rPr>
            </w:pPr>
            <w:r>
              <w:rPr>
                <w:rFonts w:ascii="宋体" w:hAnsi="宋体" w:cs="宋体" w:eastAsia="宋体" w:hint="default"/>
                <w:sz w:val="18"/>
                <w:szCs w:val="18"/>
              </w:rPr>
              <w:t>电子地图产品 和服务的研发 和销售</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438,774,602.</w:t>
            </w:r>
          </w:p>
          <w:p>
            <w:pPr>
              <w:pStyle w:val="TableParagraph"/>
              <w:spacing w:line="240" w:lineRule="auto" w:before="105"/>
              <w:ind w:right="24"/>
              <w:jc w:val="right"/>
              <w:rPr>
                <w:rFonts w:ascii="Times New Roman" w:hAnsi="Times New Roman" w:cs="Times New Roman" w:eastAsia="Times New Roman" w:hint="default"/>
                <w:sz w:val="18"/>
                <w:szCs w:val="18"/>
              </w:rPr>
            </w:pPr>
            <w:r>
              <w:rPr>
                <w:rFonts w:ascii="Times New Roman"/>
                <w:spacing w:val="-6"/>
                <w:w w:val="95"/>
                <w:sz w:val="18"/>
              </w:rPr>
              <w:t>11</w:t>
            </w:r>
            <w:r>
              <w:rPr>
                <w:rFonts w:ascii="Times New Roman"/>
                <w:w w:val="95"/>
                <w:sz w:val="18"/>
              </w:rPr>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350,980,977.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325,412,230.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175,755,551.</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154,478,702.</w:t>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93</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left"/>
              <w:rPr>
                <w:rFonts w:ascii="宋体" w:hAnsi="宋体" w:cs="宋体" w:eastAsia="宋体" w:hint="default"/>
                <w:sz w:val="18"/>
                <w:szCs w:val="18"/>
              </w:rPr>
            </w:pPr>
            <w:r>
              <w:rPr>
                <w:rFonts w:ascii="宋体" w:hAnsi="宋体" w:cs="宋体" w:eastAsia="宋体" w:hint="default"/>
                <w:sz w:val="18"/>
                <w:szCs w:val="18"/>
              </w:rPr>
              <w:t>上海纳维信息 技术有限公司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导航电子地图</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8,276,500.00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272,941,408.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16</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127,033,196.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83</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435,339,766.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59,429,781.4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44,430,036.0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w:t>
            </w:r>
          </w:p>
        </w:tc>
      </w:tr>
      <w:tr>
        <w:trPr>
          <w:trHeight w:val="1337"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362" w:lineRule="auto"/>
              <w:ind w:left="24" w:right="393"/>
              <w:jc w:val="left"/>
              <w:rPr>
                <w:rFonts w:ascii="Times New Roman" w:hAnsi="Times New Roman" w:cs="Times New Roman" w:eastAsia="Times New Roman" w:hint="default"/>
                <w:sz w:val="18"/>
                <w:szCs w:val="18"/>
              </w:rPr>
            </w:pPr>
            <w:r>
              <w:rPr>
                <w:rFonts w:ascii="Times New Roman"/>
                <w:sz w:val="18"/>
              </w:rPr>
              <w:t>Mapbar </w:t>
            </w:r>
            <w:r>
              <w:rPr>
                <w:rFonts w:ascii="Times New Roman"/>
                <w:spacing w:val="-2"/>
                <w:sz w:val="18"/>
              </w:rPr>
              <w:t>Technology</w:t>
            </w:r>
            <w:r>
              <w:rPr>
                <w:rFonts w:ascii="Times New Roman"/>
                <w:spacing w:val="-39"/>
                <w:sz w:val="18"/>
              </w:rPr>
              <w:t> </w:t>
            </w:r>
            <w:r>
              <w:rPr>
                <w:rFonts w:ascii="Times New Roman"/>
                <w:spacing w:val="-39"/>
                <w:sz w:val="18"/>
              </w:rPr>
            </w:r>
            <w:r>
              <w:rPr>
                <w:rFonts w:ascii="Times New Roman"/>
                <w:sz w:val="18"/>
              </w:rPr>
              <w:t>Limited</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53"/>
              <w:jc w:val="both"/>
              <w:rPr>
                <w:rFonts w:ascii="宋体" w:hAnsi="宋体" w:cs="宋体" w:eastAsia="宋体" w:hint="default"/>
                <w:sz w:val="18"/>
                <w:szCs w:val="18"/>
              </w:rPr>
            </w:pPr>
            <w:r>
              <w:rPr>
                <w:rFonts w:ascii="宋体" w:hAnsi="宋体" w:cs="宋体" w:eastAsia="宋体" w:hint="default"/>
                <w:sz w:val="18"/>
                <w:szCs w:val="18"/>
              </w:rPr>
              <w:t>移动互联网导 航及车联网产 品的技术开发 服务</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$44,061.24</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290,540,434.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97</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127,001,444.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56</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49,916,606.3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-108,951,611</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.62</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pacing w:val="-1"/>
                <w:sz w:val="18"/>
              </w:rPr>
              <w:t>-108,910,539</w:t>
            </w:r>
          </w:p>
          <w:p>
            <w:pPr>
              <w:pStyle w:val="TableParagraph"/>
              <w:spacing w:line="240" w:lineRule="auto" w:before="105"/>
              <w:ind w:right="16"/>
              <w:jc w:val="right"/>
              <w:rPr>
                <w:rFonts w:ascii="Times New Roman" w:hAnsi="Times New Roman" w:cs="Times New Roman" w:eastAsia="Times New Roman" w:hint="default"/>
                <w:sz w:val="18"/>
                <w:szCs w:val="18"/>
              </w:rPr>
            </w:pPr>
            <w:r>
              <w:rPr>
                <w:rFonts w:ascii="Times New Roman"/>
                <w:sz w:val="18"/>
              </w:rPr>
              <w:t>.25</w:t>
            </w:r>
          </w:p>
        </w:tc>
      </w:tr>
      <w:tr>
        <w:trPr>
          <w:trHeight w:val="716"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61"/>
              <w:jc w:val="left"/>
              <w:rPr>
                <w:rFonts w:ascii="宋体" w:hAnsi="宋体" w:cs="宋体" w:eastAsia="宋体" w:hint="default"/>
                <w:sz w:val="18"/>
                <w:szCs w:val="18"/>
              </w:rPr>
            </w:pPr>
            <w:r>
              <w:rPr>
                <w:rFonts w:ascii="宋体" w:hAnsi="宋体" w:cs="宋体" w:eastAsia="宋体" w:hint="default"/>
                <w:sz w:val="18"/>
                <w:szCs w:val="18"/>
              </w:rPr>
              <w:t>合肥杰发科技 有限公司</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汽车电子芯片</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40,414,277.0</w:t>
            </w:r>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0</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995,881,065.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40</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831,983,365.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75</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517,313,846.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94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202,878,070.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188,218,419.</w:t>
            </w:r>
          </w:p>
          <w:p>
            <w:pPr>
              <w:pStyle w:val="TableParagraph"/>
              <w:spacing w:line="240" w:lineRule="auto" w:before="105"/>
              <w:ind w:right="14"/>
              <w:jc w:val="right"/>
              <w:rPr>
                <w:rFonts w:ascii="Times New Roman" w:hAnsi="Times New Roman" w:cs="Times New Roman" w:eastAsia="Times New Roman" w:hint="default"/>
                <w:sz w:val="18"/>
                <w:szCs w:val="18"/>
              </w:rPr>
            </w:pPr>
            <w:r>
              <w:rPr>
                <w:rFonts w:ascii="Times New Roman"/>
                <w:sz w:val="18"/>
              </w:rPr>
              <w:t>15</w:t>
            </w:r>
          </w:p>
        </w:tc>
      </w:tr>
    </w:tbl>
    <w:p>
      <w:pPr>
        <w:pStyle w:val="BodyText"/>
        <w:spacing w:line="240" w:lineRule="auto" w:before="49"/>
        <w:ind w:right="0"/>
        <w:jc w:val="left"/>
      </w:pPr>
      <w:r>
        <w:rPr/>
        <w:t>报告期内取得和处置子公司的情况</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9"/>
          <w:szCs w:val="19"/>
        </w:rPr>
      </w:pPr>
    </w:p>
    <w:p>
      <w:pPr>
        <w:pStyle w:val="BodyText"/>
        <w:spacing w:line="240" w:lineRule="auto" w:before="44"/>
        <w:ind w:left="0" w:right="156"/>
        <w:jc w:val="right"/>
      </w:pPr>
      <w:r>
        <w:rPr/>
        <w:pict>
          <v:shape style="position:absolute;margin-left:56.400002pt;margin-top:-20.888296pt;width:479.3pt;height:96.5pt;mso-position-horizontal-relative:page;mso-position-vertical-relative:paragraph;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88"/>
                    <w:gridCol w:w="3051"/>
                    <w:gridCol w:w="3332"/>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3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1"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715"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09"/>
                          <w:jc w:val="left"/>
                          <w:rPr>
                            <w:rFonts w:ascii="宋体" w:hAnsi="宋体" w:cs="宋体" w:eastAsia="宋体" w:hint="default"/>
                            <w:sz w:val="18"/>
                            <w:szCs w:val="18"/>
                          </w:rPr>
                        </w:pPr>
                        <w:r>
                          <w:rPr>
                            <w:rFonts w:ascii="宋体" w:hAnsi="宋体" w:cs="宋体" w:eastAsia="宋体" w:hint="default"/>
                            <w:spacing w:val="-3"/>
                            <w:sz w:val="18"/>
                            <w:szCs w:val="18"/>
                          </w:rPr>
                          <w:t>强化产业链布局，增加汽车电子芯片业务</w:t>
                        </w:r>
                        <w:r>
                          <w:rPr>
                            <w:rFonts w:ascii="宋体" w:hAnsi="宋体" w:cs="宋体" w:eastAsia="宋体" w:hint="default"/>
                            <w:sz w:val="18"/>
                            <w:szCs w:val="18"/>
                          </w:rPr>
                          <w:t> 提高业务协同性，增加未来收入和回报</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图新投资新加坡有限公司</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从事投资及收购业务</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第三方股东单方增资（控股转参股）</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无重大影响</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BodyText"/>
        <w:spacing w:line="357" w:lineRule="auto" w:before="44"/>
        <w:ind w:left="513" w:right="0" w:hanging="361"/>
        <w:jc w:val="left"/>
      </w:pPr>
      <w:r>
        <w:rPr/>
        <w:t>主要控股参股公司情况说明 合肥杰发科技有限公司成立于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日，初始投资</w:t>
      </w:r>
      <w:r>
        <w:rPr>
          <w:rFonts w:ascii="Times New Roman" w:hAnsi="Times New Roman" w:cs="Times New Roman" w:eastAsia="Times New Roman" w:hint="default"/>
        </w:rPr>
        <w:t>550.00</w:t>
      </w:r>
      <w:r>
        <w:rPr/>
        <w:t>万美元。</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13</w:t>
      </w:r>
      <w:r>
        <w:rPr/>
        <w:t>日，本公司与杰发科技的所有股</w:t>
      </w:r>
    </w:p>
    <w:p>
      <w:pPr>
        <w:pStyle w:val="BodyText"/>
        <w:spacing w:line="214" w:lineRule="exact"/>
        <w:ind w:right="0"/>
        <w:jc w:val="both"/>
      </w:pPr>
      <w:r>
        <w:rPr/>
        <w:t>东签署《发行股份及支付现金购买资产暨利润补偿协议》，本公司出资</w:t>
      </w:r>
      <w:r>
        <w:rPr>
          <w:rFonts w:ascii="Times New Roman" w:hAnsi="Times New Roman" w:cs="Times New Roman" w:eastAsia="Times New Roman" w:hint="default"/>
        </w:rPr>
        <w:t>387,510.00</w:t>
      </w:r>
      <w:r>
        <w:rPr/>
        <w:t>万元，通过发行股份及支付现金相结合的</w:t>
      </w:r>
    </w:p>
    <w:p>
      <w:pPr>
        <w:pStyle w:val="BodyText"/>
        <w:spacing w:line="300" w:lineRule="auto" w:before="63"/>
        <w:ind w:right="0"/>
        <w:jc w:val="left"/>
      </w:pPr>
      <w:r>
        <w:rPr/>
        <w:t>方式收购杰发科技全体股东所持有的</w:t>
      </w:r>
      <w:r>
        <w:rPr>
          <w:rFonts w:ascii="Times New Roman" w:hAnsi="Times New Roman" w:cs="Times New Roman" w:eastAsia="Times New Roman" w:hint="default"/>
        </w:rPr>
        <w:t>100%</w:t>
      </w:r>
      <w:r>
        <w:rPr/>
        <w:t>的股权。</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17</w:t>
      </w:r>
      <w:r>
        <w:rPr/>
        <w:t>日，公司取得证监会就上述交易的核准批复，</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w:t>
      </w:r>
      <w:r>
        <w:rPr>
          <w:rFonts w:ascii="Times New Roman" w:hAnsi="Times New Roman" w:cs="Times New Roman" w:eastAsia="Times New Roman" w:hint="default"/>
          <w:spacing w:val="16"/>
        </w:rPr>
        <w:t> </w:t>
      </w:r>
      <w:r>
        <w:rPr/>
        <w:t>日，公司完成杰发科技</w:t>
      </w:r>
      <w:r>
        <w:rPr>
          <w:rFonts w:ascii="Times New Roman" w:hAnsi="Times New Roman" w:cs="Times New Roman" w:eastAsia="Times New Roman" w:hint="default"/>
        </w:rPr>
        <w:t>100%</w:t>
      </w:r>
      <w:r>
        <w:rPr/>
        <w:t>股权的过户手续及工商变更登记，本公司自该日起，将杰发科技纳入合并报表范围。</w:t>
      </w:r>
    </w:p>
    <w:p>
      <w:pPr>
        <w:spacing w:line="240" w:lineRule="auto" w:before="5"/>
        <w:rPr>
          <w:rFonts w:ascii="宋体" w:hAnsi="宋体" w:cs="宋体" w:eastAsia="宋体" w:hint="default"/>
          <w:sz w:val="20"/>
          <w:szCs w:val="20"/>
        </w:rPr>
      </w:pPr>
    </w:p>
    <w:p>
      <w:pPr>
        <w:pStyle w:val="Heading3"/>
        <w:spacing w:line="240" w:lineRule="auto"/>
        <w:ind w:right="0"/>
        <w:jc w:val="both"/>
        <w:rPr>
          <w:b w:val="0"/>
          <w:bCs w:val="0"/>
        </w:rPr>
      </w:pPr>
      <w:r>
        <w:rPr/>
        <w:t>八、公司控制的结构化主体情况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spacing w:line="528" w:lineRule="auto" w:before="0"/>
        <w:ind w:left="152" w:right="5494" w:firstLine="0"/>
        <w:jc w:val="left"/>
        <w:rPr>
          <w:rFonts w:ascii="宋体" w:hAnsi="宋体" w:cs="宋体" w:eastAsia="宋体" w:hint="default"/>
          <w:sz w:val="21"/>
          <w:szCs w:val="21"/>
        </w:rPr>
      </w:pPr>
      <w:r>
        <w:rPr>
          <w:rFonts w:ascii="宋体" w:hAnsi="宋体" w:cs="宋体" w:eastAsia="宋体" w:hint="default"/>
          <w:b/>
          <w:bCs/>
          <w:sz w:val="24"/>
          <w:szCs w:val="24"/>
        </w:rPr>
        <w:t>九、公司未来发展的展望</w:t>
      </w:r>
      <w:r>
        <w:rPr>
          <w:rFonts w:ascii="宋体" w:hAnsi="宋体" w:cs="宋体" w:eastAsia="宋体" w:hint="default"/>
          <w:b/>
          <w:bCs/>
          <w:w w:val="99"/>
          <w:sz w:val="24"/>
          <w:szCs w:val="24"/>
        </w:rPr>
        <w:t> </w:t>
      </w:r>
      <w:r>
        <w:rPr>
          <w:rFonts w:ascii="宋体" w:hAnsi="宋体" w:cs="宋体" w:eastAsia="宋体" w:hint="default"/>
          <w:b/>
          <w:bCs/>
          <w:sz w:val="24"/>
          <w:szCs w:val="24"/>
        </w:rPr>
        <w:t>1.</w:t>
      </w:r>
      <w:r>
        <w:rPr>
          <w:rFonts w:ascii="宋体" w:hAnsi="宋体" w:cs="宋体" w:eastAsia="宋体" w:hint="default"/>
          <w:b/>
          <w:bCs/>
          <w:sz w:val="21"/>
          <w:szCs w:val="21"/>
        </w:rPr>
        <w:t>管理层所关注的公司发展机遇和挑战</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5"/>
        <w:spacing w:line="240" w:lineRule="auto" w:before="47"/>
        <w:ind w:left="575" w:right="0"/>
        <w:jc w:val="left"/>
        <w:rPr>
          <w:rFonts w:ascii="宋体" w:hAnsi="宋体" w:cs="宋体" w:eastAsia="宋体" w:hint="default"/>
          <w:b w:val="0"/>
          <w:bCs w:val="0"/>
        </w:rPr>
      </w:pPr>
      <w:r>
        <w:rPr>
          <w:rFonts w:ascii="宋体" w:hAnsi="宋体" w:cs="宋体" w:eastAsia="宋体" w:hint="default"/>
        </w:rPr>
        <w:t>1.1</w:t>
      </w:r>
      <w:r>
        <w:rPr>
          <w:rFonts w:ascii="宋体" w:hAnsi="宋体" w:cs="宋体" w:eastAsia="宋体" w:hint="default"/>
          <w:spacing w:val="-55"/>
        </w:rPr>
        <w:t> </w:t>
      </w:r>
      <w:r>
        <w:rPr/>
        <w:t>机遇</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pStyle w:val="Heading6"/>
        <w:spacing w:line="240" w:lineRule="auto" w:before="0"/>
        <w:ind w:left="573" w:right="0" w:firstLine="0"/>
        <w:jc w:val="left"/>
      </w:pPr>
      <w:r>
        <w:rPr>
          <w:rFonts w:ascii="宋体" w:hAnsi="宋体" w:cs="宋体" w:eastAsia="宋体" w:hint="default"/>
          <w:spacing w:val="-1"/>
        </w:rPr>
        <w:t>1.1.1</w:t>
      </w:r>
      <w:r>
        <w:rPr>
          <w:rFonts w:ascii="宋体" w:hAnsi="宋体" w:cs="宋体" w:eastAsia="宋体" w:hint="default"/>
          <w:spacing w:val="57"/>
        </w:rPr>
        <w:t> </w:t>
      </w:r>
      <w:r>
        <w:rPr>
          <w:spacing w:val="-2"/>
        </w:rPr>
        <w:t>我国居民生活水平进一步改善，与出行相关的居民消费意愿持续提升。根据国家统计局数据，</w:t>
      </w:r>
    </w:p>
    <w:p>
      <w:pPr>
        <w:spacing w:line="240" w:lineRule="auto" w:before="10"/>
        <w:rPr>
          <w:rFonts w:ascii="宋体" w:hAnsi="宋体" w:cs="宋体" w:eastAsia="宋体" w:hint="default"/>
          <w:sz w:val="14"/>
          <w:szCs w:val="14"/>
        </w:rPr>
      </w:pPr>
    </w:p>
    <w:p>
      <w:pPr>
        <w:pStyle w:val="Heading6"/>
        <w:spacing w:line="240" w:lineRule="auto" w:before="0"/>
        <w:ind w:right="0" w:firstLine="0"/>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51"/>
        </w:rPr>
        <w:t> </w:t>
      </w:r>
      <w:r>
        <w:rPr/>
        <w:t>年全国居民人均可支配收入</w:t>
      </w:r>
      <w:r>
        <w:rPr>
          <w:spacing w:val="-49"/>
        </w:rPr>
        <w:t> </w:t>
      </w:r>
      <w:r>
        <w:rPr>
          <w:rFonts w:ascii="宋体" w:hAnsi="宋体" w:cs="宋体" w:eastAsia="宋体" w:hint="default"/>
        </w:rPr>
        <w:t>25974</w:t>
      </w:r>
      <w:r>
        <w:rPr>
          <w:rFonts w:ascii="宋体" w:hAnsi="宋体" w:cs="宋体" w:eastAsia="宋体" w:hint="default"/>
          <w:spacing w:val="-49"/>
        </w:rPr>
        <w:t> </w:t>
      </w:r>
      <w:r>
        <w:rPr>
          <w:spacing w:val="-7"/>
        </w:rPr>
        <w:t>元，比上年实际增长</w:t>
      </w:r>
      <w:r>
        <w:rPr>
          <w:spacing w:val="-48"/>
        </w:rPr>
        <w:t> </w:t>
      </w:r>
      <w:r>
        <w:rPr>
          <w:rFonts w:ascii="宋体" w:hAnsi="宋体" w:cs="宋体" w:eastAsia="宋体" w:hint="default"/>
          <w:spacing w:val="-6"/>
        </w:rPr>
        <w:t>7.3%</w:t>
      </w:r>
      <w:r>
        <w:rPr>
          <w:spacing w:val="-6"/>
        </w:rPr>
        <w:t>，高于人均</w:t>
      </w:r>
      <w:r>
        <w:rPr>
          <w:spacing w:val="-51"/>
        </w:rPr>
        <w:t> </w:t>
      </w:r>
      <w:r>
        <w:rPr>
          <w:rFonts w:ascii="宋体" w:hAnsi="宋体" w:cs="宋体" w:eastAsia="宋体" w:hint="default"/>
        </w:rPr>
        <w:t>GDP</w:t>
      </w:r>
      <w:r>
        <w:rPr>
          <w:rFonts w:ascii="宋体" w:hAnsi="宋体" w:cs="宋体" w:eastAsia="宋体" w:hint="default"/>
          <w:spacing w:val="-49"/>
        </w:rPr>
        <w:t> </w:t>
      </w:r>
      <w:r>
        <w:rPr/>
        <w:t>增速</w:t>
      </w:r>
      <w:r>
        <w:rPr>
          <w:spacing w:val="-49"/>
        </w:rPr>
        <w:t> </w:t>
      </w:r>
      <w:r>
        <w:rPr>
          <w:rFonts w:ascii="宋体" w:hAnsi="宋体" w:cs="宋体" w:eastAsia="宋体" w:hint="default"/>
        </w:rPr>
        <w:t>0.4</w:t>
      </w:r>
      <w:r>
        <w:rPr>
          <w:rFonts w:ascii="宋体" w:hAnsi="宋体" w:cs="宋体" w:eastAsia="宋体" w:hint="default"/>
          <w:spacing w:val="-49"/>
        </w:rPr>
        <w:t> </w:t>
      </w:r>
      <w:r>
        <w:rPr>
          <w:spacing w:val="-6"/>
        </w:rPr>
        <w:t>个百分点；</w:t>
      </w:r>
      <w:r>
        <w:rPr>
          <w:rFonts w:ascii="宋体" w:hAnsi="宋体" w:cs="宋体" w:eastAsia="宋体" w:hint="default"/>
          <w:spacing w:val="-6"/>
        </w:rPr>
        <w:t>2017</w:t>
      </w:r>
    </w:p>
    <w:p>
      <w:pPr>
        <w:spacing w:line="240" w:lineRule="auto" w:before="10"/>
        <w:rPr>
          <w:rFonts w:ascii="宋体" w:hAnsi="宋体" w:cs="宋体" w:eastAsia="宋体" w:hint="default"/>
          <w:sz w:val="14"/>
          <w:szCs w:val="14"/>
        </w:rPr>
      </w:pPr>
    </w:p>
    <w:p>
      <w:pPr>
        <w:pStyle w:val="Heading6"/>
        <w:spacing w:line="408" w:lineRule="auto" w:before="0"/>
        <w:ind w:right="146" w:firstLine="0"/>
        <w:jc w:val="both"/>
      </w:pPr>
      <w:r>
        <w:rPr/>
        <w:t>年全国居民人均消费支出</w:t>
      </w:r>
      <w:r>
        <w:rPr>
          <w:spacing w:val="-36"/>
        </w:rPr>
        <w:t> </w:t>
      </w:r>
      <w:r>
        <w:rPr>
          <w:rFonts w:ascii="宋体" w:hAnsi="宋体" w:cs="宋体" w:eastAsia="宋体" w:hint="default"/>
        </w:rPr>
        <w:t>18322</w:t>
      </w:r>
      <w:r>
        <w:rPr>
          <w:rFonts w:ascii="宋体" w:hAnsi="宋体" w:cs="宋体" w:eastAsia="宋体" w:hint="default"/>
          <w:spacing w:val="-35"/>
        </w:rPr>
        <w:t> </w:t>
      </w:r>
      <w:r>
        <w:rPr/>
        <w:t>元，比上年实际增长</w:t>
      </w:r>
      <w:r>
        <w:rPr>
          <w:spacing w:val="-35"/>
        </w:rPr>
        <w:t> </w:t>
      </w:r>
      <w:r>
        <w:rPr>
          <w:rFonts w:ascii="宋体" w:hAnsi="宋体" w:cs="宋体" w:eastAsia="宋体" w:hint="default"/>
        </w:rPr>
        <w:t>5.4%</w:t>
      </w:r>
      <w:r>
        <w:rPr/>
        <w:t>，其中，居民人均交通通信服务消费支出</w:t>
      </w:r>
      <w:r>
        <w:rPr>
          <w:spacing w:val="-36"/>
        </w:rPr>
        <w:t> </w:t>
      </w:r>
      <w:r>
        <w:rPr>
          <w:rFonts w:ascii="宋体" w:hAnsi="宋体" w:cs="宋体" w:eastAsia="宋体" w:hint="default"/>
        </w:rPr>
        <w:t>2499</w:t>
      </w:r>
      <w:r>
        <w:rPr>
          <w:rFonts w:ascii="宋体" w:hAnsi="宋体" w:cs="宋体" w:eastAsia="宋体" w:hint="default"/>
          <w:w w:val="100"/>
        </w:rPr>
        <w:t> </w:t>
      </w:r>
      <w:r>
        <w:rPr>
          <w:spacing w:val="-2"/>
        </w:rPr>
        <w:t>元，同比上年增长</w:t>
      </w:r>
      <w:r>
        <w:rPr>
          <w:spacing w:val="-29"/>
        </w:rPr>
        <w:t> </w:t>
      </w:r>
      <w:r>
        <w:rPr>
          <w:rFonts w:ascii="宋体" w:hAnsi="宋体" w:cs="宋体" w:eastAsia="宋体" w:hint="default"/>
          <w:spacing w:val="-2"/>
        </w:rPr>
        <w:t>6.9%</w:t>
      </w:r>
      <w:r>
        <w:rPr>
          <w:spacing w:val="-2"/>
        </w:rPr>
        <w:t>，占人均消费支出的比重为</w:t>
      </w:r>
      <w:r>
        <w:rPr>
          <w:spacing w:val="-29"/>
        </w:rPr>
        <w:t> </w:t>
      </w:r>
      <w:r>
        <w:rPr>
          <w:rFonts w:ascii="宋体" w:hAnsi="宋体" w:cs="宋体" w:eastAsia="宋体" w:hint="default"/>
          <w:spacing w:val="-2"/>
        </w:rPr>
        <w:t>13.6%</w:t>
      </w:r>
      <w:r>
        <w:rPr>
          <w:spacing w:val="-2"/>
        </w:rPr>
        <w:t>，占比与上年基本持平。伴随新一代信息技术向</w:t>
      </w:r>
      <w:r>
        <w:rPr>
          <w:spacing w:val="-90"/>
        </w:rPr>
        <w:t> </w:t>
      </w:r>
      <w:r>
        <w:rPr>
          <w:spacing w:val="-90"/>
        </w:rPr>
      </w:r>
      <w:r>
        <w:rPr>
          <w:spacing w:val="-2"/>
        </w:rPr>
        <w:t>各个领域的快速渗透，新型经济模式及出行方式不断出现，国家智慧城市建设、智能网联汽车战略快速推</w:t>
      </w:r>
    </w:p>
    <w:p>
      <w:pPr>
        <w:spacing w:after="0" w:line="408" w:lineRule="auto"/>
        <w:jc w:val="both"/>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pStyle w:val="Heading6"/>
        <w:spacing w:line="408" w:lineRule="auto" w:before="176"/>
        <w:ind w:right="206" w:firstLine="0"/>
        <w:jc w:val="both"/>
        <w:rPr>
          <w:rFonts w:ascii="宋体" w:hAnsi="宋体" w:cs="宋体" w:eastAsia="宋体" w:hint="default"/>
        </w:rPr>
      </w:pPr>
      <w:r>
        <w:rPr>
          <w:spacing w:val="-2"/>
        </w:rPr>
        <w:t>进，正在为居民的智能便捷安全出行、多元化个性化消费提供更广阔的市场需求释放空间，基于位置的信</w:t>
      </w:r>
      <w:r>
        <w:rPr>
          <w:spacing w:val="-43"/>
        </w:rPr>
        <w:t> </w:t>
      </w:r>
      <w:r>
        <w:rPr>
          <w:spacing w:val="-43"/>
        </w:rPr>
      </w:r>
      <w:r>
        <w:rPr/>
        <w:t>息及服务市场发展潜力巨大。</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rFonts w:ascii="宋体" w:hAnsi="宋体" w:cs="宋体" w:eastAsia="宋体" w:hint="default"/>
        </w:rPr>
        <w:t>1.1.2</w:t>
      </w:r>
      <w:r>
        <w:rPr>
          <w:rFonts w:ascii="宋体" w:hAnsi="宋体" w:cs="宋体" w:eastAsia="宋体" w:hint="default"/>
          <w:spacing w:val="-15"/>
        </w:rPr>
        <w:t> </w:t>
      </w:r>
      <w:r>
        <w:rPr/>
        <w:t>我国汽车行业整体运行态势良好，汽车市场加速由高速增长向高质量发展转变，新能源汽车发</w:t>
      </w:r>
      <w:r>
        <w:rPr>
          <w:w w:val="100"/>
        </w:rPr>
        <w:t> </w:t>
      </w:r>
      <w:r>
        <w:rPr/>
        <w:t>展势头强劲。据中国汽车工业协会统计数据，</w:t>
      </w:r>
      <w:r>
        <w:rPr>
          <w:rFonts w:ascii="宋体" w:hAnsi="宋体" w:cs="宋体" w:eastAsia="宋体" w:hint="default"/>
        </w:rPr>
        <w:t>2017</w:t>
      </w:r>
      <w:r>
        <w:rPr>
          <w:rFonts w:ascii="宋体" w:hAnsi="宋体" w:cs="宋体" w:eastAsia="宋体" w:hint="default"/>
          <w:spacing w:val="-58"/>
        </w:rPr>
        <w:t> </w:t>
      </w:r>
      <w:r>
        <w:rPr/>
        <w:t>年我国汽车销量为</w:t>
      </w:r>
      <w:r>
        <w:rPr>
          <w:spacing w:val="-56"/>
        </w:rPr>
        <w:t> </w:t>
      </w:r>
      <w:r>
        <w:rPr>
          <w:rFonts w:ascii="宋体" w:hAnsi="宋体" w:cs="宋体" w:eastAsia="宋体" w:hint="default"/>
        </w:rPr>
        <w:t>2887.9</w:t>
      </w:r>
      <w:r>
        <w:rPr>
          <w:rFonts w:ascii="宋体" w:hAnsi="宋体" w:cs="宋体" w:eastAsia="宋体" w:hint="default"/>
          <w:spacing w:val="-58"/>
        </w:rPr>
        <w:t> </w:t>
      </w:r>
      <w:r>
        <w:rPr/>
        <w:t>万辆，同比增长</w:t>
      </w:r>
      <w:r>
        <w:rPr>
          <w:spacing w:val="-55"/>
        </w:rPr>
        <w:t> </w:t>
      </w:r>
      <w:r>
        <w:rPr>
          <w:rFonts w:ascii="宋体" w:hAnsi="宋体" w:cs="宋体" w:eastAsia="宋体" w:hint="default"/>
          <w:spacing w:val="-3"/>
        </w:rPr>
        <w:t>3%</w:t>
      </w:r>
      <w:r>
        <w:rPr>
          <w:spacing w:val="-3"/>
        </w:rPr>
        <w:t>，连续九</w:t>
      </w:r>
      <w:r>
        <w:rPr>
          <w:w w:val="100"/>
        </w:rPr>
        <w:t> </w:t>
      </w:r>
      <w:r>
        <w:rPr>
          <w:spacing w:val="-5"/>
        </w:rPr>
        <w:t>年蝉联全球第一，汽车市场加速由高速增长向高质量发展转变，且行业经济效益增速明显高于产销量增速。</w:t>
      </w:r>
      <w:r>
        <w:rPr>
          <w:spacing w:val="-4"/>
        </w:rPr>
        <w:t> </w:t>
      </w:r>
      <w:r>
        <w:rPr>
          <w:spacing w:val="-4"/>
        </w:rPr>
        <w:t>其中，</w:t>
      </w:r>
      <w:r>
        <w:rPr>
          <w:rFonts w:ascii="宋体" w:hAnsi="宋体" w:cs="宋体" w:eastAsia="宋体" w:hint="default"/>
          <w:spacing w:val="-4"/>
        </w:rPr>
        <w:t>2017</w:t>
      </w:r>
      <w:r>
        <w:rPr>
          <w:rFonts w:ascii="宋体" w:hAnsi="宋体" w:cs="宋体" w:eastAsia="宋体" w:hint="default"/>
          <w:spacing w:val="-47"/>
        </w:rPr>
        <w:t> </w:t>
      </w:r>
      <w:r>
        <w:rPr/>
        <w:t>年乘用车销量为</w:t>
      </w:r>
      <w:r>
        <w:rPr>
          <w:spacing w:val="-45"/>
        </w:rPr>
        <w:t> </w:t>
      </w:r>
      <w:r>
        <w:rPr>
          <w:rFonts w:ascii="宋体" w:hAnsi="宋体" w:cs="宋体" w:eastAsia="宋体" w:hint="default"/>
        </w:rPr>
        <w:t>2471.8</w:t>
      </w:r>
      <w:r>
        <w:rPr>
          <w:rFonts w:ascii="宋体" w:hAnsi="宋体" w:cs="宋体" w:eastAsia="宋体" w:hint="default"/>
          <w:spacing w:val="-47"/>
        </w:rPr>
        <w:t> </w:t>
      </w:r>
      <w:r>
        <w:rPr>
          <w:spacing w:val="-4"/>
        </w:rPr>
        <w:t>万辆，同比增长</w:t>
      </w:r>
      <w:r>
        <w:rPr>
          <w:spacing w:val="-47"/>
        </w:rPr>
        <w:t> </w:t>
      </w:r>
      <w:r>
        <w:rPr>
          <w:rFonts w:ascii="宋体" w:hAnsi="宋体" w:cs="宋体" w:eastAsia="宋体" w:hint="default"/>
          <w:spacing w:val="-3"/>
        </w:rPr>
        <w:t>1.4%</w:t>
      </w:r>
      <w:r>
        <w:rPr>
          <w:spacing w:val="-3"/>
        </w:rPr>
        <w:t>，市场增长趋稳；自主品牌乘用车销量为</w:t>
      </w:r>
      <w:r>
        <w:rPr>
          <w:spacing w:val="-43"/>
        </w:rPr>
        <w:t> </w:t>
      </w:r>
      <w:r>
        <w:rPr>
          <w:rFonts w:ascii="宋体" w:hAnsi="宋体" w:cs="宋体" w:eastAsia="宋体" w:hint="default"/>
        </w:rPr>
        <w:t>1084.7</w:t>
      </w:r>
    </w:p>
    <w:p>
      <w:pPr>
        <w:pStyle w:val="Heading6"/>
        <w:spacing w:line="408" w:lineRule="auto"/>
        <w:ind w:right="206" w:firstLine="0"/>
        <w:jc w:val="both"/>
        <w:rPr>
          <w:rFonts w:ascii="宋体" w:hAnsi="宋体" w:cs="宋体" w:eastAsia="宋体" w:hint="default"/>
        </w:rPr>
      </w:pPr>
      <w:r>
        <w:rPr/>
        <w:t>万辆，同比增长</w:t>
      </w:r>
      <w:r>
        <w:rPr>
          <w:spacing w:val="-49"/>
        </w:rPr>
        <w:t> </w:t>
      </w:r>
      <w:r>
        <w:rPr>
          <w:rFonts w:ascii="宋体" w:hAnsi="宋体" w:cs="宋体" w:eastAsia="宋体" w:hint="default"/>
        </w:rPr>
        <w:t>3%</w:t>
      </w:r>
      <w:r>
        <w:rPr/>
        <w:t>，占乘用车总销量比重为</w:t>
      </w:r>
      <w:r>
        <w:rPr>
          <w:spacing w:val="-49"/>
        </w:rPr>
        <w:t> </w:t>
      </w:r>
      <w:r>
        <w:rPr>
          <w:rFonts w:ascii="宋体" w:hAnsi="宋体" w:cs="宋体" w:eastAsia="宋体" w:hint="default"/>
        </w:rPr>
        <w:t>43.9%</w:t>
      </w:r>
      <w:r>
        <w:rPr/>
        <w:t>，比上年同期增长</w:t>
      </w:r>
      <w:r>
        <w:rPr>
          <w:spacing w:val="-49"/>
        </w:rPr>
        <w:t> </w:t>
      </w:r>
      <w:r>
        <w:rPr>
          <w:rFonts w:ascii="宋体" w:hAnsi="宋体" w:cs="宋体" w:eastAsia="宋体" w:hint="default"/>
        </w:rPr>
        <w:t>0.7</w:t>
      </w:r>
      <w:r>
        <w:rPr>
          <w:rFonts w:ascii="宋体" w:hAnsi="宋体" w:cs="宋体" w:eastAsia="宋体" w:hint="default"/>
          <w:spacing w:val="-49"/>
        </w:rPr>
        <w:t> </w:t>
      </w:r>
      <w:r>
        <w:rPr/>
        <w:t>个百分点；商用车销量为</w:t>
      </w:r>
      <w:r>
        <w:rPr>
          <w:spacing w:val="-49"/>
        </w:rPr>
        <w:t> </w:t>
      </w:r>
      <w:r>
        <w:rPr>
          <w:rFonts w:ascii="宋体" w:hAnsi="宋体" w:cs="宋体" w:eastAsia="宋体" w:hint="default"/>
        </w:rPr>
        <w:t>416.1</w:t>
      </w:r>
      <w:r>
        <w:rPr>
          <w:rFonts w:ascii="宋体" w:hAnsi="宋体" w:cs="宋体" w:eastAsia="宋体" w:hint="default"/>
          <w:w w:val="100"/>
        </w:rPr>
        <w:t> </w:t>
      </w:r>
      <w:r>
        <w:rPr/>
        <w:t>万辆，同比增长</w:t>
      </w:r>
      <w:r>
        <w:rPr>
          <w:spacing w:val="-60"/>
        </w:rPr>
        <w:t> </w:t>
      </w:r>
      <w:r>
        <w:rPr>
          <w:rFonts w:ascii="宋体" w:hAnsi="宋体" w:cs="宋体" w:eastAsia="宋体" w:hint="default"/>
        </w:rPr>
        <w:t>14%</w:t>
      </w:r>
      <w:r>
        <w:rPr/>
        <w:t>，比整体行业增速高</w:t>
      </w:r>
      <w:r>
        <w:rPr>
          <w:spacing w:val="-57"/>
        </w:rPr>
        <w:t> </w:t>
      </w:r>
      <w:r>
        <w:rPr>
          <w:rFonts w:ascii="宋体" w:hAnsi="宋体" w:cs="宋体" w:eastAsia="宋体" w:hint="default"/>
        </w:rPr>
        <w:t>10</w:t>
      </w:r>
      <w:r>
        <w:rPr>
          <w:rFonts w:ascii="宋体" w:hAnsi="宋体" w:cs="宋体" w:eastAsia="宋体" w:hint="default"/>
          <w:spacing w:val="-60"/>
        </w:rPr>
        <w:t> </w:t>
      </w:r>
      <w:r>
        <w:rPr/>
        <w:t>个百分点，创历史新高。</w:t>
      </w:r>
      <w:r>
        <w:rPr>
          <w:rFonts w:ascii="宋体" w:hAnsi="宋体" w:cs="宋体" w:eastAsia="宋体" w:hint="default"/>
        </w:rPr>
        <w:t>2018</w:t>
      </w:r>
      <w:r>
        <w:rPr>
          <w:rFonts w:ascii="宋体" w:hAnsi="宋体" w:cs="宋体" w:eastAsia="宋体" w:hint="default"/>
          <w:spacing w:val="-58"/>
        </w:rPr>
        <w:t> </w:t>
      </w:r>
      <w:r>
        <w:rPr/>
        <w:t>年，伴随</w:t>
      </w:r>
      <w:r>
        <w:rPr>
          <w:spacing w:val="-60"/>
        </w:rPr>
        <w:t> </w:t>
      </w:r>
      <w:r>
        <w:rPr>
          <w:rFonts w:ascii="宋体" w:hAnsi="宋体" w:cs="宋体" w:eastAsia="宋体" w:hint="default"/>
        </w:rPr>
        <w:t>1.6L</w:t>
      </w:r>
      <w:r>
        <w:rPr>
          <w:rFonts w:ascii="宋体" w:hAnsi="宋体" w:cs="宋体" w:eastAsia="宋体" w:hint="default"/>
          <w:spacing w:val="-57"/>
        </w:rPr>
        <w:t> </w:t>
      </w:r>
      <w:r>
        <w:rPr/>
        <w:t>及以下小排量乘</w:t>
      </w:r>
      <w:r>
        <w:rPr>
          <w:w w:val="100"/>
        </w:rPr>
        <w:t> </w:t>
      </w:r>
      <w:r>
        <w:rPr>
          <w:spacing w:val="-2"/>
        </w:rPr>
        <w:t>用车购置税优惠红利退出，市场结构将进一步优化；受出行刚需及汽车消费需求进一步释放，汽车市场发</w:t>
      </w:r>
      <w:r>
        <w:rPr>
          <w:spacing w:val="-45"/>
        </w:rPr>
        <w:t> </w:t>
      </w:r>
      <w:r>
        <w:rPr>
          <w:spacing w:val="-45"/>
        </w:rPr>
      </w:r>
      <w:r>
        <w:rPr/>
        <w:t>展空间巨大。</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为落实国家对新兴产业的支持和对节能减排的要求，国家和地方财政陆续出台新能源汽车优惠补贴措</w:t>
      </w:r>
      <w:r>
        <w:rPr>
          <w:w w:val="100"/>
        </w:rPr>
        <w:t> </w:t>
      </w:r>
      <w:r>
        <w:rPr>
          <w:spacing w:val="-2"/>
        </w:rPr>
        <w:t>施有效推进新能源汽车的全面使用；随着新兴造车势力和汽车品牌的接连问世，诸如威马、蔚来、小鹏汽</w:t>
      </w:r>
      <w:r>
        <w:rPr>
          <w:spacing w:val="-44"/>
        </w:rPr>
        <w:t> </w:t>
      </w:r>
      <w:r>
        <w:rPr>
          <w:spacing w:val="-44"/>
        </w:rPr>
      </w:r>
      <w:r>
        <w:rPr>
          <w:spacing w:val="-2"/>
        </w:rPr>
        <w:t>车等，以及在研发、设计等方面技术的创新和提高，新能源汽车性能不断提高，市场发展势头强劲。据中</w:t>
      </w:r>
      <w:r>
        <w:rPr>
          <w:spacing w:val="-43"/>
        </w:rPr>
        <w:t> </w:t>
      </w:r>
      <w:r>
        <w:rPr>
          <w:spacing w:val="-43"/>
        </w:rPr>
      </w:r>
      <w:r>
        <w:rPr/>
        <w:t>国汽车工业协会统计数据，</w:t>
      </w:r>
      <w:r>
        <w:rPr>
          <w:rFonts w:ascii="宋体" w:hAnsi="宋体" w:cs="宋体" w:eastAsia="宋体" w:hint="default"/>
        </w:rPr>
        <w:t>2017</w:t>
      </w:r>
      <w:r>
        <w:rPr>
          <w:rFonts w:ascii="宋体" w:hAnsi="宋体" w:cs="宋体" w:eastAsia="宋体" w:hint="default"/>
          <w:spacing w:val="-34"/>
        </w:rPr>
        <w:t> </w:t>
      </w:r>
      <w:r>
        <w:rPr/>
        <w:t>年新能源汽车销量为</w:t>
      </w:r>
      <w:r>
        <w:rPr>
          <w:spacing w:val="-34"/>
        </w:rPr>
        <w:t> </w:t>
      </w:r>
      <w:r>
        <w:rPr>
          <w:rFonts w:ascii="宋体" w:hAnsi="宋体" w:cs="宋体" w:eastAsia="宋体" w:hint="default"/>
        </w:rPr>
        <w:t>77.7</w:t>
      </w:r>
      <w:r>
        <w:rPr>
          <w:rFonts w:ascii="宋体" w:hAnsi="宋体" w:cs="宋体" w:eastAsia="宋体" w:hint="default"/>
          <w:spacing w:val="-36"/>
        </w:rPr>
        <w:t> </w:t>
      </w:r>
      <w:r>
        <w:rPr/>
        <w:t>万辆，同比增长</w:t>
      </w:r>
      <w:r>
        <w:rPr>
          <w:spacing w:val="-37"/>
        </w:rPr>
        <w:t> </w:t>
      </w:r>
      <w:r>
        <w:rPr>
          <w:rFonts w:ascii="宋体" w:hAnsi="宋体" w:cs="宋体" w:eastAsia="宋体" w:hint="default"/>
        </w:rPr>
        <w:t>53.3%</w:t>
      </w:r>
      <w:r>
        <w:rPr/>
        <w:t>，占比汽车市场整体销</w:t>
      </w:r>
      <w:r>
        <w:rPr>
          <w:w w:val="100"/>
        </w:rPr>
        <w:t> </w:t>
      </w:r>
      <w:r>
        <w:rPr/>
        <w:t>量</w:t>
      </w:r>
      <w:r>
        <w:rPr>
          <w:spacing w:val="-60"/>
        </w:rPr>
        <w:t> </w:t>
      </w:r>
      <w:r>
        <w:rPr>
          <w:rFonts w:ascii="宋体" w:hAnsi="宋体" w:cs="宋体" w:eastAsia="宋体" w:hint="default"/>
        </w:rPr>
        <w:t>2.7%</w:t>
      </w:r>
      <w:r>
        <w:rPr/>
        <w:t>，比上年提高了</w:t>
      </w:r>
      <w:r>
        <w:rPr>
          <w:spacing w:val="-63"/>
        </w:rPr>
        <w:t> </w:t>
      </w:r>
      <w:r>
        <w:rPr>
          <w:rFonts w:ascii="宋体" w:hAnsi="宋体" w:cs="宋体" w:eastAsia="宋体" w:hint="default"/>
        </w:rPr>
        <w:t>0.9</w:t>
      </w:r>
      <w:r>
        <w:rPr>
          <w:rFonts w:ascii="宋体" w:hAnsi="宋体" w:cs="宋体" w:eastAsia="宋体" w:hint="default"/>
          <w:spacing w:val="-61"/>
        </w:rPr>
        <w:t> </w:t>
      </w:r>
      <w:r>
        <w:rPr/>
        <w:t>个百分点。根据市场预测，我国新能源汽车占全球份额已近</w:t>
      </w:r>
      <w:r>
        <w:rPr>
          <w:spacing w:val="-60"/>
        </w:rPr>
        <w:t> </w:t>
      </w:r>
      <w:r>
        <w:rPr>
          <w:rFonts w:ascii="宋体" w:hAnsi="宋体" w:cs="宋体" w:eastAsia="宋体" w:hint="default"/>
        </w:rPr>
        <w:t>50%</w:t>
      </w:r>
      <w:r>
        <w:rPr/>
        <w:t>，且还将进一</w:t>
      </w:r>
      <w:r>
        <w:rPr>
          <w:w w:val="100"/>
        </w:rPr>
        <w:t> </w:t>
      </w:r>
      <w:r>
        <w:rPr/>
        <w:t>步提升，我国新能源汽车产业及附属基础设施建设有巨大发展空间。</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rFonts w:ascii="宋体" w:hAnsi="宋体" w:cs="宋体" w:eastAsia="宋体" w:hint="default"/>
        </w:rPr>
        <w:t>1.1.3</w:t>
      </w:r>
      <w:r>
        <w:rPr>
          <w:rFonts w:ascii="宋体" w:hAnsi="宋体" w:cs="宋体" w:eastAsia="宋体" w:hint="default"/>
          <w:spacing w:val="18"/>
        </w:rPr>
        <w:t> </w:t>
      </w:r>
      <w:r>
        <w:rPr>
          <w:spacing w:val="-3"/>
        </w:rPr>
        <w:t>中国智能网联汽车快速发展的技术环境日益成熟。</w:t>
      </w:r>
      <w:r>
        <w:rPr>
          <w:rFonts w:ascii="宋体" w:hAnsi="宋体" w:cs="宋体" w:eastAsia="宋体" w:hint="default"/>
          <w:spacing w:val="-3"/>
        </w:rPr>
        <w:t>2017</w:t>
      </w:r>
      <w:r>
        <w:rPr>
          <w:rFonts w:ascii="宋体" w:hAnsi="宋体" w:cs="宋体" w:eastAsia="宋体" w:hint="default"/>
          <w:spacing w:val="-45"/>
        </w:rPr>
        <w:t> </w:t>
      </w:r>
      <w:r>
        <w:rPr/>
        <w:t>年</w:t>
      </w:r>
      <w:r>
        <w:rPr>
          <w:spacing w:val="-43"/>
        </w:rPr>
        <w:t> </w:t>
      </w:r>
      <w:r>
        <w:rPr>
          <w:rFonts w:ascii="宋体" w:hAnsi="宋体" w:cs="宋体" w:eastAsia="宋体" w:hint="default"/>
        </w:rPr>
        <w:t>12</w:t>
      </w:r>
      <w:r>
        <w:rPr>
          <w:rFonts w:ascii="宋体" w:hAnsi="宋体" w:cs="宋体" w:eastAsia="宋体" w:hint="default"/>
          <w:spacing w:val="-45"/>
        </w:rPr>
        <w:t> </w:t>
      </w:r>
      <w:r>
        <w:rPr/>
        <w:t>月</w:t>
      </w:r>
      <w:r>
        <w:rPr>
          <w:spacing w:val="-43"/>
        </w:rPr>
        <w:t> </w:t>
      </w:r>
      <w:r>
        <w:rPr>
          <w:rFonts w:ascii="宋体" w:hAnsi="宋体" w:cs="宋体" w:eastAsia="宋体" w:hint="default"/>
        </w:rPr>
        <w:t>27</w:t>
      </w:r>
      <w:r>
        <w:rPr>
          <w:rFonts w:ascii="宋体" w:hAnsi="宋体" w:cs="宋体" w:eastAsia="宋体" w:hint="default"/>
          <w:spacing w:val="-45"/>
        </w:rPr>
        <w:t> </w:t>
      </w:r>
      <w:r>
        <w:rPr>
          <w:spacing w:val="-6"/>
        </w:rPr>
        <w:t>日，工业和信息化部、国家</w:t>
      </w:r>
      <w:r>
        <w:rPr>
          <w:w w:val="100"/>
        </w:rPr>
        <w:t> </w:t>
      </w:r>
      <w:r>
        <w:rPr>
          <w:spacing w:val="-2"/>
        </w:rPr>
        <w:t>标准化管理委员会联合发布《国家车联网产业标准体系建设指南（智能网联汽车）》，明确了智能网联汽</w:t>
      </w:r>
      <w:r>
        <w:rPr>
          <w:spacing w:val="-43"/>
        </w:rPr>
        <w:t> </w:t>
      </w:r>
      <w:r>
        <w:rPr>
          <w:spacing w:val="-43"/>
        </w:rPr>
      </w:r>
      <w:r>
        <w:rPr>
          <w:spacing w:val="-2"/>
        </w:rPr>
        <w:t>车发展路径和关键技术，进一步引导和推动核心功能及性能的技术要求及评价标准建设，加速推进智能网</w:t>
      </w:r>
      <w:r>
        <w:rPr>
          <w:spacing w:val="-43"/>
        </w:rPr>
        <w:t> </w:t>
      </w:r>
      <w:r>
        <w:rPr>
          <w:spacing w:val="-43"/>
        </w:rPr>
      </w:r>
      <w:r>
        <w:rPr>
          <w:spacing w:val="-6"/>
        </w:rPr>
        <w:t>联汽车产业化进程。</w:t>
      </w:r>
      <w:r>
        <w:rPr>
          <w:spacing w:val="26"/>
        </w:rPr>
        <w:t> </w:t>
      </w:r>
      <w:r>
        <w:rPr>
          <w:rFonts w:ascii="宋体" w:hAnsi="宋体" w:cs="宋体" w:eastAsia="宋体" w:hint="default"/>
          <w:spacing w:val="26"/>
        </w:rPr>
      </w:r>
      <w:r>
        <w:rPr>
          <w:rFonts w:ascii="宋体" w:hAnsi="宋体" w:cs="宋体" w:eastAsia="宋体" w:hint="default"/>
        </w:rPr>
        <w:t>2017</w:t>
      </w:r>
      <w:r>
        <w:rPr>
          <w:rFonts w:ascii="宋体" w:hAnsi="宋体" w:cs="宋体" w:eastAsia="宋体" w:hint="default"/>
          <w:spacing w:val="-43"/>
        </w:rPr>
        <w:t> </w:t>
      </w:r>
      <w:r>
        <w:rPr/>
        <w:t>年</w:t>
      </w:r>
      <w:r>
        <w:rPr>
          <w:spacing w:val="-41"/>
        </w:rPr>
        <w:t> </w:t>
      </w:r>
      <w:r>
        <w:rPr>
          <w:rFonts w:ascii="宋体" w:hAnsi="宋体" w:cs="宋体" w:eastAsia="宋体" w:hint="default"/>
        </w:rPr>
        <w:t>11</w:t>
      </w:r>
      <w:r>
        <w:rPr>
          <w:rFonts w:ascii="宋体" w:hAnsi="宋体" w:cs="宋体" w:eastAsia="宋体" w:hint="default"/>
          <w:spacing w:val="-42"/>
        </w:rPr>
        <w:t> </w:t>
      </w:r>
      <w:r>
        <w:rPr>
          <w:spacing w:val="-3"/>
        </w:rPr>
        <w:t>月北斗三号首批组网双星发射成功，北斗系统第三步全球组网计划全面启</w:t>
      </w:r>
      <w:r>
        <w:rPr>
          <w:spacing w:val="-100"/>
        </w:rPr>
        <w:t> </w:t>
      </w:r>
      <w:r>
        <w:rPr>
          <w:spacing w:val="-100"/>
        </w:rPr>
      </w:r>
      <w:r>
        <w:rPr>
          <w:spacing w:val="-2"/>
        </w:rPr>
        <w:t>动，基于北斗系统的高精度时空定位服务、智能终端芯片等将更广泛深入地应用到国计民生、国防建设等</w:t>
      </w:r>
      <w:r>
        <w:rPr>
          <w:spacing w:val="-44"/>
        </w:rPr>
        <w:t> </w:t>
      </w:r>
      <w:r>
        <w:rPr>
          <w:spacing w:val="-44"/>
        </w:rPr>
      </w:r>
      <w:r>
        <w:rPr/>
        <w:t>领域。新一代信息通信网络 </w:t>
      </w:r>
      <w:r>
        <w:rPr>
          <w:rFonts w:ascii="宋体" w:hAnsi="宋体" w:cs="宋体" w:eastAsia="宋体" w:hint="default"/>
        </w:rPr>
        <w:t>5G</w:t>
      </w:r>
      <w:r>
        <w:rPr>
          <w:rFonts w:ascii="宋体" w:hAnsi="宋体" w:cs="宋体" w:eastAsia="宋体" w:hint="default"/>
          <w:spacing w:val="-29"/>
        </w:rPr>
        <w:t> </w:t>
      </w:r>
      <w:r>
        <w:rPr/>
        <w:t>研发进展迅速且与汽车和交通应用结合日益紧密；伴随移动通讯资费大幅</w:t>
      </w:r>
      <w:r>
        <w:rPr>
          <w:w w:val="100"/>
        </w:rPr>
        <w:t> </w:t>
      </w:r>
      <w:r>
        <w:rPr>
          <w:spacing w:val="-7"/>
        </w:rPr>
        <w:t>下调，社会触网环境日益优化。大数据、云计算、人工智能、信息通讯等互联网技术与传统产业无缝融合，</w:t>
      </w:r>
      <w:r>
        <w:rPr>
          <w:spacing w:val="-19"/>
        </w:rPr>
        <w:t> </w:t>
      </w:r>
      <w:r>
        <w:rPr>
          <w:spacing w:val="-19"/>
        </w:rPr>
      </w:r>
      <w:r>
        <w:rPr>
          <w:spacing w:val="-2"/>
        </w:rPr>
        <w:t>新一轮技术浪潮正在全球范围内掀起。伴随以汽车为载体的智能网联技术及产品化验证逐渐落地，智能网</w:t>
      </w:r>
      <w:r>
        <w:rPr>
          <w:spacing w:val="-43"/>
        </w:rPr>
        <w:t> </w:t>
      </w:r>
      <w:r>
        <w:rPr>
          <w:spacing w:val="-43"/>
        </w:rPr>
      </w:r>
      <w:r>
        <w:rPr/>
        <w:t>联汽车商业化进程将会迅速推进。</w:t>
      </w:r>
      <w:r>
        <w:rPr>
          <w:rFonts w:ascii="宋体" w:hAnsi="宋体" w:cs="宋体" w:eastAsia="宋体" w:hint="default"/>
        </w:rPr>
        <w:t> </w:t>
      </w:r>
    </w:p>
    <w:p>
      <w:pPr>
        <w:pStyle w:val="Heading6"/>
        <w:spacing w:line="408" w:lineRule="auto"/>
        <w:ind w:right="206"/>
        <w:jc w:val="both"/>
      </w:pPr>
      <w:r>
        <w:rPr>
          <w:rFonts w:ascii="宋体" w:hAnsi="宋体" w:cs="宋体" w:eastAsia="宋体" w:hint="default"/>
        </w:rPr>
        <w:t>1.1.4 </w:t>
      </w:r>
      <w:r>
        <w:rPr/>
        <w:t>自动驾驶研发及产品化进程加速。根据</w:t>
      </w:r>
      <w:r>
        <w:rPr>
          <w:spacing w:val="-30"/>
        </w:rPr>
        <w:t> </w:t>
      </w:r>
      <w:r>
        <w:rPr>
          <w:rFonts w:ascii="宋体" w:hAnsi="宋体" w:cs="宋体" w:eastAsia="宋体" w:hint="default"/>
        </w:rPr>
        <w:t>Strategy&amp;</w:t>
      </w:r>
      <w:r>
        <w:rPr/>
        <w:t>公司研究显示，自动驾驶、车联网以及车内</w:t>
      </w:r>
      <w:r>
        <w:rPr>
          <w:w w:val="100"/>
        </w:rPr>
        <w:t> </w:t>
      </w:r>
      <w:r>
        <w:rPr/>
        <w:t>信息娱乐作为未来智能网联车产品套餐的重要组成，预期增长率</w:t>
      </w:r>
      <w:r>
        <w:rPr>
          <w:spacing w:val="-34"/>
        </w:rPr>
        <w:t> </w:t>
      </w:r>
      <w:r>
        <w:rPr>
          <w:rFonts w:ascii="宋体" w:hAnsi="宋体" w:cs="宋体" w:eastAsia="宋体" w:hint="default"/>
        </w:rPr>
        <w:t>25%</w:t>
      </w:r>
      <w:r>
        <w:rPr/>
        <w:t>，</w:t>
      </w:r>
      <w:r>
        <w:rPr>
          <w:rFonts w:ascii="宋体" w:hAnsi="宋体" w:cs="宋体" w:eastAsia="宋体" w:hint="default"/>
        </w:rPr>
        <w:t>2022</w:t>
      </w:r>
      <w:r>
        <w:rPr>
          <w:rFonts w:ascii="宋体" w:hAnsi="宋体" w:cs="宋体" w:eastAsia="宋体" w:hint="default"/>
          <w:spacing w:val="-35"/>
        </w:rPr>
        <w:t> </w:t>
      </w:r>
      <w:r>
        <w:rPr/>
        <w:t>年全球规模</w:t>
      </w:r>
      <w:r>
        <w:rPr>
          <w:spacing w:val="-32"/>
        </w:rPr>
        <w:t> </w:t>
      </w:r>
      <w:r>
        <w:rPr>
          <w:rFonts w:ascii="宋体" w:hAnsi="宋体" w:cs="宋体" w:eastAsia="宋体" w:hint="default"/>
        </w:rPr>
        <w:t>1500</w:t>
      </w:r>
      <w:r>
        <w:rPr>
          <w:rFonts w:ascii="宋体" w:hAnsi="宋体" w:cs="宋体" w:eastAsia="宋体" w:hint="default"/>
          <w:spacing w:val="-35"/>
        </w:rPr>
        <w:t> </w:t>
      </w:r>
      <w:r>
        <w:rPr/>
        <w:t>亿美元；随</w:t>
      </w:r>
      <w:r>
        <w:rPr>
          <w:w w:val="100"/>
        </w:rPr>
        <w:t> </w:t>
      </w:r>
      <w:r>
        <w:rPr/>
        <w:t>着技术的进一步普及，到 </w:t>
      </w:r>
      <w:r>
        <w:rPr>
          <w:rFonts w:ascii="宋体" w:hAnsi="宋体" w:cs="宋体" w:eastAsia="宋体" w:hint="default"/>
        </w:rPr>
        <w:t>2022</w:t>
      </w:r>
      <w:r>
        <w:rPr>
          <w:rFonts w:ascii="宋体" w:hAnsi="宋体" w:cs="宋体" w:eastAsia="宋体" w:hint="default"/>
          <w:spacing w:val="-31"/>
        </w:rPr>
        <w:t> </w:t>
      </w:r>
      <w:r>
        <w:rPr/>
        <w:t>年这些增值服务套餐在大众市场的份额会进一步提升，其占汽车总价的比</w:t>
      </w:r>
      <w:r>
        <w:rPr>
          <w:w w:val="100"/>
        </w:rPr>
        <w:t> </w:t>
      </w:r>
      <w:r>
        <w:rPr>
          <w:spacing w:val="-2"/>
        </w:rPr>
        <w:t>重也会进一步提高。面对智能网联汽车产业为自动驾驶领域带来的巨大的商业发展前景，各大主流汽车厂</w:t>
      </w:r>
      <w:r>
        <w:rPr>
          <w:spacing w:val="-43"/>
        </w:rPr>
        <w:t> </w:t>
      </w:r>
      <w:r>
        <w:rPr>
          <w:spacing w:val="-43"/>
        </w:rPr>
      </w:r>
      <w:r>
        <w:rPr>
          <w:spacing w:val="-2"/>
        </w:rPr>
        <w:t>商、科技企业及科研院所在全球范围内加紧实施自动驾驶战略布局及技术和产品化论证，与自动驾驶、无</w:t>
      </w:r>
    </w:p>
    <w:p>
      <w:pPr>
        <w:spacing w:after="0" w:line="408" w:lineRule="auto"/>
        <w:jc w:val="both"/>
        <w:sectPr>
          <w:footerReference w:type="default" r:id="rId36"/>
          <w:pgSz w:w="11910" w:h="16840"/>
          <w:pgMar w:footer="979" w:header="745" w:top="1060" w:bottom="1160" w:left="980" w:right="920"/>
          <w:pgNumType w:start="53"/>
        </w:sectPr>
      </w:pPr>
    </w:p>
    <w:p>
      <w:pPr>
        <w:spacing w:line="240" w:lineRule="auto" w:before="0"/>
        <w:rPr>
          <w:rFonts w:ascii="宋体" w:hAnsi="宋体" w:cs="宋体" w:eastAsia="宋体" w:hint="default"/>
          <w:sz w:val="20"/>
          <w:szCs w:val="20"/>
        </w:rPr>
      </w:pPr>
    </w:p>
    <w:p>
      <w:pPr>
        <w:pStyle w:val="Heading6"/>
        <w:spacing w:line="408" w:lineRule="auto" w:before="176"/>
        <w:ind w:right="206" w:firstLine="0"/>
        <w:jc w:val="both"/>
        <w:rPr>
          <w:rFonts w:ascii="宋体" w:hAnsi="宋体" w:cs="宋体" w:eastAsia="宋体" w:hint="default"/>
        </w:rPr>
      </w:pPr>
      <w:r>
        <w:rPr>
          <w:spacing w:val="-7"/>
        </w:rPr>
        <w:t>人驾驶等相关联的人机交互、人工智能、虚拟现实、神经科学等新技术不断向产业纵深渗透，美国、英国、</w:t>
      </w:r>
      <w:r>
        <w:rPr>
          <w:spacing w:val="-19"/>
        </w:rPr>
        <w:t> </w:t>
      </w:r>
      <w:r>
        <w:rPr>
          <w:spacing w:val="-19"/>
        </w:rPr>
      </w:r>
      <w:r>
        <w:rPr>
          <w:spacing w:val="-2"/>
        </w:rPr>
        <w:t>日本等国家正在积极敦促完善相关法律法规，我国相关国家机构也在积极推进自动驾驶在国内的发展路径</w:t>
      </w:r>
      <w:r>
        <w:rPr>
          <w:spacing w:val="-43"/>
        </w:rPr>
        <w:t> </w:t>
      </w:r>
      <w:r>
        <w:rPr>
          <w:spacing w:val="-43"/>
        </w:rPr>
      </w:r>
      <w:r>
        <w:rPr>
          <w:spacing w:val="-2"/>
        </w:rPr>
        <w:t>落地，为公司在自动驾驶领域挖掘商业契机、吸引行业人才、实施产品及技术联合验证及推广等领域提供</w:t>
      </w:r>
      <w:r>
        <w:rPr>
          <w:spacing w:val="-44"/>
        </w:rPr>
        <w:t> </w:t>
      </w:r>
      <w:r>
        <w:rPr>
          <w:spacing w:val="-44"/>
        </w:rPr>
      </w:r>
      <w:r>
        <w:rPr/>
        <w:t>了巨大的发展空间。</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rFonts w:ascii="宋体" w:hAnsi="宋体" w:cs="宋体" w:eastAsia="宋体" w:hint="default"/>
        </w:rPr>
        <w:t>1.1.5</w:t>
      </w:r>
      <w:r>
        <w:rPr>
          <w:rFonts w:ascii="宋体" w:hAnsi="宋体" w:cs="宋体" w:eastAsia="宋体" w:hint="default"/>
          <w:spacing w:val="-28"/>
        </w:rPr>
        <w:t> </w:t>
      </w:r>
      <w:r>
        <w:rPr/>
        <w:t>国内芯片市场规模巨大，政府强力推进芯片国产化落地以实现自给自足。根据中国半导体行业</w:t>
      </w:r>
      <w:r>
        <w:rPr>
          <w:w w:val="100"/>
        </w:rPr>
        <w:t> </w:t>
      </w:r>
      <w:r>
        <w:rPr/>
        <w:t>协会统计，</w:t>
      </w:r>
      <w:r>
        <w:rPr>
          <w:rFonts w:ascii="宋体" w:hAnsi="宋体" w:cs="宋体" w:eastAsia="宋体" w:hint="default"/>
        </w:rPr>
        <w:t>2017</w:t>
      </w:r>
      <w:r>
        <w:rPr>
          <w:rFonts w:ascii="宋体" w:hAnsi="宋体" w:cs="宋体" w:eastAsia="宋体" w:hint="default"/>
          <w:spacing w:val="-33"/>
        </w:rPr>
        <w:t> </w:t>
      </w:r>
      <w:r>
        <w:rPr/>
        <w:t>年中国集成电路产业销售额达到</w:t>
      </w:r>
      <w:r>
        <w:rPr>
          <w:spacing w:val="-35"/>
        </w:rPr>
        <w:t> </w:t>
      </w:r>
      <w:r>
        <w:rPr>
          <w:rFonts w:ascii="宋体" w:hAnsi="宋体" w:cs="宋体" w:eastAsia="宋体" w:hint="default"/>
        </w:rPr>
        <w:t>5411.3</w:t>
      </w:r>
      <w:r>
        <w:rPr>
          <w:rFonts w:ascii="宋体" w:hAnsi="宋体" w:cs="宋体" w:eastAsia="宋体" w:hint="default"/>
          <w:spacing w:val="-36"/>
        </w:rPr>
        <w:t> </w:t>
      </w:r>
      <w:r>
        <w:rPr/>
        <w:t>亿元，同比增长</w:t>
      </w:r>
      <w:r>
        <w:rPr>
          <w:spacing w:val="-36"/>
        </w:rPr>
        <w:t> </w:t>
      </w:r>
      <w:r>
        <w:rPr>
          <w:rFonts w:ascii="宋体" w:hAnsi="宋体" w:cs="宋体" w:eastAsia="宋体" w:hint="default"/>
        </w:rPr>
        <w:t>24.8%</w:t>
      </w:r>
      <w:r>
        <w:rPr/>
        <w:t>；伴随新一代信息技术时</w:t>
      </w:r>
      <w:r>
        <w:rPr>
          <w:w w:val="100"/>
        </w:rPr>
        <w:t> </w:t>
      </w:r>
      <w:r>
        <w:rPr>
          <w:spacing w:val="-2"/>
        </w:rPr>
        <w:t>代的到来，以及自动驾驶、智能制造、新能源技术等产业的快速发展，半导体芯片新兴应用场景将大规模</w:t>
      </w:r>
      <w:r>
        <w:rPr>
          <w:spacing w:val="-47"/>
        </w:rPr>
        <w:t> </w:t>
      </w:r>
      <w:r>
        <w:rPr>
          <w:spacing w:val="-47"/>
        </w:rPr>
      </w:r>
      <w:r>
        <w:rPr>
          <w:spacing w:val="-2"/>
        </w:rPr>
        <w:t>出现；国家“一带一路”等国家倡议，也正在推进中国芯片产业与世界深度融合，产业发展前景广阔。面</w:t>
      </w:r>
      <w:r>
        <w:rPr>
          <w:spacing w:val="-46"/>
        </w:rPr>
        <w:t> </w:t>
      </w:r>
      <w:r>
        <w:rPr>
          <w:spacing w:val="-46"/>
        </w:rPr>
      </w:r>
      <w:r>
        <w:rPr>
          <w:spacing w:val="-2"/>
        </w:rPr>
        <w:t>对我国芯片产业核心基础能力薄弱、高端芯片产品研发及创新能力与发达国家差距较大的局面，国家不断</w:t>
      </w:r>
      <w:r>
        <w:rPr>
          <w:spacing w:val="-42"/>
        </w:rPr>
        <w:t> </w:t>
      </w:r>
      <w:r>
        <w:rPr>
          <w:spacing w:val="-42"/>
        </w:rPr>
      </w:r>
      <w:r>
        <w:rPr>
          <w:spacing w:val="-2"/>
        </w:rPr>
        <w:t>加大自主知识产权芯片能力的扶持力度，积极打造“中国芯”企业面向产业主流供应链以及在供应链高附</w:t>
      </w:r>
      <w:r>
        <w:rPr>
          <w:spacing w:val="-44"/>
        </w:rPr>
        <w:t> </w:t>
      </w:r>
      <w:r>
        <w:rPr>
          <w:spacing w:val="-44"/>
        </w:rPr>
      </w:r>
      <w:r>
        <w:rPr>
          <w:spacing w:val="-2"/>
        </w:rPr>
        <w:t>加值领域参与国际竞争的能力，持续推进产业扶持政策的实施和落地，部署国家科技重大专项，成立国家</w:t>
      </w:r>
      <w:r>
        <w:rPr>
          <w:spacing w:val="-43"/>
        </w:rPr>
        <w:t> </w:t>
      </w:r>
      <w:r>
        <w:rPr>
          <w:spacing w:val="-43"/>
        </w:rPr>
      </w:r>
      <w:r>
        <w:rPr>
          <w:spacing w:val="-2"/>
        </w:rPr>
        <w:t>集成电路产业投资基金，加大集成电路产业投资布局，建立高精尖人才引进及奖励制度，推进核心关键技</w:t>
      </w:r>
      <w:r>
        <w:rPr>
          <w:spacing w:val="-42"/>
        </w:rPr>
        <w:t> </w:t>
      </w:r>
      <w:r>
        <w:rPr>
          <w:spacing w:val="-42"/>
        </w:rPr>
      </w:r>
      <w:r>
        <w:rPr>
          <w:spacing w:val="-3"/>
        </w:rPr>
        <w:t>术、零部件集中攻关和产业化应用。</w:t>
      </w:r>
      <w:r>
        <w:rPr>
          <w:rFonts w:ascii="宋体" w:hAnsi="宋体" w:cs="宋体" w:eastAsia="宋体" w:hint="default"/>
          <w:spacing w:val="-3"/>
        </w:rPr>
        <w:t>2017 </w:t>
      </w:r>
      <w:r>
        <w:rPr>
          <w:spacing w:val="-4"/>
        </w:rPr>
        <w:t>年《汽车产业中长期发展规划》的发布和实施，也将为国产汽车</w:t>
      </w:r>
      <w:r>
        <w:rPr>
          <w:spacing w:val="-70"/>
        </w:rPr>
        <w:t> </w:t>
      </w:r>
      <w:r>
        <w:rPr>
          <w:spacing w:val="-70"/>
        </w:rPr>
      </w:r>
      <w:r>
        <w:rPr>
          <w:spacing w:val="-2"/>
        </w:rPr>
        <w:t>电子芯片企业在传感器、电控系统、高精度定位、车载终端、操作系统等领域的技术研发及产业化提供了</w:t>
      </w:r>
      <w:r>
        <w:rPr>
          <w:spacing w:val="-47"/>
        </w:rPr>
        <w:t> </w:t>
      </w:r>
      <w:r>
        <w:rPr>
          <w:spacing w:val="-47"/>
        </w:rPr>
      </w:r>
      <w:r>
        <w:rPr/>
        <w:t>良好的政策保障。</w:t>
      </w:r>
      <w:r>
        <w:rPr>
          <w:rFonts w:ascii="宋体" w:hAnsi="宋体" w:cs="宋体" w:eastAsia="宋体" w:hint="default"/>
        </w:rPr>
        <w:t> </w:t>
      </w:r>
    </w:p>
    <w:p>
      <w:pPr>
        <w:pStyle w:val="Heading6"/>
        <w:spacing w:line="408" w:lineRule="auto" w:before="87"/>
        <w:ind w:right="105"/>
        <w:jc w:val="left"/>
        <w:rPr>
          <w:rFonts w:ascii="宋体" w:hAnsi="宋体" w:cs="宋体" w:eastAsia="宋体" w:hint="default"/>
        </w:rPr>
      </w:pPr>
      <w:r>
        <w:rPr>
          <w:rFonts w:ascii="宋体" w:hAnsi="宋体" w:cs="宋体" w:eastAsia="宋体" w:hint="default"/>
        </w:rPr>
        <w:t>1.1.6</w:t>
      </w:r>
      <w:r>
        <w:rPr>
          <w:rFonts w:ascii="宋体" w:hAnsi="宋体" w:cs="宋体" w:eastAsia="宋体" w:hint="default"/>
          <w:spacing w:val="-16"/>
        </w:rPr>
        <w:t> </w:t>
      </w:r>
      <w:r>
        <w:rPr/>
        <w:t>国家将持续对相关领域的高新技术发展提供政策支持。制造强国、科技强国、网络强国、交通</w:t>
      </w:r>
      <w:r>
        <w:rPr>
          <w:w w:val="100"/>
        </w:rPr>
        <w:t> </w:t>
      </w:r>
      <w:r>
        <w:rPr>
          <w:spacing w:val="-8"/>
        </w:rPr>
        <w:t>强国、数字中国、大数据战略、创新驱动发展等已上升为国家战略；“十三五”时期作为《中国制造</w:t>
      </w:r>
      <w:r>
        <w:rPr>
          <w:spacing w:val="-38"/>
        </w:rPr>
        <w:t> </w:t>
      </w:r>
      <w:r>
        <w:rPr>
          <w:rFonts w:ascii="宋体" w:hAnsi="宋体" w:cs="宋体" w:eastAsia="宋体" w:hint="default"/>
        </w:rPr>
        <w:t>2025</w:t>
      </w:r>
      <w:r>
        <w:rPr/>
        <w:t>》</w:t>
      </w:r>
      <w:r>
        <w:rPr>
          <w:spacing w:val="-63"/>
        </w:rPr>
        <w:t> </w:t>
      </w:r>
      <w:r>
        <w:rPr>
          <w:spacing w:val="-2"/>
        </w:rPr>
        <w:t>十年战略的第一个五年关键期，正在推进我国汽车工业未来五年以数字化、网络化、智能化、产品功能低</w:t>
      </w:r>
      <w:r>
        <w:rPr>
          <w:spacing w:val="-47"/>
        </w:rPr>
        <w:t> </w:t>
      </w:r>
      <w:r>
        <w:rPr>
          <w:spacing w:val="-47"/>
        </w:rPr>
      </w:r>
      <w:r>
        <w:rPr>
          <w:spacing w:val="-2"/>
        </w:rPr>
        <w:t>碳清洁化作为发展重点；“一带一路”发展战略为中国企业拓展国际化双向发展提供了空间。面向新一轮</w:t>
      </w:r>
      <w:r>
        <w:rPr>
          <w:spacing w:val="-45"/>
        </w:rPr>
        <w:t> </w:t>
      </w:r>
      <w:r>
        <w:rPr>
          <w:spacing w:val="-45"/>
        </w:rPr>
      </w:r>
      <w:r>
        <w:rPr>
          <w:spacing w:val="-3"/>
        </w:rPr>
        <w:t>全球科技革命产业变革，</w:t>
      </w:r>
      <w:r>
        <w:rPr>
          <w:rFonts w:ascii="宋体" w:hAnsi="宋体" w:cs="宋体" w:eastAsia="宋体" w:hint="default"/>
          <w:spacing w:val="-3"/>
        </w:rPr>
        <w:t>2017</w:t>
      </w:r>
      <w:r>
        <w:rPr>
          <w:rFonts w:ascii="宋体" w:hAnsi="宋体" w:cs="宋体" w:eastAsia="宋体" w:hint="default"/>
          <w:spacing w:val="-38"/>
        </w:rPr>
        <w:t> </w:t>
      </w:r>
      <w:r>
        <w:rPr/>
        <w:t>年</w:t>
      </w:r>
      <w:r>
        <w:rPr>
          <w:spacing w:val="-39"/>
        </w:rPr>
        <w:t> </w:t>
      </w:r>
      <w:r>
        <w:rPr>
          <w:rFonts w:ascii="宋体" w:hAnsi="宋体" w:cs="宋体" w:eastAsia="宋体" w:hint="default"/>
        </w:rPr>
        <w:t>4</w:t>
      </w:r>
      <w:r>
        <w:rPr>
          <w:rFonts w:ascii="宋体" w:hAnsi="宋体" w:cs="宋体" w:eastAsia="宋体" w:hint="default"/>
          <w:spacing w:val="-38"/>
        </w:rPr>
        <w:t> </w:t>
      </w:r>
      <w:r>
        <w:rPr>
          <w:spacing w:val="-4"/>
        </w:rPr>
        <w:t>月发布的《汽车产业中长期发展规划》，将新能源汽车和网联汽车作为</w:t>
      </w:r>
      <w:r>
        <w:rPr>
          <w:spacing w:val="-67"/>
        </w:rPr>
        <w:t> </w:t>
      </w:r>
      <w:r>
        <w:rPr>
          <w:spacing w:val="-67"/>
        </w:rPr>
      </w:r>
      <w:r>
        <w:rPr>
          <w:spacing w:val="-4"/>
        </w:rPr>
        <w:t>汽车产业在新一轮科技革命和产业变革中的突破口。</w:t>
      </w:r>
      <w:r>
        <w:rPr>
          <w:rFonts w:ascii="宋体" w:hAnsi="宋体" w:cs="宋体" w:eastAsia="宋体" w:hint="default"/>
          <w:spacing w:val="-4"/>
        </w:rPr>
        <w:t>2017 </w:t>
      </w:r>
      <w:r>
        <w:rPr>
          <w:spacing w:val="-12"/>
        </w:rPr>
        <w:t>年陆续发布的《新一代人工智能发展规划》及《促</w:t>
      </w:r>
      <w:r>
        <w:rPr>
          <w:spacing w:val="-76"/>
        </w:rPr>
        <w:t> </w:t>
      </w:r>
      <w:r>
        <w:rPr>
          <w:spacing w:val="-76"/>
        </w:rPr>
      </w:r>
      <w:r>
        <w:rPr/>
        <w:t>进新一代人工智能产业发展三年行动计划</w:t>
      </w:r>
      <w:r>
        <w:rPr>
          <w:rFonts w:ascii="宋体" w:hAnsi="宋体" w:cs="宋体" w:eastAsia="宋体" w:hint="default"/>
        </w:rPr>
        <w:t>(2018-2020)</w:t>
      </w:r>
      <w:r>
        <w:rPr/>
        <w:t>》，将致力于推动我国人工智能理论、技术与应用</w:t>
      </w:r>
      <w:r>
        <w:rPr>
          <w:spacing w:val="-28"/>
        </w:rPr>
        <w:t> </w:t>
      </w:r>
      <w:r>
        <w:rPr>
          <w:spacing w:val="-28"/>
        </w:rPr>
      </w:r>
      <w:r>
        <w:rPr/>
        <w:t>总体在</w:t>
      </w:r>
      <w:r>
        <w:rPr>
          <w:spacing w:val="-40"/>
        </w:rPr>
        <w:t> </w:t>
      </w:r>
      <w:r>
        <w:rPr>
          <w:rFonts w:ascii="宋体" w:hAnsi="宋体" w:cs="宋体" w:eastAsia="宋体" w:hint="default"/>
        </w:rPr>
        <w:t>2030</w:t>
      </w:r>
      <w:r>
        <w:rPr>
          <w:rFonts w:ascii="宋体" w:hAnsi="宋体" w:cs="宋体" w:eastAsia="宋体" w:hint="default"/>
          <w:spacing w:val="-41"/>
        </w:rPr>
        <w:t> </w:t>
      </w:r>
      <w:r>
        <w:rPr>
          <w:spacing w:val="-3"/>
        </w:rPr>
        <w:t>年达到世界领先水平，并力争</w:t>
      </w:r>
      <w:r>
        <w:rPr>
          <w:spacing w:val="-41"/>
        </w:rPr>
        <w:t> </w:t>
      </w:r>
      <w:r>
        <w:rPr>
          <w:rFonts w:ascii="宋体" w:hAnsi="宋体" w:cs="宋体" w:eastAsia="宋体" w:hint="default"/>
        </w:rPr>
        <w:t>2020</w:t>
      </w:r>
      <w:r>
        <w:rPr>
          <w:rFonts w:ascii="宋体" w:hAnsi="宋体" w:cs="宋体" w:eastAsia="宋体" w:hint="default"/>
          <w:spacing w:val="-41"/>
        </w:rPr>
        <w:t> </w:t>
      </w:r>
      <w:r>
        <w:rPr>
          <w:spacing w:val="-3"/>
        </w:rPr>
        <w:t>年首先实现包括智能传感器、神经网络芯片、开源开放平</w:t>
      </w:r>
      <w:r>
        <w:rPr>
          <w:spacing w:val="-75"/>
        </w:rPr>
        <w:t> </w:t>
      </w:r>
      <w:r>
        <w:rPr>
          <w:spacing w:val="-75"/>
        </w:rPr>
      </w:r>
      <w:r>
        <w:rPr>
          <w:spacing w:val="-3"/>
        </w:rPr>
        <w:t>台在内的三大核心人工技术的重点突破，</w:t>
      </w:r>
      <w:r>
        <w:rPr>
          <w:rFonts w:ascii="宋体" w:hAnsi="宋体" w:cs="宋体" w:eastAsia="宋体" w:hint="default"/>
          <w:spacing w:val="-3"/>
        </w:rPr>
        <w:t>5G</w:t>
      </w:r>
      <w:r>
        <w:rPr>
          <w:spacing w:val="-3"/>
        </w:rPr>
        <w:t>、算法训练数据库等人工智能配套体系的完善。</w:t>
      </w:r>
      <w:r>
        <w:rPr>
          <w:rFonts w:ascii="宋体" w:hAnsi="宋体" w:cs="宋体" w:eastAsia="宋体" w:hint="default"/>
          <w:spacing w:val="-3"/>
        </w:rPr>
        <w:t>2018</w:t>
      </w:r>
      <w:r>
        <w:rPr>
          <w:rFonts w:ascii="宋体" w:hAnsi="宋体" w:cs="宋体" w:eastAsia="宋体" w:hint="default"/>
          <w:spacing w:val="-45"/>
        </w:rPr>
        <w:t> </w:t>
      </w:r>
      <w:r>
        <w:rPr/>
        <w:t>年</w:t>
      </w:r>
      <w:r>
        <w:rPr>
          <w:spacing w:val="-43"/>
        </w:rPr>
        <w:t> </w:t>
      </w:r>
      <w:r>
        <w:rPr>
          <w:rFonts w:ascii="宋体" w:hAnsi="宋体" w:cs="宋体" w:eastAsia="宋体" w:hint="default"/>
        </w:rPr>
        <w:t>1</w:t>
      </w:r>
      <w:r>
        <w:rPr>
          <w:rFonts w:ascii="宋体" w:hAnsi="宋体" w:cs="宋体" w:eastAsia="宋体" w:hint="default"/>
          <w:spacing w:val="-45"/>
        </w:rPr>
        <w:t> </w:t>
      </w:r>
      <w:r>
        <w:rPr/>
        <w:t>月发</w:t>
      </w:r>
      <w:r>
        <w:rPr>
          <w:spacing w:val="-80"/>
        </w:rPr>
        <w:t> </w:t>
      </w:r>
      <w:r>
        <w:rPr/>
        <w:t>布的《智能汽车创新发展战略》进一步明确了智能汽车产业发展的三步走战略。与之相关联的智能网联、</w:t>
      </w:r>
      <w:r>
        <w:rPr>
          <w:spacing w:val="-23"/>
        </w:rPr>
        <w:t> </w:t>
      </w:r>
      <w:r>
        <w:rPr>
          <w:spacing w:val="-23"/>
        </w:rPr>
      </w:r>
      <w:r>
        <w:rPr>
          <w:spacing w:val="-7"/>
        </w:rPr>
        <w:t>自动驾驶汽车、清洁能源汽车、卫星导航及定位、车规级芯片、数据服务等行业正在迎来空前的发展机遇。</w:t>
      </w:r>
      <w:r>
        <w:rPr>
          <w:rFonts w:ascii="宋体" w:hAnsi="宋体" w:cs="宋体" w:eastAsia="宋体" w:hint="default"/>
        </w:rPr>
        <w:t> </w:t>
      </w:r>
    </w:p>
    <w:p>
      <w:pPr>
        <w:pStyle w:val="Heading6"/>
        <w:spacing w:line="408" w:lineRule="auto"/>
        <w:ind w:right="206"/>
        <w:jc w:val="both"/>
      </w:pPr>
      <w:r>
        <w:rPr>
          <w:rFonts w:ascii="宋体" w:hAnsi="宋体" w:cs="宋体" w:eastAsia="宋体" w:hint="default"/>
        </w:rPr>
        <w:t>1.1.7</w:t>
      </w:r>
      <w:r>
        <w:rPr>
          <w:rFonts w:ascii="宋体" w:hAnsi="宋体" w:cs="宋体" w:eastAsia="宋体" w:hint="default"/>
          <w:spacing w:val="-26"/>
        </w:rPr>
        <w:t> </w:t>
      </w:r>
      <w:r>
        <w:rPr/>
        <w:t>创新与创业正在迎来前所未有的良好的外部环境。在面对复杂严峻的国内外发展环境和宏观经</w:t>
      </w:r>
      <w:r>
        <w:rPr>
          <w:w w:val="100"/>
        </w:rPr>
        <w:t> </w:t>
      </w:r>
      <w:r>
        <w:rPr>
          <w:spacing w:val="-2"/>
        </w:rPr>
        <w:t>济承担下行压力的情况下，国家深入推进供给侧结构性改革，创新驱动发展战略成为引领国家经济健康持</w:t>
      </w:r>
      <w:r>
        <w:rPr>
          <w:spacing w:val="-43"/>
        </w:rPr>
        <w:t> </w:t>
      </w:r>
      <w:r>
        <w:rPr>
          <w:spacing w:val="-43"/>
        </w:rPr>
      </w:r>
      <w:r>
        <w:rPr>
          <w:spacing w:val="-2"/>
        </w:rPr>
        <w:t>续增长的新引擎。在“双创”氛围的激励下，一方面，国家的产业政策会快速落实，公司在产品技术、经</w:t>
      </w:r>
    </w:p>
    <w:p>
      <w:pPr>
        <w:spacing w:after="0" w:line="408" w:lineRule="auto"/>
        <w:jc w:val="both"/>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306" w:firstLine="0"/>
        <w:jc w:val="both"/>
        <w:rPr>
          <w:rFonts w:ascii="宋体" w:hAnsi="宋体" w:cs="宋体" w:eastAsia="宋体" w:hint="default"/>
        </w:rPr>
      </w:pPr>
      <w:r>
        <w:rPr>
          <w:spacing w:val="-2"/>
        </w:rPr>
        <w:t>营业态、商业模式、资金需求等方面将会得到更多的发展空间和政策支持；另一方面，众多关注新兴技术</w:t>
      </w:r>
      <w:r>
        <w:rPr>
          <w:spacing w:val="-47"/>
        </w:rPr>
        <w:t> </w:t>
      </w:r>
      <w:r>
        <w:rPr>
          <w:spacing w:val="-47"/>
        </w:rPr>
      </w:r>
      <w:r>
        <w:rPr>
          <w:spacing w:val="-2"/>
        </w:rPr>
        <w:t>的创业公司以及优秀的创业公司会浮现出水面，为公司寻求优质的潜在合作伙伴提供了更多的交流和沟通</w:t>
      </w:r>
      <w:r>
        <w:rPr>
          <w:spacing w:val="-43"/>
        </w:rPr>
        <w:t> </w:t>
      </w:r>
      <w:r>
        <w:rPr>
          <w:spacing w:val="-43"/>
        </w:rPr>
      </w:r>
      <w:r>
        <w:rPr/>
        <w:t>契机。</w:t>
      </w:r>
      <w:r>
        <w:rPr>
          <w:rFonts w:ascii="宋体" w:hAnsi="宋体" w:cs="宋体" w:eastAsia="宋体" w:hint="default"/>
        </w:rPr>
        <w:t> </w:t>
      </w:r>
    </w:p>
    <w:p>
      <w:pPr>
        <w:pStyle w:val="Heading5"/>
        <w:spacing w:line="240" w:lineRule="auto" w:before="46"/>
        <w:ind w:left="575" w:right="202"/>
        <w:jc w:val="left"/>
        <w:rPr>
          <w:rFonts w:ascii="宋体" w:hAnsi="宋体" w:cs="宋体" w:eastAsia="宋体" w:hint="default"/>
          <w:b w:val="0"/>
          <w:bCs w:val="0"/>
        </w:rPr>
      </w:pPr>
      <w:r>
        <w:rPr>
          <w:rFonts w:ascii="宋体" w:hAnsi="宋体" w:cs="宋体" w:eastAsia="宋体" w:hint="default"/>
        </w:rPr>
        <w:t>1.2</w:t>
      </w:r>
      <w:r>
        <w:rPr>
          <w:rFonts w:ascii="宋体" w:hAnsi="宋体" w:cs="宋体" w:eastAsia="宋体" w:hint="default"/>
          <w:spacing w:val="-55"/>
        </w:rPr>
        <w:t> </w:t>
      </w:r>
      <w:r>
        <w:rPr/>
        <w:t>挑战</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pStyle w:val="Heading6"/>
        <w:spacing w:line="408" w:lineRule="auto" w:before="0"/>
        <w:ind w:right="104"/>
        <w:jc w:val="left"/>
        <w:rPr>
          <w:rFonts w:ascii="宋体" w:hAnsi="宋体" w:cs="宋体" w:eastAsia="宋体" w:hint="default"/>
        </w:rPr>
      </w:pPr>
      <w:r>
        <w:rPr>
          <w:rFonts w:ascii="宋体" w:hAnsi="宋体" w:cs="宋体" w:eastAsia="宋体" w:hint="default"/>
        </w:rPr>
        <w:t>1.2.1</w:t>
      </w:r>
      <w:r>
        <w:rPr>
          <w:rFonts w:ascii="宋体" w:hAnsi="宋体" w:cs="宋体" w:eastAsia="宋体" w:hint="default"/>
          <w:spacing w:val="-24"/>
        </w:rPr>
        <w:t> </w:t>
      </w:r>
      <w:r>
        <w:rPr/>
        <w:t>激烈的人才竞争态势是公司战略实施过程中将面临的重大挑战。面对新一轮科技发展浪潮，以</w:t>
      </w:r>
      <w:r>
        <w:rPr>
          <w:w w:val="100"/>
        </w:rPr>
        <w:t> </w:t>
      </w:r>
      <w:r>
        <w:rPr/>
        <w:t>及国家对人工智能、高端芯片等新兴产业不断加大扶持力度带来的发展契机，传统车企、互联网公司及新</w:t>
      </w:r>
      <w:r>
        <w:rPr>
          <w:w w:val="100"/>
        </w:rPr>
        <w:t> </w:t>
      </w:r>
      <w:r>
        <w:rPr/>
        <w:t>造车势力等科技企业加速推进智能网联及自动驾驶的战略部署和落地，“人才”正在超过“资本”成为新</w:t>
      </w:r>
      <w:r>
        <w:rPr>
          <w:w w:val="100"/>
        </w:rPr>
        <w:t> </w:t>
      </w:r>
      <w:r>
        <w:rPr>
          <w:spacing w:val="-7"/>
        </w:rPr>
        <w:t>一轮产业资源争夺的热点。公司关注的面向未来的高精度地图、高精度定位、自动驾驶、人工智能等领域，</w:t>
      </w:r>
      <w:r>
        <w:rPr>
          <w:spacing w:val="-19"/>
        </w:rPr>
        <w:t> </w:t>
      </w:r>
      <w:r>
        <w:rPr>
          <w:spacing w:val="-19"/>
        </w:rPr>
      </w:r>
      <w:r>
        <w:rPr>
          <w:spacing w:val="-2"/>
        </w:rPr>
        <w:t>需要吸引大批掌握核心关键技术及前沿攻关能力的专业研发及技术人才。公司在国际化快速发展的过程中，</w:t>
      </w:r>
      <w:r>
        <w:rPr>
          <w:spacing w:val="-43"/>
        </w:rPr>
        <w:t> </w:t>
      </w:r>
      <w:r>
        <w:rPr>
          <w:spacing w:val="-43"/>
        </w:rPr>
      </w:r>
      <w:r>
        <w:rPr/>
        <w:t>也亟需大批在产品研发、技术攻关、市场拓展等方面具有国际视野的行业顶尖人才。因此，面对激烈的人</w:t>
      </w:r>
      <w:r>
        <w:rPr>
          <w:w w:val="100"/>
        </w:rPr>
        <w:t> </w:t>
      </w:r>
      <w:r>
        <w:rPr/>
        <w:t>才竞争，公司在打造吸引人才的发展平台方面面临很大挑战。为了打赢争夺人才的攻坚战，公司将充分利</w:t>
      </w:r>
      <w:r>
        <w:rPr>
          <w:w w:val="100"/>
        </w:rPr>
        <w:t> </w:t>
      </w:r>
      <w:r>
        <w:rPr/>
        <w:t>用资本市场的资源对创新业务板块的人才加大激励力度，为高端人才提供事业发展的广阔平台。</w:t>
      </w:r>
      <w:r>
        <w:rPr>
          <w:rFonts w:ascii="宋体" w:hAnsi="宋体" w:cs="宋体" w:eastAsia="宋体" w:hint="default"/>
        </w:rPr>
        <w:t> </w:t>
      </w:r>
    </w:p>
    <w:p>
      <w:pPr>
        <w:pStyle w:val="Heading6"/>
        <w:spacing w:line="408" w:lineRule="auto"/>
        <w:ind w:right="202"/>
        <w:jc w:val="left"/>
        <w:rPr>
          <w:rFonts w:ascii="宋体" w:hAnsi="宋体" w:cs="宋体" w:eastAsia="宋体" w:hint="default"/>
        </w:rPr>
      </w:pPr>
      <w:r>
        <w:rPr>
          <w:rFonts w:ascii="宋体" w:hAnsi="宋体" w:cs="宋体" w:eastAsia="宋体" w:hint="default"/>
        </w:rPr>
        <w:t>1.2.2</w:t>
      </w:r>
      <w:r>
        <w:rPr>
          <w:rFonts w:ascii="宋体" w:hAnsi="宋体" w:cs="宋体" w:eastAsia="宋体" w:hint="default"/>
          <w:spacing w:val="23"/>
        </w:rPr>
        <w:t> </w:t>
      </w:r>
      <w:r>
        <w:rPr>
          <w:spacing w:val="-7"/>
        </w:rPr>
        <w:t>随着新兴互联网科技产品和服务的不断演进，各个行业都将面临“去中心化”发展浪潮的冲击，</w:t>
      </w:r>
      <w:r>
        <w:rPr>
          <w:w w:val="100"/>
        </w:rPr>
        <w:t> </w:t>
      </w:r>
      <w:r>
        <w:rPr/>
        <w:t>公司在为</w:t>
      </w:r>
      <w:r>
        <w:rPr>
          <w:spacing w:val="-59"/>
        </w:rPr>
        <w:t> </w:t>
      </w:r>
      <w:r>
        <w:rPr>
          <w:rFonts w:ascii="宋体" w:hAnsi="宋体" w:cs="宋体" w:eastAsia="宋体" w:hint="default"/>
        </w:rPr>
        <w:t>B</w:t>
      </w:r>
      <w:r>
        <w:rPr>
          <w:rFonts w:ascii="宋体" w:hAnsi="宋体" w:cs="宋体" w:eastAsia="宋体" w:hint="default"/>
          <w:spacing w:val="-62"/>
        </w:rPr>
        <w:t> </w:t>
      </w:r>
      <w:r>
        <w:rPr/>
        <w:t>端客户提供产品和服务的同时，也与终端用户有了更为紧密的联系。如何打造更具有更高用户</w:t>
      </w:r>
      <w:r>
        <w:rPr>
          <w:w w:val="100"/>
        </w:rPr>
        <w:t> </w:t>
      </w:r>
      <w:r>
        <w:rPr/>
        <w:t>认知度的“四维图新”品牌，对公司未来的发展有着重要的影响。目前，公司的核心品牌和附加品牌在</w:t>
      </w:r>
      <w:r>
        <w:rPr>
          <w:spacing w:val="-26"/>
        </w:rPr>
        <w:t> </w:t>
      </w:r>
      <w:r>
        <w:rPr>
          <w:rFonts w:ascii="宋体" w:hAnsi="宋体" w:cs="宋体" w:eastAsia="宋体" w:hint="default"/>
        </w:rPr>
        <w:t>C</w:t>
      </w:r>
      <w:r>
        <w:rPr>
          <w:rFonts w:ascii="宋体" w:hAnsi="宋体" w:cs="宋体" w:eastAsia="宋体" w:hint="default"/>
          <w:w w:val="100"/>
        </w:rPr>
        <w:t> </w:t>
      </w:r>
      <w:r>
        <w:rPr/>
        <w:t>端用户市场上的认知度不高，对公司掌握第一手市场情报和用户需求，以及基于此进行新产品设计开发、</w:t>
      </w:r>
      <w:r>
        <w:rPr>
          <w:spacing w:val="-23"/>
        </w:rPr>
        <w:t> </w:t>
      </w:r>
      <w:r>
        <w:rPr>
          <w:spacing w:val="-23"/>
        </w:rPr>
      </w:r>
      <w:r>
        <w:rPr>
          <w:spacing w:val="-2"/>
        </w:rPr>
        <w:t>技术迭代升级、产品体验提升、商业化推广、跨界合作等方面的决策和决定提出巨大挑战。因此，公司在</w:t>
      </w:r>
      <w:r>
        <w:rPr>
          <w:spacing w:val="-43"/>
        </w:rPr>
        <w:t> </w:t>
      </w:r>
      <w:r>
        <w:rPr>
          <w:spacing w:val="-43"/>
        </w:rPr>
      </w:r>
      <w:r>
        <w:rPr>
          <w:spacing w:val="-2"/>
        </w:rPr>
        <w:t>品牌的体系化设计、品牌运营以及溢价服务附能等方面的发展程度，将在很大程度上直接影响公司战略落</w:t>
      </w:r>
      <w:r>
        <w:rPr>
          <w:spacing w:val="-43"/>
        </w:rPr>
        <w:t> </w:t>
      </w:r>
      <w:r>
        <w:rPr>
          <w:spacing w:val="-43"/>
        </w:rPr>
      </w:r>
      <w:r>
        <w:rPr/>
        <w:t>地，以及对市场需求的把控和未来发展趋势的判断。</w:t>
      </w:r>
      <w:r>
        <w:rPr>
          <w:rFonts w:ascii="宋体" w:hAnsi="宋体" w:cs="宋体" w:eastAsia="宋体" w:hint="default"/>
        </w:rPr>
        <w:t> </w:t>
      </w:r>
    </w:p>
    <w:p>
      <w:pPr>
        <w:pStyle w:val="Heading6"/>
        <w:spacing w:line="408" w:lineRule="auto"/>
        <w:ind w:right="306"/>
        <w:jc w:val="both"/>
        <w:rPr>
          <w:rFonts w:ascii="宋体" w:hAnsi="宋体" w:cs="宋体" w:eastAsia="宋体" w:hint="default"/>
        </w:rPr>
      </w:pPr>
      <w:r>
        <w:rPr>
          <w:rFonts w:ascii="宋体" w:hAnsi="宋体" w:cs="宋体" w:eastAsia="宋体" w:hint="default"/>
          <w:w w:val="100"/>
        </w:rPr>
        <w:t>1.2.3</w:t>
      </w:r>
      <w:r>
        <w:rPr>
          <w:rFonts w:ascii="宋体" w:hAnsi="宋体" w:cs="宋体" w:eastAsia="宋体" w:hint="default"/>
          <w:spacing w:val="-46"/>
          <w:w w:val="100"/>
        </w:rPr>
        <w:t> </w:t>
      </w:r>
      <w:r>
        <w:rPr>
          <w:spacing w:val="-6"/>
          <w:w w:val="100"/>
        </w:rPr>
        <w:t>市场发展及经营环境的不确定性增加，考验管理层面向未来的战略判断及执行能力。以云计算、</w:t>
      </w:r>
      <w:r>
        <w:rPr>
          <w:w w:val="100"/>
        </w:rPr>
        <w:t> </w:t>
      </w:r>
      <w:r>
        <w:rPr>
          <w:spacing w:val="-2"/>
        </w:rPr>
        <w:t>大数据、移动互联网、人工智能等为代表的新一代信息技术向各行业、各领域纵深融合，并正在成为或者</w:t>
      </w:r>
      <w:r>
        <w:rPr>
          <w:spacing w:val="-47"/>
        </w:rPr>
        <w:t> </w:t>
      </w:r>
      <w:r>
        <w:rPr>
          <w:spacing w:val="-47"/>
        </w:rPr>
      </w:r>
      <w:r>
        <w:rPr>
          <w:spacing w:val="-2"/>
        </w:rPr>
        <w:t>敦促形成推动社会经济发展的新动能，给社会生产方式及居民生活形式带来巨大影响的同时，进一步刺激</w:t>
      </w:r>
      <w:r>
        <w:rPr>
          <w:spacing w:val="-44"/>
        </w:rPr>
        <w:t> </w:t>
      </w:r>
      <w:r>
        <w:rPr>
          <w:spacing w:val="-44"/>
        </w:rPr>
      </w:r>
      <w:r>
        <w:rPr>
          <w:spacing w:val="-2"/>
        </w:rPr>
        <w:t>产业加速变革及快速演进；伴随国家“十三五”规划的深入贯彻及落地，各产业相关实施条例及实施办法</w:t>
      </w:r>
      <w:r>
        <w:rPr>
          <w:spacing w:val="-44"/>
        </w:rPr>
        <w:t> </w:t>
      </w:r>
      <w:r>
        <w:rPr>
          <w:spacing w:val="-44"/>
        </w:rPr>
      </w:r>
      <w:r>
        <w:rPr>
          <w:spacing w:val="-2"/>
        </w:rPr>
        <w:t>陆续出台。能否及时掌握市场发展趋势及国家宏观环境的变化做出即时响应，将在很大程度上影响公司的</w:t>
      </w:r>
      <w:r>
        <w:rPr>
          <w:spacing w:val="-43"/>
        </w:rPr>
        <w:t> </w:t>
      </w:r>
      <w:r>
        <w:rPr>
          <w:spacing w:val="-43"/>
        </w:rPr>
      </w:r>
      <w:r>
        <w:rPr/>
        <w:t>未来发展态势。</w:t>
      </w:r>
      <w:r>
        <w:rPr>
          <w:rFonts w:ascii="宋体" w:hAnsi="宋体" w:cs="宋体" w:eastAsia="宋体" w:hint="default"/>
        </w:rPr>
        <w:t> </w:t>
      </w:r>
    </w:p>
    <w:p>
      <w:pPr>
        <w:pStyle w:val="Heading6"/>
        <w:spacing w:line="408" w:lineRule="auto"/>
        <w:ind w:right="306"/>
        <w:jc w:val="both"/>
      </w:pPr>
      <w:r>
        <w:rPr>
          <w:rFonts w:ascii="宋体" w:hAnsi="宋体" w:cs="宋体" w:eastAsia="宋体" w:hint="default"/>
        </w:rPr>
        <w:t>1.2.4</w:t>
      </w:r>
      <w:r>
        <w:rPr>
          <w:rFonts w:ascii="宋体" w:hAnsi="宋体" w:cs="宋体" w:eastAsia="宋体" w:hint="default"/>
          <w:spacing w:val="-28"/>
        </w:rPr>
        <w:t> </w:t>
      </w:r>
      <w:r>
        <w:rPr/>
        <w:t>国内竞争国际化、国际竞争常态化趋势明显，对公司培养核心竞争优势提出更高的要求。新一</w:t>
      </w:r>
      <w:r>
        <w:rPr>
          <w:w w:val="100"/>
        </w:rPr>
        <w:t> </w:t>
      </w:r>
      <w:r>
        <w:rPr>
          <w:spacing w:val="-2"/>
        </w:rPr>
        <w:t>代信息技术革命所带来的跨界融合正在快速消融产业边界藩篱，传统企业在人才、资本、技术、市场等方</w:t>
      </w:r>
      <w:r>
        <w:rPr>
          <w:spacing w:val="-44"/>
        </w:rPr>
        <w:t> </w:t>
      </w:r>
      <w:r>
        <w:rPr>
          <w:spacing w:val="-44"/>
        </w:rPr>
      </w:r>
      <w:r>
        <w:rPr>
          <w:spacing w:val="-2"/>
        </w:rPr>
        <w:t>面不断面临跨界对手的全新压力。随着自主创新能力的不断提升，以及国际化布局及拓展，越来越多的中</w:t>
      </w:r>
      <w:r>
        <w:rPr>
          <w:spacing w:val="-43"/>
        </w:rPr>
        <w:t> </w:t>
      </w:r>
      <w:r>
        <w:rPr>
          <w:spacing w:val="-43"/>
        </w:rPr>
      </w:r>
      <w:r>
        <w:rPr>
          <w:spacing w:val="-2"/>
        </w:rPr>
        <w:t>国企业正在走向全球市场直接参与国际竞争。我国极具发展前景的市场需求空间以及相对优越的发展环境</w:t>
      </w:r>
      <w:r>
        <w:rPr>
          <w:spacing w:val="-43"/>
        </w:rPr>
        <w:t> </w:t>
      </w:r>
      <w:r>
        <w:rPr>
          <w:spacing w:val="-43"/>
        </w:rPr>
      </w:r>
      <w:r>
        <w:rPr>
          <w:spacing w:val="-2"/>
        </w:rPr>
        <w:t>及创业环境，正在吸引越来越多的国际竞争对手加大对中国市场的战略转移和市场渗透。面对国际化的市</w:t>
      </w:r>
    </w:p>
    <w:p>
      <w:pPr>
        <w:spacing w:after="0" w:line="408" w:lineRule="auto"/>
        <w:jc w:val="both"/>
        <w:sectPr>
          <w:pgSz w:w="11910" w:h="16840"/>
          <w:pgMar w:header="745" w:footer="979" w:top="1060" w:bottom="1160" w:left="980" w:right="820"/>
        </w:sectPr>
      </w:pPr>
    </w:p>
    <w:p>
      <w:pPr>
        <w:spacing w:line="240" w:lineRule="auto" w:before="0"/>
        <w:rPr>
          <w:rFonts w:ascii="宋体" w:hAnsi="宋体" w:cs="宋体" w:eastAsia="宋体" w:hint="default"/>
          <w:sz w:val="20"/>
          <w:szCs w:val="20"/>
        </w:rPr>
      </w:pPr>
    </w:p>
    <w:p>
      <w:pPr>
        <w:pStyle w:val="Heading6"/>
        <w:spacing w:line="408" w:lineRule="auto" w:before="176"/>
        <w:ind w:right="0" w:firstLine="0"/>
        <w:jc w:val="left"/>
        <w:rPr>
          <w:rFonts w:ascii="宋体" w:hAnsi="宋体" w:cs="宋体" w:eastAsia="宋体" w:hint="default"/>
        </w:rPr>
      </w:pPr>
      <w:r>
        <w:rPr>
          <w:spacing w:val="-2"/>
        </w:rPr>
        <w:t>场冲击以及日益激烈的竞争格局，公司新产品研发及产品化路径是否可以经受市场挑战并快速形成竞争优</w:t>
      </w:r>
      <w:r>
        <w:rPr>
          <w:spacing w:val="-43"/>
        </w:rPr>
        <w:t> </w:t>
      </w:r>
      <w:r>
        <w:rPr>
          <w:spacing w:val="-43"/>
        </w:rPr>
      </w:r>
      <w:r>
        <w:rPr/>
        <w:t>势，以及能否快速突破传统商业模式禁锢、有效培育极具增长潜力的新兴业务，面临着巨大的挑战。</w:t>
      </w:r>
      <w:r>
        <w:rPr>
          <w:rFonts w:ascii="宋体" w:hAnsi="宋体" w:cs="宋体" w:eastAsia="宋体" w:hint="default"/>
        </w:rPr>
        <w:t> </w:t>
      </w:r>
    </w:p>
    <w:p>
      <w:pPr>
        <w:spacing w:line="240" w:lineRule="auto" w:before="12"/>
        <w:rPr>
          <w:rFonts w:ascii="宋体" w:hAnsi="宋体" w:cs="宋体" w:eastAsia="宋体" w:hint="default"/>
          <w:sz w:val="19"/>
          <w:szCs w:val="19"/>
        </w:rPr>
      </w:pP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2.</w:t>
      </w:r>
      <w:r>
        <w:rPr/>
        <w:t>公司未来发展战略</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25"/>
          <w:szCs w:val="25"/>
        </w:rPr>
      </w:pPr>
    </w:p>
    <w:p>
      <w:pPr>
        <w:pStyle w:val="Heading6"/>
        <w:spacing w:line="408" w:lineRule="auto" w:before="0"/>
        <w:ind w:right="206"/>
        <w:jc w:val="both"/>
        <w:rPr>
          <w:rFonts w:ascii="宋体" w:hAnsi="宋体" w:cs="宋体" w:eastAsia="宋体" w:hint="default"/>
        </w:rPr>
      </w:pPr>
      <w:r>
        <w:rPr>
          <w:spacing w:val="-2"/>
        </w:rPr>
        <w:t>随着人们对安全、舒适的驾驶体验的不断追求，自动驾驶成为汽车的新方向。作为人工智能技术周期</w:t>
      </w:r>
      <w:r>
        <w:rPr>
          <w:w w:val="100"/>
        </w:rPr>
        <w:t> </w:t>
      </w:r>
      <w:r>
        <w:rPr>
          <w:spacing w:val="-2"/>
        </w:rPr>
        <w:t>演进过程最被看好的领域之一，自动驾驶的来临将重构传统汽车产业的金字塔结构。随着人工智能尤其是</w:t>
      </w:r>
      <w:r>
        <w:rPr>
          <w:spacing w:val="-43"/>
        </w:rPr>
        <w:t> </w:t>
      </w:r>
      <w:r>
        <w:rPr>
          <w:spacing w:val="-43"/>
        </w:rPr>
      </w:r>
      <w:r>
        <w:rPr>
          <w:spacing w:val="-2"/>
        </w:rPr>
        <w:t>深度学习技术的成熟，算法开始能够识别物体属性，并做出类人的合理决策，无人驾驶背后蕴藏着令业界</w:t>
      </w:r>
      <w:r>
        <w:rPr>
          <w:spacing w:val="-45"/>
        </w:rPr>
        <w:t> </w:t>
      </w:r>
      <w:r>
        <w:rPr>
          <w:spacing w:val="-45"/>
        </w:rPr>
      </w:r>
      <w:r>
        <w:rPr>
          <w:spacing w:val="-2"/>
        </w:rPr>
        <w:t>向往的无限想象空间。基于车企需求提供的合作共赢解决方案，将加速智能网联汽车全面融入到面向行业</w:t>
      </w:r>
      <w:r>
        <w:rPr>
          <w:spacing w:val="-44"/>
        </w:rPr>
        <w:t> </w:t>
      </w:r>
      <w:r>
        <w:rPr>
          <w:spacing w:val="-44"/>
        </w:rPr>
      </w:r>
      <w:r>
        <w:rPr/>
        <w:t>的平台和解决方案当中，相辅相成、紧密协同。</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t>公司成立于 </w:t>
      </w:r>
      <w:r>
        <w:rPr>
          <w:rFonts w:ascii="宋体" w:hAnsi="宋体" w:cs="宋体" w:eastAsia="宋体" w:hint="default"/>
        </w:rPr>
        <w:t>2002</w:t>
      </w:r>
      <w:r>
        <w:rPr>
          <w:rFonts w:ascii="宋体" w:hAnsi="宋体" w:cs="宋体" w:eastAsia="宋体" w:hint="default"/>
          <w:spacing w:val="-28"/>
        </w:rPr>
        <w:t> </w:t>
      </w:r>
      <w:r>
        <w:rPr/>
        <w:t>年，经十余年的创新发展，已成为导航地图、导航软件、动态交通信息、位置大数</w:t>
      </w:r>
      <w:r>
        <w:rPr>
          <w:w w:val="100"/>
        </w:rPr>
        <w:t> </w:t>
      </w:r>
      <w:r>
        <w:rPr/>
        <w:t>据以及乘用车和商用车车联网解决方案领域的领导者。</w:t>
      </w:r>
      <w:r>
        <w:rPr>
          <w:rFonts w:ascii="宋体" w:hAnsi="宋体" w:cs="宋体" w:eastAsia="宋体" w:hint="default"/>
        </w:rPr>
        <w:t>2017</w:t>
      </w:r>
      <w:r>
        <w:rPr>
          <w:rFonts w:ascii="宋体" w:hAnsi="宋体" w:cs="宋体" w:eastAsia="宋体" w:hint="default"/>
          <w:spacing w:val="-41"/>
        </w:rPr>
        <w:t> </w:t>
      </w:r>
      <w:r>
        <w:rPr>
          <w:spacing w:val="-5"/>
        </w:rPr>
        <w:t>年，公司明确提出要实现“智能汽车大脑”的</w:t>
      </w:r>
      <w:r>
        <w:rPr>
          <w:spacing w:val="-101"/>
        </w:rPr>
        <w:t> </w:t>
      </w:r>
      <w:r>
        <w:rPr>
          <w:spacing w:val="-101"/>
        </w:rPr>
      </w:r>
      <w:r>
        <w:rPr>
          <w:spacing w:val="-2"/>
        </w:rPr>
        <w:t>战略愿景，以全面的技术创新战略迎接自动驾驶时代的来临，积极打造高精度地图、高精度定位以及应用</w:t>
      </w:r>
      <w:r>
        <w:rPr>
          <w:spacing w:val="-43"/>
        </w:rPr>
        <w:t> </w:t>
      </w:r>
      <w:r>
        <w:rPr>
          <w:spacing w:val="-43"/>
        </w:rPr>
      </w:r>
      <w:r>
        <w:rPr/>
        <w:t>于 </w:t>
      </w:r>
      <w:r>
        <w:rPr>
          <w:rFonts w:ascii="宋体" w:hAnsi="宋体" w:cs="宋体" w:eastAsia="宋体" w:hint="default"/>
        </w:rPr>
        <w:t>ADAS</w:t>
      </w:r>
      <w:r>
        <w:rPr>
          <w:rFonts w:ascii="宋体" w:hAnsi="宋体" w:cs="宋体" w:eastAsia="宋体" w:hint="default"/>
          <w:spacing w:val="-28"/>
        </w:rPr>
        <w:t> </w:t>
      </w:r>
      <w:r>
        <w:rPr/>
        <w:t>和自动驾驶的车规级芯片等核心业务，致力于成为中国乃至全球最值得信赖的自动驾驶解决方案</w:t>
      </w:r>
      <w:r>
        <w:rPr>
          <w:w w:val="100"/>
        </w:rPr>
        <w:t> </w:t>
      </w:r>
      <w:r>
        <w:rPr>
          <w:spacing w:val="-2"/>
        </w:rPr>
        <w:t>提供商，为车企和科技型企业提供一流的产品和服务。面向未来，公司将继续围绕“智能汽车大脑”的战</w:t>
      </w:r>
      <w:r>
        <w:rPr>
          <w:spacing w:val="-42"/>
        </w:rPr>
        <w:t> </w:t>
      </w:r>
      <w:r>
        <w:rPr>
          <w:spacing w:val="-42"/>
        </w:rPr>
      </w:r>
      <w:r>
        <w:rPr>
          <w:spacing w:val="-2"/>
        </w:rPr>
        <w:t>略愿景，全面提速在导航、车联网、自动驾驶、汽车芯片及位置大数据服务领域的战略布局，并为各业务</w:t>
      </w:r>
      <w:r>
        <w:rPr>
          <w:spacing w:val="-43"/>
        </w:rPr>
        <w:t> </w:t>
      </w:r>
      <w:r>
        <w:rPr>
          <w:spacing w:val="-43"/>
        </w:rPr>
      </w:r>
      <w:r>
        <w:rPr/>
        <w:t>的有序发展制定了清晰的未来发展路径和实施计划。</w:t>
      </w:r>
      <w:r>
        <w:rPr>
          <w:rFonts w:ascii="宋体" w:hAnsi="宋体" w:cs="宋体" w:eastAsia="宋体" w:hint="default"/>
        </w:rPr>
        <w:t> </w:t>
      </w:r>
    </w:p>
    <w:p>
      <w:pPr>
        <w:pStyle w:val="Heading6"/>
        <w:spacing w:line="408" w:lineRule="auto"/>
        <w:ind w:right="110"/>
        <w:jc w:val="both"/>
        <w:rPr>
          <w:rFonts w:ascii="宋体" w:hAnsi="宋体" w:cs="宋体" w:eastAsia="宋体" w:hint="default"/>
        </w:rPr>
      </w:pPr>
      <w:r>
        <w:rPr/>
        <w:t>在导航业务板块，持续提升地图数据的质量、生产效率和导航软件的用户体验，开拓新兴应用领域，</w:t>
      </w:r>
      <w:r>
        <w:rPr>
          <w:w w:val="100"/>
        </w:rPr>
        <w:t> </w:t>
      </w:r>
      <w:r>
        <w:rPr/>
        <w:t>挖掘地图数据的潜在价值，扩大导航用户覆盖范围，成为世界一流的地图数据与导航软件供应商。</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在车联网业务板块，以智慧车联网云服务平台为基础，以智能汽车大数据融合为核心，建立与车厂及</w:t>
      </w:r>
      <w:r>
        <w:rPr>
          <w:w w:val="100"/>
        </w:rPr>
        <w:t> </w:t>
      </w:r>
      <w:r>
        <w:rPr/>
        <w:t>第三方合作伙伴共生共荣的新型合作关系，打造国内领先的车联网大数据一体化平台。</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在自动驾驶业务板块，面向部分自动驾驶及完全自动驾驶应用场景，打造技术攻关和创新能力优势，</w:t>
      </w:r>
      <w:r>
        <w:rPr>
          <w:w w:val="100"/>
        </w:rPr>
        <w:t> </w:t>
      </w:r>
      <w:r>
        <w:rPr>
          <w:spacing w:val="-2"/>
        </w:rPr>
        <w:t>协同公司优势资源，致力于成为中国市场乃至全球最值得信赖的自动驾驶解决方案提供商，为各车企的自</w:t>
      </w:r>
      <w:r>
        <w:rPr>
          <w:spacing w:val="-42"/>
        </w:rPr>
        <w:t> </w:t>
      </w:r>
      <w:r>
        <w:rPr>
          <w:spacing w:val="-42"/>
        </w:rPr>
      </w:r>
      <w:r>
        <w:rPr/>
        <w:t>动驾驶业务发展赋能。</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在汽车芯片业务板块，面向主动安全、智能网联、自动驾驶等芯片应用领域，提升产品设计及开发能</w:t>
      </w:r>
      <w:r>
        <w:rPr>
          <w:w w:val="100"/>
        </w:rPr>
        <w:t> </w:t>
      </w:r>
      <w:r>
        <w:rPr>
          <w:spacing w:val="-2"/>
        </w:rPr>
        <w:t>力，充分运用公司在前装市场多年积累的产业资源和优势，提升汽车芯片自主研发能力，并成为突破该领</w:t>
      </w:r>
      <w:r>
        <w:rPr>
          <w:spacing w:val="-42"/>
        </w:rPr>
        <w:t> </w:t>
      </w:r>
      <w:r>
        <w:rPr>
          <w:spacing w:val="-42"/>
        </w:rPr>
      </w:r>
      <w:r>
        <w:rPr/>
        <w:t>域国际垄断的主要力量。</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在位置大数据服务业务板块，基于海量多源位置大数据，聚焦算法和服务，面向不同行业的应用场景</w:t>
      </w:r>
      <w:r>
        <w:rPr>
          <w:w w:val="100"/>
        </w:rPr>
        <w:t> </w:t>
      </w:r>
      <w:r>
        <w:rPr/>
        <w:t>和需求，提供企业级位置智能方案，成为国内最大的一站式位置大数据信息平台服务供应商。</w:t>
      </w:r>
      <w:r>
        <w:rPr>
          <w:rFonts w:ascii="宋体" w:hAnsi="宋体" w:cs="宋体" w:eastAsia="宋体" w:hint="default"/>
        </w:rPr>
        <w:t> </w:t>
      </w:r>
    </w:p>
    <w:p>
      <w:pPr>
        <w:spacing w:line="240" w:lineRule="auto" w:before="12"/>
        <w:rPr>
          <w:rFonts w:ascii="宋体" w:hAnsi="宋体" w:cs="宋体" w:eastAsia="宋体" w:hint="default"/>
          <w:sz w:val="19"/>
          <w:szCs w:val="19"/>
        </w:rPr>
      </w:pP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3.</w:t>
      </w:r>
      <w:r>
        <w:rPr/>
        <w:t>公司下一年度主要经营计划</w:t>
      </w:r>
      <w:r>
        <w:rPr>
          <w:rFonts w:ascii="宋体" w:hAnsi="宋体" w:cs="宋体" w:eastAsia="宋体" w:hint="default"/>
          <w:w w:val="99"/>
        </w:rPr>
        <w:t> </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b/>
          <w:bCs/>
          <w:sz w:val="20"/>
          <w:szCs w:val="20"/>
        </w:rPr>
      </w:pPr>
    </w:p>
    <w:p>
      <w:pPr>
        <w:pStyle w:val="Heading6"/>
        <w:spacing w:line="408" w:lineRule="auto" w:before="176"/>
        <w:ind w:right="0"/>
        <w:jc w:val="left"/>
        <w:rPr>
          <w:rFonts w:ascii="宋体" w:hAnsi="宋体" w:cs="宋体" w:eastAsia="宋体" w:hint="default"/>
        </w:rPr>
      </w:pPr>
      <w:r>
        <w:rPr/>
        <w:t>在导航电子地图及导航服务方面，继续加强新一代导航电子地图生产流程的工艺升级及自动化改造，</w:t>
      </w:r>
      <w:r>
        <w:rPr>
          <w:w w:val="100"/>
        </w:rPr>
        <w:t> </w:t>
      </w:r>
      <w:r>
        <w:rPr>
          <w:spacing w:val="-2"/>
        </w:rPr>
        <w:t>提升地图数据快速更新能力、动态服务能力、云端大数据处理能力、编译服务能力及混合导航动态服务能</w:t>
      </w:r>
      <w:r>
        <w:rPr>
          <w:spacing w:val="-44"/>
        </w:rPr>
        <w:t> </w:t>
      </w:r>
      <w:r>
        <w:rPr>
          <w:spacing w:val="-44"/>
        </w:rPr>
      </w:r>
      <w:r>
        <w:rPr/>
        <w:t>力，保持车载前装地图市场的领先地位，满足新型市场应用需求及国际化市场需求。</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在乘用车联网服务方面，加快推进车联网各项产品的开发及商用进度，加大生态资源数据整合力度，</w:t>
      </w:r>
      <w:r>
        <w:rPr>
          <w:w w:val="100"/>
        </w:rPr>
        <w:t> </w:t>
      </w:r>
      <w:r>
        <w:rPr>
          <w:spacing w:val="-2"/>
        </w:rPr>
        <w:t>组建专业化运营团队，提升市场拓展能力、前装服务能力及后向运营能力。在商用车联网服务方面，拓展</w:t>
      </w:r>
      <w:r>
        <w:rPr>
          <w:spacing w:val="-49"/>
        </w:rPr>
        <w:t> </w:t>
      </w:r>
      <w:r>
        <w:rPr>
          <w:spacing w:val="-49"/>
        </w:rPr>
      </w:r>
      <w:r>
        <w:rPr>
          <w:spacing w:val="-7"/>
        </w:rPr>
        <w:t>商用车厂前装渠道，打造智能车联网核心产品，推进新产品验证及商业化应用，探索后服务市场盈利模式。</w:t>
      </w:r>
      <w:r>
        <w:rPr>
          <w:spacing w:val="-17"/>
        </w:rPr>
        <w:t> </w:t>
      </w:r>
      <w:r>
        <w:rPr>
          <w:spacing w:val="-17"/>
        </w:rPr>
      </w:r>
      <w:r>
        <w:rPr>
          <w:spacing w:val="-2"/>
        </w:rPr>
        <w:t>在交通信息服务方面，保持车载市场领先地位，提升车载用户搭载数量和运营服务能力，加大新型产品及</w:t>
      </w:r>
      <w:r>
        <w:rPr>
          <w:spacing w:val="-44"/>
        </w:rPr>
        <w:t> </w:t>
      </w:r>
      <w:r>
        <w:rPr>
          <w:spacing w:val="-44"/>
        </w:rPr>
      </w:r>
      <w:r>
        <w:rPr/>
        <w:t>服务的商业化孵化力度。</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在自动驾驶相关业务方面，继续加大研发投入力度和底层核心技术的攻关力度，并通过战略合作、协</w:t>
      </w:r>
      <w:r>
        <w:rPr>
          <w:w w:val="100"/>
        </w:rPr>
        <w:t> </w:t>
      </w:r>
      <w:r>
        <w:rPr>
          <w:spacing w:val="-2"/>
        </w:rPr>
        <w:t>同开发等多种方式，推进高精度地图、高精度定位、核心算法、相关芯片等自动驾驶业务相关产品及服务</w:t>
      </w:r>
      <w:r>
        <w:rPr>
          <w:spacing w:val="-47"/>
        </w:rPr>
        <w:t> </w:t>
      </w:r>
      <w:r>
        <w:rPr>
          <w:spacing w:val="-47"/>
        </w:rPr>
      </w:r>
      <w:r>
        <w:rPr/>
        <w:t>的综合实力。</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在芯片业务方面，提升产品设计能力，推进新产品评估、开发及量产进度，在稳定后装市场已有竞争</w:t>
      </w:r>
      <w:r>
        <w:rPr>
          <w:w w:val="100"/>
        </w:rPr>
        <w:t> </w:t>
      </w:r>
      <w:r>
        <w:rPr/>
        <w:t>优势的同时，拓展前装市场份额。</w:t>
      </w:r>
      <w:r>
        <w:rPr>
          <w:rFonts w:ascii="宋体" w:hAnsi="宋体" w:cs="宋体" w:eastAsia="宋体" w:hint="default"/>
          <w:spacing w:val="-3"/>
        </w:rPr>
        <w:t> </w:t>
      </w:r>
      <w:r>
        <w:rPr>
          <w:rFonts w:ascii="宋体" w:hAnsi="宋体" w:cs="宋体" w:eastAsia="宋体" w:hint="default"/>
        </w:rPr>
        <w:t> </w:t>
      </w:r>
    </w:p>
    <w:p>
      <w:pPr>
        <w:pStyle w:val="Heading6"/>
        <w:spacing w:line="408" w:lineRule="auto"/>
        <w:ind w:right="203"/>
        <w:jc w:val="left"/>
        <w:rPr>
          <w:rFonts w:ascii="宋体" w:hAnsi="宋体" w:cs="宋体" w:eastAsia="宋体" w:hint="default"/>
        </w:rPr>
      </w:pPr>
      <w:r>
        <w:rPr/>
        <w:t>在位置大数据服务业务方面，推进 </w:t>
      </w:r>
      <w:r>
        <w:rPr>
          <w:rFonts w:ascii="宋体" w:hAnsi="宋体" w:cs="宋体" w:eastAsia="宋体" w:hint="default"/>
        </w:rPr>
        <w:t>Minedata</w:t>
      </w:r>
      <w:r>
        <w:rPr>
          <w:rFonts w:ascii="宋体" w:hAnsi="宋体" w:cs="宋体" w:eastAsia="宋体" w:hint="default"/>
          <w:spacing w:val="-29"/>
        </w:rPr>
        <w:t> </w:t>
      </w:r>
      <w:r>
        <w:rPr/>
        <w:t>平台升级及递进演化，探索可持续发展的商业模式，拓</w:t>
      </w:r>
      <w:r>
        <w:rPr>
          <w:w w:val="100"/>
        </w:rPr>
        <w:t> </w:t>
      </w:r>
      <w:r>
        <w:rPr/>
        <w:t>展新型应用领域，建立客户集群，提升业务变现能力。</w:t>
      </w:r>
      <w:r>
        <w:rPr>
          <w:rFonts w:ascii="宋体" w:hAnsi="宋体" w:cs="宋体" w:eastAsia="宋体" w:hint="default"/>
        </w:rPr>
        <w:t> </w:t>
      </w:r>
    </w:p>
    <w:p>
      <w:pPr>
        <w:pStyle w:val="Heading6"/>
        <w:spacing w:line="408" w:lineRule="auto"/>
        <w:ind w:right="202"/>
        <w:jc w:val="left"/>
        <w:rPr>
          <w:rFonts w:ascii="宋体" w:hAnsi="宋体" w:cs="宋体" w:eastAsia="宋体" w:hint="default"/>
        </w:rPr>
      </w:pPr>
      <w:r>
        <w:rPr/>
        <w:t>上述经营计划、经营目标并不代表本公司对 </w:t>
      </w:r>
      <w:r>
        <w:rPr>
          <w:rFonts w:ascii="宋体" w:hAnsi="宋体" w:cs="宋体" w:eastAsia="宋体" w:hint="default"/>
        </w:rPr>
        <w:t>2018</w:t>
      </w:r>
      <w:r>
        <w:rPr>
          <w:rFonts w:ascii="宋体" w:hAnsi="宋体" w:cs="宋体" w:eastAsia="宋体" w:hint="default"/>
          <w:spacing w:val="-28"/>
        </w:rPr>
        <w:t> </w:t>
      </w:r>
      <w:r>
        <w:rPr/>
        <w:t>年度的盈利做出了预测，其是否实现将取决于市场</w:t>
      </w:r>
      <w:r>
        <w:rPr>
          <w:w w:val="100"/>
        </w:rPr>
        <w:t> </w:t>
      </w:r>
      <w:r>
        <w:rPr/>
        <w:t>状况变化、经营团队的努力程度等多种因素，存在很大的不确定性，特提请投资者注意。</w:t>
      </w:r>
      <w:r>
        <w:rPr>
          <w:rFonts w:ascii="宋体" w:hAnsi="宋体" w:cs="宋体" w:eastAsia="宋体" w:hint="default"/>
        </w:rPr>
        <w:t> </w:t>
      </w:r>
    </w:p>
    <w:p>
      <w:pPr>
        <w:spacing w:line="240" w:lineRule="auto" w:before="12"/>
        <w:rPr>
          <w:rFonts w:ascii="宋体" w:hAnsi="宋体" w:cs="宋体" w:eastAsia="宋体" w:hint="default"/>
          <w:sz w:val="19"/>
          <w:szCs w:val="19"/>
        </w:rPr>
      </w:pP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4.</w:t>
      </w:r>
      <w:r>
        <w:rPr/>
        <w:t>公司可能面对的风险</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25"/>
          <w:szCs w:val="25"/>
        </w:rPr>
      </w:pPr>
    </w:p>
    <w:p>
      <w:pPr>
        <w:pStyle w:val="Heading6"/>
        <w:spacing w:line="408" w:lineRule="auto" w:before="0"/>
        <w:ind w:right="202"/>
        <w:jc w:val="left"/>
        <w:rPr>
          <w:rFonts w:ascii="宋体" w:hAnsi="宋体" w:cs="宋体" w:eastAsia="宋体" w:hint="default"/>
        </w:rPr>
      </w:pPr>
      <w:r>
        <w:rPr>
          <w:rFonts w:ascii="宋体" w:hAnsi="宋体" w:cs="宋体" w:eastAsia="宋体" w:hint="default"/>
        </w:rPr>
        <w:t>4.1</w:t>
      </w:r>
      <w:r>
        <w:rPr>
          <w:rFonts w:ascii="宋体" w:hAnsi="宋体" w:cs="宋体" w:eastAsia="宋体" w:hint="default"/>
          <w:spacing w:val="-28"/>
        </w:rPr>
        <w:t> </w:t>
      </w:r>
      <w:r>
        <w:rPr/>
        <w:t>市场对于智能网联一体化产品需求快速增加，产品形态发生根本性变化，导航电子地图传统商业</w:t>
      </w:r>
      <w:r>
        <w:rPr>
          <w:w w:val="100"/>
        </w:rPr>
        <w:t> </w:t>
      </w:r>
      <w:r>
        <w:rPr/>
        <w:t>模式盈利能力下降的风险</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国内互联网企业利用手机导航免费策略抢占市场份额，并明显冲击国内导航市场原有竞争格局，国内</w:t>
      </w:r>
      <w:r>
        <w:rPr>
          <w:w w:val="100"/>
        </w:rPr>
        <w:t> </w:t>
      </w:r>
      <w:r>
        <w:rPr/>
        <w:t>导航电子地图产品价格下行压力增大。市场竞争形态的快速变化，对公司导航电子地图业务形成威胁。</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作为应对，公司积极提升产品品质和差异化，聚焦高级地图数据属性及应用产品的研发，积极实现其</w:t>
      </w:r>
      <w:r>
        <w:rPr>
          <w:w w:val="100"/>
        </w:rPr>
        <w:t> </w:t>
      </w:r>
      <w:r>
        <w:rPr/>
        <w:t>在地图市场的溢价。公司积极调整市场应对策略，从传统的导航数据提供商向向一体化服务提供商转型。</w:t>
      </w:r>
      <w:r>
        <w:rPr>
          <w:spacing w:val="-24"/>
        </w:rPr>
        <w:t> </w:t>
      </w:r>
      <w:r>
        <w:rPr>
          <w:spacing w:val="-24"/>
        </w:rPr>
      </w:r>
      <w:r>
        <w:rPr/>
        <w:t>公司通过投资等多源方式，积极调整主营业务结构，增加其他收入来源。</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Heading6"/>
        <w:spacing w:line="408" w:lineRule="auto" w:before="0"/>
        <w:ind w:right="202"/>
        <w:jc w:val="left"/>
        <w:rPr>
          <w:rFonts w:ascii="宋体" w:hAnsi="宋体" w:cs="宋体" w:eastAsia="宋体" w:hint="default"/>
        </w:rPr>
      </w:pPr>
      <w:r>
        <w:rPr>
          <w:rFonts w:ascii="宋体" w:hAnsi="宋体" w:cs="宋体" w:eastAsia="宋体" w:hint="default"/>
        </w:rPr>
        <w:t>4.2</w:t>
      </w:r>
      <w:r>
        <w:rPr>
          <w:rFonts w:ascii="宋体" w:hAnsi="宋体" w:cs="宋体" w:eastAsia="宋体" w:hint="default"/>
          <w:spacing w:val="-28"/>
        </w:rPr>
        <w:t> </w:t>
      </w:r>
      <w:r>
        <w:rPr/>
        <w:t>新业务的投入会相应增加公司经营成本，且新业务的经济产出的市场培育期可能会长于预期时间</w:t>
      </w:r>
      <w:r>
        <w:rPr>
          <w:w w:val="100"/>
        </w:rPr>
        <w:t> </w:t>
      </w:r>
      <w:r>
        <w:rPr/>
        <w:t>的风险</w:t>
      </w:r>
      <w:r>
        <w:rPr>
          <w:rFonts w:ascii="宋体" w:hAnsi="宋体" w:cs="宋体" w:eastAsia="宋体" w:hint="default"/>
        </w:rPr>
        <w:t> </w:t>
      </w:r>
    </w:p>
    <w:p>
      <w:pPr>
        <w:spacing w:after="0" w:line="408" w:lineRule="auto"/>
        <w:jc w:val="left"/>
        <w:rPr>
          <w:rFonts w:ascii="宋体" w:hAnsi="宋体" w:cs="宋体" w:eastAsia="宋体" w:hint="default"/>
        </w:rPr>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206"/>
        <w:jc w:val="both"/>
        <w:rPr>
          <w:rFonts w:ascii="宋体" w:hAnsi="宋体" w:cs="宋体" w:eastAsia="宋体" w:hint="default"/>
        </w:rPr>
      </w:pPr>
      <w:r>
        <w:rPr>
          <w:spacing w:val="-7"/>
        </w:rPr>
        <w:t>公司为推进未来发展战略，将继续保持对车联网、高精度地图、高精度定位、自动驾驶、车规级芯片、</w:t>
      </w:r>
      <w:r>
        <w:rPr>
          <w:w w:val="100"/>
        </w:rPr>
        <w:t> </w:t>
      </w:r>
      <w:r>
        <w:rPr>
          <w:spacing w:val="-2"/>
        </w:rPr>
        <w:t>位置大数据等车相关领域及业务的投入力度。新业务的投入会相应增加公司经营成本，新业务的经济产出</w:t>
      </w:r>
      <w:r>
        <w:rPr>
          <w:spacing w:val="-42"/>
        </w:rPr>
        <w:t> </w:t>
      </w:r>
      <w:r>
        <w:rPr>
          <w:spacing w:val="-42"/>
        </w:rPr>
      </w:r>
      <w:r>
        <w:rPr>
          <w:spacing w:val="-2"/>
        </w:rPr>
        <w:t>需要一定的市场培育期，甚至会长于预期时间。新业务及产品是否能被市场认可和接受，也将面临巨大的</w:t>
      </w:r>
      <w:r>
        <w:rPr>
          <w:spacing w:val="-43"/>
        </w:rPr>
        <w:t> </w:t>
      </w:r>
      <w:r>
        <w:rPr>
          <w:spacing w:val="-43"/>
        </w:rPr>
      </w:r>
      <w:r>
        <w:rPr/>
        <w:t>风险。</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公司将通过跟踪新业务市场发展趋势、定期进行新业务研讨、审慎研判新业务投入等措施提高新业务</w:t>
      </w:r>
      <w:r>
        <w:rPr>
          <w:w w:val="100"/>
        </w:rPr>
        <w:t> </w:t>
      </w:r>
      <w:r>
        <w:rPr>
          <w:spacing w:val="-2"/>
        </w:rPr>
        <w:t>开展的预见性。通过在内部建立类似风险投资的项目评估机制，以及加强对早期项目的风险把控，降低由</w:t>
      </w:r>
      <w:r>
        <w:rPr>
          <w:spacing w:val="-44"/>
        </w:rPr>
        <w:t> </w:t>
      </w:r>
      <w:r>
        <w:rPr>
          <w:spacing w:val="-44"/>
        </w:rPr>
      </w:r>
      <w:r>
        <w:rPr>
          <w:spacing w:val="-2"/>
        </w:rPr>
        <w:t>此带来的经营风险。主导建立产业基金，积极探索与外部战略合作者或投资机构风险与收益共担的产业投</w:t>
      </w:r>
      <w:r>
        <w:rPr>
          <w:spacing w:val="-42"/>
        </w:rPr>
        <w:t> </w:t>
      </w:r>
      <w:r>
        <w:rPr>
          <w:spacing w:val="-42"/>
        </w:rPr>
      </w:r>
      <w:r>
        <w:rPr>
          <w:spacing w:val="-7"/>
        </w:rPr>
        <w:t>资和发展模式。在美国硅谷、荷兰、新加坡建立分支机构，从全球视角洞察行业发展动态，紧密联系车厂、</w:t>
      </w:r>
      <w:r>
        <w:rPr>
          <w:spacing w:val="-22"/>
        </w:rPr>
        <w:t> </w:t>
      </w:r>
      <w:r>
        <w:rPr>
          <w:spacing w:val="-22"/>
        </w:rPr>
      </w:r>
      <w:r>
        <w:rPr/>
        <w:t>互联网及行业客户，并与优秀企业建立可持续的战略合作关系。积极参与国家平台建设及国家标准制定，</w:t>
      </w:r>
      <w:r>
        <w:rPr>
          <w:spacing w:val="-24"/>
        </w:rPr>
        <w:t> </w:t>
      </w:r>
      <w:r>
        <w:rPr>
          <w:spacing w:val="-24"/>
        </w:rPr>
      </w:r>
      <w:r>
        <w:rPr/>
        <w:t>掌握行业发展话语权。</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Heading6"/>
        <w:spacing w:line="408" w:lineRule="auto" w:before="0"/>
        <w:ind w:left="573" w:right="0" w:firstLine="0"/>
        <w:jc w:val="left"/>
      </w:pPr>
      <w:r>
        <w:rPr>
          <w:rFonts w:ascii="宋体" w:hAnsi="宋体" w:cs="宋体" w:eastAsia="宋体" w:hint="default"/>
        </w:rPr>
        <w:t>4.3 </w:t>
      </w:r>
      <w:r>
        <w:rPr/>
        <w:t>公司知识产权被侵犯的风险</w:t>
      </w:r>
      <w:r>
        <w:rPr>
          <w:rFonts w:ascii="宋体" w:hAnsi="宋体" w:cs="宋体" w:eastAsia="宋体" w:hint="default"/>
          <w:w w:val="100"/>
        </w:rPr>
        <w:t> </w:t>
      </w:r>
      <w:r>
        <w:rPr>
          <w:spacing w:val="-2"/>
        </w:rPr>
        <w:t>伴随互联网技术的快速发展，低成本获取电子数据资源的渠道和方式更加多样化、便捷化，新型电子</w:t>
      </w:r>
    </w:p>
    <w:p>
      <w:pPr>
        <w:pStyle w:val="Heading6"/>
        <w:spacing w:line="408" w:lineRule="auto"/>
        <w:ind w:left="573" w:right="0" w:hanging="421"/>
        <w:jc w:val="left"/>
      </w:pPr>
      <w:r>
        <w:rPr/>
        <w:t>地图版权侵权案件时有发生，对于公司电子地图业务及软件产品的经济收入造成巨大威胁。</w:t>
      </w:r>
      <w:r>
        <w:rPr>
          <w:rFonts w:ascii="宋体" w:hAnsi="宋体" w:cs="宋体" w:eastAsia="宋体" w:hint="default"/>
          <w:w w:val="100"/>
        </w:rPr>
        <w:t> </w:t>
      </w:r>
      <w:r>
        <w:rPr>
          <w:spacing w:val="-2"/>
        </w:rPr>
        <w:t>公司在自动驾驶、智能网联、新能源汽车等领域不断加大新技术及产品研发力度和对外交流合作，在</w:t>
      </w:r>
    </w:p>
    <w:p>
      <w:pPr>
        <w:pStyle w:val="Heading6"/>
        <w:spacing w:line="408" w:lineRule="auto"/>
        <w:ind w:right="0" w:firstLine="0"/>
        <w:jc w:val="left"/>
        <w:rPr>
          <w:rFonts w:ascii="宋体" w:hAnsi="宋体" w:cs="宋体" w:eastAsia="宋体" w:hint="default"/>
        </w:rPr>
      </w:pPr>
      <w:r>
        <w:rPr>
          <w:spacing w:val="-2"/>
        </w:rPr>
        <w:t>研发工具及基础协议的调取和使用、研发成果的保护和二次开发利用、掌握核心技术的关键人员的流动和</w:t>
      </w:r>
      <w:r>
        <w:rPr>
          <w:spacing w:val="-42"/>
        </w:rPr>
        <w:t> </w:t>
      </w:r>
      <w:r>
        <w:rPr>
          <w:spacing w:val="-42"/>
        </w:rPr>
      </w:r>
      <w:r>
        <w:rPr/>
        <w:t>转岗等过程中，将面临软件著作权、专利权、商标权、商业秘密等权益未被合理保护及被侵犯的风险。</w:t>
      </w:r>
      <w:r>
        <w:rPr>
          <w:rFonts w:ascii="宋体" w:hAnsi="宋体" w:cs="宋体" w:eastAsia="宋体" w:hint="default"/>
        </w:rPr>
        <w:t> </w:t>
      </w:r>
    </w:p>
    <w:p>
      <w:pPr>
        <w:pStyle w:val="Heading6"/>
        <w:spacing w:line="408" w:lineRule="auto"/>
        <w:ind w:right="105"/>
        <w:jc w:val="both"/>
        <w:rPr>
          <w:rFonts w:ascii="宋体" w:hAnsi="宋体" w:cs="宋体" w:eastAsia="宋体" w:hint="default"/>
        </w:rPr>
      </w:pPr>
      <w:r>
        <w:rPr>
          <w:spacing w:val="-2"/>
        </w:rPr>
        <w:t>公司将加大知识产权保护力度，针对侵权行为，及时采取法律行动，维护公司合法权益。同时，完善</w:t>
      </w:r>
      <w:r>
        <w:rPr>
          <w:w w:val="100"/>
        </w:rPr>
        <w:t> </w:t>
      </w:r>
      <w:r>
        <w:rPr>
          <w:spacing w:val="-2"/>
        </w:rPr>
        <w:t>公司知识产权战略布局、实施策略及管理流程，将知识权利风险防御及保护机制嵌入运用到技术创新、产</w:t>
      </w:r>
      <w:r>
        <w:rPr>
          <w:spacing w:val="-43"/>
        </w:rPr>
        <w:t> </w:t>
      </w:r>
      <w:r>
        <w:rPr>
          <w:spacing w:val="-43"/>
        </w:rPr>
      </w:r>
      <w:r>
        <w:rPr>
          <w:spacing w:val="-2"/>
          <w:w w:val="100"/>
        </w:rPr>
        <w:t>品创新、组织创新和商业模式创新当中，从源头即建立起有效措施，防止权利被侵害所带来的经济损失。</w:t>
      </w:r>
      <w:r>
        <w:rPr>
          <w:rFonts w:ascii="宋体" w:hAnsi="宋体" w:cs="宋体" w:eastAsia="宋体" w:hint="default"/>
          <w:w w:val="100"/>
        </w:rPr>
        <w:t> </w:t>
      </w:r>
    </w:p>
    <w:p>
      <w:pPr>
        <w:spacing w:line="240" w:lineRule="auto" w:before="8"/>
        <w:rPr>
          <w:rFonts w:ascii="宋体" w:hAnsi="宋体" w:cs="宋体" w:eastAsia="宋体" w:hint="default"/>
          <w:sz w:val="18"/>
          <w:szCs w:val="18"/>
        </w:rPr>
      </w:pPr>
    </w:p>
    <w:p>
      <w:pPr>
        <w:pStyle w:val="Heading3"/>
        <w:spacing w:line="240" w:lineRule="auto"/>
        <w:ind w:right="0"/>
        <w:jc w:val="left"/>
        <w:rPr>
          <w:b w:val="0"/>
          <w:bCs w:val="0"/>
        </w:rPr>
      </w:pPr>
      <w:r>
        <w:rPr/>
        <w:t>十、接待调研、沟通、采访等活动</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180"/>
        <w:gridCol w:w="2177"/>
        <w:gridCol w:w="2177"/>
        <w:gridCol w:w="3037"/>
      </w:tblGrid>
      <w:tr>
        <w:trPr>
          <w:trHeight w:val="401" w:hRule="exact"/>
        </w:trPr>
        <w:tc>
          <w:tcPr>
            <w:tcW w:w="2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25"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44"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715"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60"/>
              <w:jc w:val="left"/>
              <w:rPr>
                <w:rFonts w:ascii="Times New Roman" w:hAnsi="Times New Roman" w:cs="Times New Roman" w:eastAsia="Times New Roman" w:hint="default"/>
                <w:sz w:val="18"/>
                <w:szCs w:val="18"/>
              </w:rPr>
            </w:pPr>
            <w:hyperlink r:id="rId37">
              <w:r>
                <w:rPr>
                  <w:rFonts w:ascii="Times New Roman"/>
                  <w:sz w:val="18"/>
                </w:rPr>
                <w:t>http://irm.cninfo.com.cn/ircs/ssgs/compa</w:t>
              </w:r>
            </w:hyperlink>
            <w:r>
              <w:rPr>
                <w:rFonts w:ascii="Times New Roman"/>
                <w:sz w:val="18"/>
              </w:rPr>
              <w:t> nyIrmes.do?stockcode=002405</w:t>
            </w:r>
          </w:p>
        </w:tc>
      </w:tr>
      <w:tr>
        <w:trPr>
          <w:trHeight w:val="713"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60"/>
              <w:jc w:val="left"/>
              <w:rPr>
                <w:rFonts w:ascii="Times New Roman" w:hAnsi="Times New Roman" w:cs="Times New Roman" w:eastAsia="Times New Roman" w:hint="default"/>
                <w:sz w:val="18"/>
                <w:szCs w:val="18"/>
              </w:rPr>
            </w:pPr>
            <w:hyperlink r:id="rId37">
              <w:r>
                <w:rPr>
                  <w:rFonts w:ascii="Times New Roman"/>
                  <w:sz w:val="18"/>
                </w:rPr>
                <w:t>http://irm.cninfo.com.cn/ircs/ssgs/compa</w:t>
              </w:r>
            </w:hyperlink>
            <w:r>
              <w:rPr>
                <w:rFonts w:ascii="Times New Roman"/>
                <w:sz w:val="18"/>
              </w:rPr>
              <w:t> nyIrmes.do?stockcode=002405</w:t>
            </w:r>
          </w:p>
        </w:tc>
      </w:tr>
      <w:tr>
        <w:trPr>
          <w:trHeight w:val="715"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60"/>
              <w:jc w:val="left"/>
              <w:rPr>
                <w:rFonts w:ascii="Times New Roman" w:hAnsi="Times New Roman" w:cs="Times New Roman" w:eastAsia="Times New Roman" w:hint="default"/>
                <w:sz w:val="18"/>
                <w:szCs w:val="18"/>
              </w:rPr>
            </w:pPr>
            <w:hyperlink r:id="rId37">
              <w:r>
                <w:rPr>
                  <w:rFonts w:ascii="Times New Roman"/>
                  <w:sz w:val="18"/>
                </w:rPr>
                <w:t>http://irm.cninfo.com.cn/ircs/ssgs/compa</w:t>
              </w:r>
            </w:hyperlink>
            <w:r>
              <w:rPr>
                <w:rFonts w:ascii="Times New Roman"/>
                <w:sz w:val="18"/>
              </w:rPr>
              <w:t> nyIrmes.do?stockcode=002405</w:t>
            </w:r>
          </w:p>
        </w:tc>
      </w:tr>
      <w:tr>
        <w:trPr>
          <w:trHeight w:val="401"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36"/>
              <w:jc w:val="center"/>
              <w:rPr>
                <w:rFonts w:ascii="Times New Roman" w:hAnsi="Times New Roman" w:cs="Times New Roman" w:eastAsia="Times New Roman" w:hint="default"/>
                <w:sz w:val="18"/>
                <w:szCs w:val="18"/>
              </w:rPr>
            </w:pPr>
            <w:hyperlink r:id="rId37">
              <w:r>
                <w:rPr>
                  <w:rFonts w:ascii="Times New Roman"/>
                  <w:sz w:val="18"/>
                </w:rPr>
                <w:t>http://irm.cninfo.com.cn/ircs/ssgs/compa</w:t>
              </w:r>
            </w:hyperlink>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2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2180"/>
        <w:gridCol w:w="2177"/>
        <w:gridCol w:w="2177"/>
        <w:gridCol w:w="3037"/>
      </w:tblGrid>
      <w:tr>
        <w:trPr>
          <w:trHeight w:val="363" w:hRule="exact"/>
        </w:trPr>
        <w:tc>
          <w:tcPr>
            <w:tcW w:w="2180" w:type="dxa"/>
            <w:tcBorders>
              <w:top w:val="single" w:sz="4" w:space="0" w:color="000000"/>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Times New Roman" w:hAnsi="Times New Roman" w:cs="Times New Roman" w:eastAsia="Times New Roman" w:hint="default"/>
                <w:sz w:val="18"/>
                <w:szCs w:val="18"/>
              </w:rPr>
            </w:pPr>
            <w:r>
              <w:rPr>
                <w:rFonts w:ascii="Times New Roman"/>
                <w:sz w:val="18"/>
              </w:rPr>
              <w:t>nyIrmes.do?stockcode=002405</w:t>
            </w:r>
          </w:p>
        </w:tc>
      </w:tr>
      <w:tr>
        <w:trPr>
          <w:trHeight w:val="713" w:hRule="exact"/>
        </w:trPr>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60"/>
              <w:jc w:val="left"/>
              <w:rPr>
                <w:rFonts w:ascii="Times New Roman" w:hAnsi="Times New Roman" w:cs="Times New Roman" w:eastAsia="Times New Roman" w:hint="default"/>
                <w:sz w:val="18"/>
                <w:szCs w:val="18"/>
              </w:rPr>
            </w:pPr>
            <w:hyperlink r:id="rId37">
              <w:r>
                <w:rPr>
                  <w:rFonts w:ascii="Times New Roman"/>
                  <w:sz w:val="18"/>
                </w:rPr>
                <w:t>http://irm.cninfo.com.cn/ircs/ssgs/compa</w:t>
              </w:r>
            </w:hyperlink>
            <w:r>
              <w:rPr>
                <w:rFonts w:ascii="Times New Roman"/>
                <w:sz w:val="18"/>
              </w:rPr>
              <w:t> nyIrmes.do?stockcode=002405</w:t>
            </w:r>
          </w:p>
        </w:tc>
      </w:tr>
    </w:tbl>
    <w:p>
      <w:pPr>
        <w:spacing w:after="0" w:line="362"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28"/>
          <w:szCs w:val="28"/>
        </w:rPr>
      </w:pPr>
    </w:p>
    <w:p>
      <w:pPr>
        <w:pStyle w:val="Heading1"/>
        <w:spacing w:line="240" w:lineRule="auto"/>
        <w:ind w:left="251" w:right="287"/>
        <w:jc w:val="center"/>
        <w:rPr>
          <w:b w:val="0"/>
          <w:bCs w:val="0"/>
        </w:rPr>
      </w:pPr>
      <w:bookmarkStart w:name="_bookmark4" w:id="5"/>
      <w:bookmarkEnd w:id="5"/>
      <w:r>
        <w:rPr>
          <w:b w:val="0"/>
          <w:bCs w:val="0"/>
        </w:rPr>
      </w:r>
      <w:r>
        <w:rPr/>
        <w:t>第五节</w:t>
      </w:r>
      <w:r>
        <w:rPr>
          <w:spacing w:val="-2"/>
        </w:rPr>
        <w:t> </w:t>
      </w:r>
      <w:r>
        <w:rPr/>
        <w:t>重要事项</w:t>
      </w:r>
      <w:r>
        <w:rPr>
          <w:b w:val="0"/>
          <w:bCs w:val="0"/>
        </w:rPr>
      </w:r>
    </w:p>
    <w:p>
      <w:pPr>
        <w:spacing w:line="240" w:lineRule="auto" w:before="2"/>
        <w:rPr>
          <w:rFonts w:ascii="宋体" w:hAnsi="宋体" w:cs="宋体" w:eastAsia="宋体" w:hint="default"/>
          <w:b/>
          <w:bCs/>
          <w:sz w:val="39"/>
          <w:szCs w:val="39"/>
        </w:rPr>
      </w:pPr>
    </w:p>
    <w:p>
      <w:pPr>
        <w:pStyle w:val="Heading3"/>
        <w:spacing w:line="240" w:lineRule="auto"/>
        <w:ind w:right="94"/>
        <w:jc w:val="left"/>
        <w:rPr>
          <w:b w:val="0"/>
          <w:bCs w:val="0"/>
        </w:rPr>
      </w:pPr>
      <w:r>
        <w:rPr/>
        <w:t>一、公司普通股利润分配及资本公积金转增股本情况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报告期内普通股利润分配政策，特别是现金分红政策的制定、执行或调整情况</w:t>
      </w:r>
    </w:p>
    <w:p>
      <w:pPr>
        <w:pStyle w:val="BodyText"/>
        <w:spacing w:line="338" w:lineRule="auto" w:before="117"/>
        <w:ind w:left="513" w:right="94" w:hanging="3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w:t>
      </w:r>
      <w:r>
        <w:rPr>
          <w:spacing w:val="-2"/>
        </w:rPr>
        <w:t>公司及董事会一贯重视对投资者的合理回报，《公司章程》中明晰了利润分配及现金分红事项的标准和比例、决策程序</w:t>
      </w:r>
    </w:p>
    <w:p>
      <w:pPr>
        <w:pStyle w:val="BodyText"/>
        <w:spacing w:line="316" w:lineRule="auto" w:before="2"/>
        <w:ind w:right="94"/>
        <w:jc w:val="left"/>
      </w:pPr>
      <w:r>
        <w:rPr>
          <w:spacing w:val="-2"/>
        </w:rPr>
        <w:t>和机制、利润分配的形式。公司严格执行《公司章程》以及股东大会决议，实施利润分配，相关的决策程序和机制完备，独</w:t>
      </w:r>
      <w:r>
        <w:rPr>
          <w:spacing w:val="-73"/>
        </w:rPr>
        <w:t> </w:t>
      </w:r>
      <w:r>
        <w:rPr>
          <w:spacing w:val="-73"/>
        </w:rPr>
      </w:r>
      <w:r>
        <w:rPr/>
        <w:t>立董事尽职尽责并发挥应有职责，中小股东有充分表达意见和诉求的机会，中小股东的合法权益得到充分维护。</w:t>
      </w:r>
    </w:p>
    <w:p>
      <w:pPr>
        <w:pStyle w:val="BodyText"/>
        <w:spacing w:line="300" w:lineRule="auto" w:before="19"/>
        <w:ind w:right="94" w:firstLine="36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18</w:t>
      </w:r>
      <w:r>
        <w:rPr/>
        <w:t>日，公司召开</w:t>
      </w:r>
      <w:r>
        <w:rPr>
          <w:rFonts w:ascii="Times New Roman" w:hAnsi="Times New Roman" w:cs="Times New Roman" w:eastAsia="Times New Roman" w:hint="default"/>
        </w:rPr>
        <w:t>2016</w:t>
      </w:r>
      <w:r>
        <w:rPr/>
        <w:t>年度股东大会，审议通过《</w:t>
      </w:r>
      <w:r>
        <w:rPr>
          <w:rFonts w:ascii="Times New Roman" w:hAnsi="Times New Roman" w:cs="Times New Roman" w:eastAsia="Times New Roman" w:hint="default"/>
        </w:rPr>
        <w:t>2016</w:t>
      </w:r>
      <w:r>
        <w:rPr/>
        <w:t>年度利润分配方案》，同意以</w:t>
      </w:r>
      <w:r>
        <w:rPr>
          <w:rFonts w:ascii="Times New Roman" w:hAnsi="Times New Roman" w:cs="Times New Roman" w:eastAsia="Times New Roman" w:hint="default"/>
        </w:rPr>
        <w:t>1,282,615,013</w:t>
      </w:r>
      <w:r>
        <w:rPr>
          <w:rFonts w:ascii="Times New Roman" w:hAnsi="Times New Roman" w:cs="Times New Roman" w:eastAsia="Times New Roman" w:hint="default"/>
          <w:spacing w:val="28"/>
        </w:rPr>
        <w:t> </w:t>
      </w:r>
      <w:r>
        <w:rPr/>
        <w:t>股为基数，</w:t>
      </w:r>
      <w:r>
        <w:rPr>
          <w:spacing w:val="2"/>
        </w:rPr>
        <w:t> </w:t>
      </w:r>
      <w:r>
        <w:rPr/>
        <w:t>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0.37</w:t>
      </w:r>
      <w:r>
        <w:rPr/>
        <w:t>元（含税），共计派发现金股利</w:t>
      </w:r>
      <w:r>
        <w:rPr>
          <w:rFonts w:ascii="Times New Roman" w:hAnsi="Times New Roman" w:cs="Times New Roman" w:eastAsia="Times New Roman" w:hint="default"/>
        </w:rPr>
        <w:t>47,456,755.48</w:t>
      </w:r>
      <w:r>
        <w:rPr>
          <w:rFonts w:ascii="Times New Roman" w:hAnsi="Times New Roman" w:cs="Times New Roman" w:eastAsia="Times New Roman" w:hint="default"/>
          <w:spacing w:val="23"/>
        </w:rPr>
        <w:t> </w:t>
      </w:r>
      <w:r>
        <w:rPr/>
        <w:t>元。</w:t>
      </w:r>
    </w:p>
    <w:p>
      <w:pPr>
        <w:pStyle w:val="BodyText"/>
        <w:spacing w:line="240" w:lineRule="auto" w:before="13"/>
        <w:ind w:left="513" w:right="94"/>
        <w:jc w:val="left"/>
      </w:pPr>
      <w:r>
        <w:rPr/>
        <w:t>公司以</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9</w:t>
      </w:r>
      <w:r>
        <w:rPr/>
        <w:t>日为股权登记日、</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12</w:t>
      </w:r>
      <w:r>
        <w:rPr/>
        <w:t>日为除权除息日完成了</w:t>
      </w:r>
      <w:r>
        <w:rPr>
          <w:rFonts w:ascii="Times New Roman" w:hAnsi="Times New Roman" w:cs="Times New Roman" w:eastAsia="Times New Roman" w:hint="default"/>
        </w:rPr>
        <w:t>2016</w:t>
      </w:r>
      <w:r>
        <w:rPr/>
        <w:t>年度权益分派。</w:t>
      </w:r>
    </w:p>
    <w:p>
      <w:pPr>
        <w:spacing w:line="240" w:lineRule="auto" w:before="4"/>
        <w:rPr>
          <w:rFonts w:ascii="宋体" w:hAnsi="宋体" w:cs="宋体" w:eastAsia="宋体" w:hint="default"/>
          <w:sz w:val="4"/>
          <w:szCs w:val="4"/>
        </w:rPr>
      </w:pPr>
    </w:p>
    <w:tbl>
      <w:tblPr>
        <w:tblW w:w="0" w:type="auto"/>
        <w:jc w:val="left"/>
        <w:tblInd w:w="148" w:type="dxa"/>
        <w:tblLayout w:type="fixed"/>
        <w:tblCellMar>
          <w:top w:w="0" w:type="dxa"/>
          <w:left w:w="0" w:type="dxa"/>
          <w:bottom w:w="0" w:type="dxa"/>
          <w:right w:w="0" w:type="dxa"/>
        </w:tblCellMar>
        <w:tblLook w:val="01E0"/>
      </w:tblPr>
      <w:tblGrid>
        <w:gridCol w:w="5103"/>
        <w:gridCol w:w="4467"/>
      </w:tblGrid>
      <w:tr>
        <w:trPr>
          <w:trHeight w:val="397"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7" w:hRule="exact"/>
        </w:trPr>
        <w:tc>
          <w:tcPr>
            <w:tcW w:w="5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5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5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5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5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7"/>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中小股东是否有充分表达意见和诉求的机会，其合法权益是否得 到了充分保护：</w:t>
            </w:r>
          </w:p>
        </w:tc>
        <w:tc>
          <w:tcPr>
            <w:tcW w:w="4467"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5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现金分红政策进行调整或变更的，条件及程序是否合规、透明：</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Style w:val="BodyText"/>
        <w:spacing w:line="240" w:lineRule="auto" w:before="49"/>
        <w:ind w:right="94"/>
        <w:jc w:val="left"/>
      </w:pPr>
      <w:r>
        <w:rPr/>
        <w:t>公司近</w:t>
      </w:r>
      <w:r>
        <w:rPr>
          <w:spacing w:val="-44"/>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年（包括本报告期</w:t>
      </w:r>
      <w:r>
        <w:rPr>
          <w:spacing w:val="-3"/>
        </w:rPr>
        <w:t>）</w:t>
      </w:r>
      <w:r>
        <w:rPr/>
        <w:t>的普通股股利分配方案（预案</w:t>
      </w:r>
      <w:r>
        <w:rPr>
          <w:spacing w:val="-89"/>
        </w:rPr>
        <w:t>）</w:t>
      </w:r>
      <w:r>
        <w:rPr/>
        <w:t>、资本公积金转增股本方案（预案）情况</w:t>
      </w:r>
    </w:p>
    <w:p>
      <w:pPr>
        <w:pStyle w:val="Heading6"/>
        <w:spacing w:line="240" w:lineRule="auto" w:before="80"/>
        <w:ind w:right="94" w:firstLine="0"/>
        <w:jc w:val="left"/>
      </w:pPr>
      <w:r>
        <w:rPr>
          <w:rFonts w:ascii="Times New Roman" w:hAnsi="Times New Roman" w:cs="Times New Roman" w:eastAsia="Times New Roman" w:hint="default"/>
        </w:rPr>
        <w:t>2015</w:t>
      </w:r>
      <w:r>
        <w:rPr/>
        <w:t>年度利润分配方案：每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0.55</w:t>
      </w:r>
      <w:r>
        <w:rPr/>
        <w:t>元（含税），转增资本公积金</w:t>
      </w:r>
      <w:r>
        <w:rPr>
          <w:rFonts w:ascii="Times New Roman" w:hAnsi="Times New Roman" w:cs="Times New Roman" w:eastAsia="Times New Roman" w:hint="default"/>
        </w:rPr>
        <w:t>5</w:t>
      </w:r>
      <w:r>
        <w:rPr/>
        <w:t>股。</w:t>
      </w:r>
    </w:p>
    <w:p>
      <w:pPr>
        <w:pStyle w:val="Heading6"/>
        <w:spacing w:line="240" w:lineRule="auto" w:before="21"/>
        <w:ind w:right="94" w:firstLine="0"/>
        <w:jc w:val="left"/>
      </w:pPr>
      <w:r>
        <w:rPr>
          <w:rFonts w:ascii="Times New Roman" w:hAnsi="Times New Roman" w:cs="Times New Roman" w:eastAsia="Times New Roman" w:hint="default"/>
        </w:rPr>
        <w:t>2016</w:t>
      </w:r>
      <w:r>
        <w:rPr/>
        <w:t>年度利润分配方案：每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0.37</w:t>
      </w:r>
      <w:r>
        <w:rPr/>
        <w:t>元（含税），不转增。</w:t>
      </w:r>
    </w:p>
    <w:p>
      <w:pPr>
        <w:pStyle w:val="Heading6"/>
        <w:spacing w:line="240" w:lineRule="auto" w:before="21"/>
        <w:ind w:right="94" w:firstLine="0"/>
        <w:jc w:val="left"/>
      </w:pPr>
      <w:r>
        <w:rPr>
          <w:rFonts w:ascii="Times New Roman" w:hAnsi="Times New Roman" w:cs="Times New Roman" w:eastAsia="Times New Roman" w:hint="default"/>
        </w:rPr>
        <w:t>2017</w:t>
      </w:r>
      <w:r>
        <w:rPr/>
        <w:t>年度利润分配预案：每</w:t>
      </w:r>
      <w:r>
        <w:rPr>
          <w:rFonts w:ascii="Times New Roman" w:hAnsi="Times New Roman" w:cs="Times New Roman" w:eastAsia="Times New Roman" w:hint="default"/>
        </w:rPr>
        <w:t>10</w:t>
      </w:r>
      <w:r>
        <w:rPr/>
        <w:t>股派发现金</w:t>
      </w:r>
      <w:r>
        <w:rPr>
          <w:rFonts w:ascii="Times New Roman" w:hAnsi="Times New Roman" w:cs="Times New Roman" w:eastAsia="Times New Roman" w:hint="default"/>
        </w:rPr>
        <w:t>0.42</w:t>
      </w:r>
      <w:r>
        <w:rPr/>
        <w:t>元（含税），不转增。</w:t>
      </w:r>
    </w:p>
    <w:p>
      <w:pPr>
        <w:spacing w:line="240" w:lineRule="auto" w:before="10"/>
        <w:rPr>
          <w:rFonts w:ascii="宋体" w:hAnsi="宋体" w:cs="宋体" w:eastAsia="宋体" w:hint="default"/>
          <w:sz w:val="26"/>
          <w:szCs w:val="26"/>
        </w:rPr>
      </w:pPr>
    </w:p>
    <w:p>
      <w:pPr>
        <w:pStyle w:val="BodyText"/>
        <w:spacing w:line="240" w:lineRule="auto" w:before="44"/>
        <w:ind w:right="94"/>
        <w:jc w:val="left"/>
      </w:pPr>
      <w:r>
        <w:rPr/>
        <w:t>公司近三年（包括本报告期）普通股现金分红情况表</w:t>
      </w:r>
    </w:p>
    <w:p>
      <w:pPr>
        <w:pStyle w:val="BodyText"/>
        <w:spacing w:line="240" w:lineRule="auto" w:before="117"/>
        <w:ind w:left="0" w:right="191"/>
        <w:jc w:val="right"/>
      </w:pPr>
      <w:r>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356" w:hRule="exact"/>
        </w:trPr>
        <w:tc>
          <w:tcPr>
            <w:tcW w:w="15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right="71"/>
              <w:jc w:val="right"/>
              <w:rPr>
                <w:rFonts w:ascii="宋体" w:hAnsi="宋体" w:cs="宋体" w:eastAsia="宋体" w:hint="default"/>
                <w:sz w:val="18"/>
                <w:szCs w:val="18"/>
              </w:rPr>
            </w:pPr>
            <w:r>
              <w:rPr>
                <w:rFonts w:ascii="宋体" w:hAnsi="宋体" w:cs="宋体" w:eastAsia="宋体" w:hint="default"/>
                <w:sz w:val="18"/>
                <w:szCs w:val="18"/>
              </w:rPr>
              <w:t>分红年度合并报表</w:t>
            </w:r>
          </w:p>
        </w:tc>
        <w:tc>
          <w:tcPr>
            <w:tcW w:w="1596"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0"/>
              <w:ind w:left="71" w:right="0"/>
              <w:jc w:val="left"/>
              <w:rPr>
                <w:rFonts w:ascii="宋体" w:hAnsi="宋体" w:cs="宋体" w:eastAsia="宋体" w:hint="default"/>
                <w:sz w:val="18"/>
                <w:szCs w:val="18"/>
              </w:rPr>
            </w:pPr>
            <w:r>
              <w:rPr>
                <w:rFonts w:ascii="宋体" w:hAnsi="宋体" w:cs="宋体" w:eastAsia="宋体" w:hint="default"/>
                <w:sz w:val="18"/>
                <w:szCs w:val="18"/>
              </w:rPr>
              <w:t>占合并报表中归属</w:t>
            </w: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c>
          <w:tcPr>
            <w:tcW w:w="159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623" w:hRule="exact"/>
        </w:trPr>
        <w:tc>
          <w:tcPr>
            <w:tcW w:w="15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4"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5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12"/>
              <w:ind w:left="612" w:right="70" w:hanging="540"/>
              <w:jc w:val="left"/>
              <w:rPr>
                <w:rFonts w:ascii="宋体" w:hAnsi="宋体" w:cs="宋体" w:eastAsia="宋体" w:hint="default"/>
                <w:sz w:val="18"/>
                <w:szCs w:val="18"/>
              </w:rPr>
            </w:pPr>
            <w:r>
              <w:rPr>
                <w:rFonts w:ascii="宋体" w:hAnsi="宋体" w:cs="宋体" w:eastAsia="宋体" w:hint="default"/>
                <w:sz w:val="18"/>
                <w:szCs w:val="18"/>
              </w:rPr>
              <w:t>现金分红金额（含 税）</w:t>
            </w:r>
          </w:p>
        </w:tc>
        <w:tc>
          <w:tcPr>
            <w:tcW w:w="15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9"/>
              <w:ind w:left="71" w:right="71"/>
              <w:jc w:val="left"/>
              <w:rPr>
                <w:rFonts w:ascii="宋体" w:hAnsi="宋体" w:cs="宋体" w:eastAsia="宋体" w:hint="default"/>
                <w:sz w:val="18"/>
                <w:szCs w:val="18"/>
              </w:rPr>
            </w:pPr>
            <w:r>
              <w:rPr>
                <w:rFonts w:ascii="宋体" w:hAnsi="宋体" w:cs="宋体" w:eastAsia="宋体" w:hint="default"/>
                <w:sz w:val="18"/>
                <w:szCs w:val="18"/>
              </w:rPr>
              <w:t>中归属于上市公司 普通股股东的净利</w:t>
            </w:r>
          </w:p>
        </w:tc>
        <w:tc>
          <w:tcPr>
            <w:tcW w:w="15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9"/>
              <w:ind w:left="71" w:right="72"/>
              <w:jc w:val="left"/>
              <w:rPr>
                <w:rFonts w:ascii="宋体" w:hAnsi="宋体" w:cs="宋体" w:eastAsia="宋体" w:hint="default"/>
                <w:sz w:val="18"/>
                <w:szCs w:val="18"/>
              </w:rPr>
            </w:pPr>
            <w:r>
              <w:rPr>
                <w:rFonts w:ascii="宋体" w:hAnsi="宋体" w:cs="宋体" w:eastAsia="宋体" w:hint="default"/>
                <w:sz w:val="18"/>
                <w:szCs w:val="18"/>
              </w:rPr>
              <w:t>于上市公司普通股 股东的净利润的比</w:t>
            </w:r>
          </w:p>
        </w:tc>
        <w:tc>
          <w:tcPr>
            <w:tcW w:w="15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12"/>
              <w:ind w:left="431"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红的金额</w:t>
            </w:r>
          </w:p>
        </w:tc>
        <w:tc>
          <w:tcPr>
            <w:tcW w:w="15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12"/>
              <w:ind w:left="432"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360" w:hRule="exact"/>
        </w:trPr>
        <w:tc>
          <w:tcPr>
            <w:tcW w:w="15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润</w:t>
            </w:r>
          </w:p>
        </w:tc>
        <w:tc>
          <w:tcPr>
            <w:tcW w:w="1596"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率</w:t>
            </w: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55,097,259.55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265,199,610.30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20.78%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47,456,755.48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156,569,086.39</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30.31%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39,113,663.05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130,160,648.82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30.05%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94"/>
        <w:jc w:val="left"/>
      </w:pPr>
      <w:r>
        <w:rPr/>
        <w:t>公司报告期内盈利且母公司可供普通股股东分配利润为正但未提出普通股现金红利分配预案</w:t>
      </w:r>
    </w:p>
    <w:p>
      <w:pPr>
        <w:pStyle w:val="BodyText"/>
        <w:spacing w:line="240" w:lineRule="auto" w:before="115"/>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940"/>
        </w:sectPr>
      </w:pPr>
    </w:p>
    <w:p>
      <w:pPr>
        <w:spacing w:line="240" w:lineRule="auto" w:before="8"/>
        <w:rPr>
          <w:rFonts w:ascii="宋体" w:hAnsi="宋体" w:cs="宋体" w:eastAsia="宋体" w:hint="default"/>
          <w:sz w:val="23"/>
          <w:szCs w:val="23"/>
        </w:rPr>
      </w:pPr>
    </w:p>
    <w:p>
      <w:pPr>
        <w:pStyle w:val="Heading3"/>
        <w:spacing w:line="240" w:lineRule="auto" w:before="26"/>
        <w:ind w:right="0"/>
        <w:jc w:val="left"/>
        <w:rPr>
          <w:b w:val="0"/>
          <w:bCs w:val="0"/>
        </w:rPr>
      </w:pPr>
      <w:r>
        <w:rPr/>
        <w:t>二、本报告期利润分配及资本公积金转增股本预案</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795"/>
        <w:gridCol w:w="5775"/>
      </w:tblGrid>
      <w:tr>
        <w:trPr>
          <w:trHeight w:val="403"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0.42</w:t>
            </w:r>
          </w:p>
        </w:tc>
      </w:tr>
      <w:tr>
        <w:trPr>
          <w:trHeight w:val="403"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1,311,839,513</w:t>
            </w:r>
          </w:p>
        </w:tc>
      </w:tr>
      <w:tr>
        <w:trPr>
          <w:trHeight w:val="403"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5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55,097,259.55</w:t>
            </w:r>
          </w:p>
        </w:tc>
      </w:tr>
      <w:tr>
        <w:trPr>
          <w:trHeight w:val="401"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1,110,939,772.85</w:t>
            </w:r>
          </w:p>
        </w:tc>
      </w:tr>
      <w:tr>
        <w:trPr>
          <w:trHeight w:val="404" w:hRule="exact"/>
        </w:trPr>
        <w:tc>
          <w:tcPr>
            <w:tcW w:w="3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100%</w:t>
            </w:r>
          </w:p>
        </w:tc>
      </w:tr>
      <w:tr>
        <w:trPr>
          <w:trHeight w:val="401"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3"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2"/>
                <w:sz w:val="18"/>
                <w:szCs w:val="18"/>
              </w:rPr>
              <w:t>公司发展阶段属成长期且有重大资金支出安排的，进行利润分配时，现金分红在本次利润分配中所占比例最低应达到</w:t>
            </w:r>
            <w:r>
              <w:rPr>
                <w:rFonts w:ascii="宋体" w:hAnsi="宋体" w:cs="宋体" w:eastAsia="宋体" w:hint="default"/>
                <w:spacing w:val="-11"/>
                <w:sz w:val="18"/>
                <w:szCs w:val="18"/>
              </w:rPr>
              <w:t> </w:t>
            </w:r>
            <w:r>
              <w:rPr>
                <w:rFonts w:ascii="Times New Roman" w:hAnsi="Times New Roman" w:cs="Times New Roman" w:eastAsia="Times New Roman" w:hint="default"/>
                <w:spacing w:val="-1"/>
                <w:sz w:val="18"/>
                <w:szCs w:val="18"/>
              </w:rPr>
              <w:t>20</w:t>
            </w:r>
            <w:r>
              <w:rPr>
                <w:rFonts w:ascii="宋体" w:hAnsi="宋体" w:cs="宋体" w:eastAsia="宋体" w:hint="default"/>
                <w:spacing w:val="-1"/>
                <w:sz w:val="18"/>
                <w:szCs w:val="18"/>
              </w:rPr>
              <w:t>％</w:t>
            </w:r>
          </w:p>
        </w:tc>
      </w:tr>
      <w:tr>
        <w:trPr>
          <w:trHeight w:val="401"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90"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403"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年度利润分配预案：每</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股派发现金</w:t>
            </w:r>
            <w:r>
              <w:rPr>
                <w:rFonts w:ascii="宋体" w:hAnsi="宋体" w:cs="宋体" w:eastAsia="宋体" w:hint="default"/>
                <w:spacing w:val="-44"/>
                <w:sz w:val="18"/>
                <w:szCs w:val="18"/>
              </w:rPr>
              <w:t> </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4</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元（含税</w:t>
            </w:r>
            <w:r>
              <w:rPr>
                <w:rFonts w:ascii="宋体" w:hAnsi="宋体" w:cs="宋体" w:eastAsia="宋体" w:hint="default"/>
                <w:spacing w:val="-92"/>
                <w:sz w:val="18"/>
                <w:szCs w:val="18"/>
              </w:rPr>
              <w:t>）</w:t>
            </w:r>
            <w:r>
              <w:rPr>
                <w:rFonts w:ascii="宋体" w:hAnsi="宋体" w:cs="宋体" w:eastAsia="宋体" w:hint="default"/>
                <w:sz w:val="18"/>
                <w:szCs w:val="18"/>
              </w:rPr>
              <w:t>，不转增。</w:t>
            </w:r>
          </w:p>
        </w:tc>
      </w:tr>
    </w:tbl>
    <w:p>
      <w:pPr>
        <w:spacing w:line="240" w:lineRule="auto" w:before="1"/>
        <w:rPr>
          <w:rFonts w:ascii="宋体" w:hAnsi="宋体" w:cs="宋体" w:eastAsia="宋体" w:hint="default"/>
          <w:sz w:val="18"/>
          <w:szCs w:val="18"/>
        </w:rPr>
      </w:pPr>
    </w:p>
    <w:p>
      <w:pPr>
        <w:pStyle w:val="Heading3"/>
        <w:spacing w:line="240" w:lineRule="auto" w:before="26"/>
        <w:ind w:right="0"/>
        <w:jc w:val="left"/>
        <w:rPr>
          <w:b w:val="0"/>
          <w:bCs w:val="0"/>
        </w:rPr>
      </w:pPr>
      <w:r>
        <w:rPr/>
        <w:t>三、承诺事项履行情况</w:t>
      </w:r>
      <w:r>
        <w:rPr>
          <w:b w:val="0"/>
          <w:bCs w:val="0"/>
        </w:rPr>
      </w:r>
    </w:p>
    <w:p>
      <w:pPr>
        <w:spacing w:line="240" w:lineRule="auto" w:before="9"/>
        <w:rPr>
          <w:rFonts w:ascii="宋体" w:hAnsi="宋体" w:cs="宋体" w:eastAsia="宋体" w:hint="default"/>
          <w:b/>
          <w:bCs/>
          <w:sz w:val="24"/>
          <w:szCs w:val="24"/>
        </w:rPr>
      </w:pPr>
    </w:p>
    <w:p>
      <w:pPr>
        <w:pStyle w:val="Heading5"/>
        <w:spacing w:line="259" w:lineRule="auto"/>
        <w:ind w:right="0"/>
        <w:jc w:val="left"/>
        <w:rPr>
          <w:b w:val="0"/>
          <w:bCs w:val="0"/>
        </w:rPr>
      </w:pP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65"/>
        </w:rPr>
        <w:t> </w:t>
      </w:r>
      <w:r>
        <w:rPr>
          <w:spacing w:val="-65"/>
        </w:rPr>
      </w:r>
      <w:r>
        <w:rPr/>
        <w:t>尚未履行完毕的承诺事项</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2410"/>
        <w:gridCol w:w="1277"/>
        <w:gridCol w:w="850"/>
        <w:gridCol w:w="2268"/>
        <w:gridCol w:w="994"/>
        <w:gridCol w:w="992"/>
        <w:gridCol w:w="778"/>
      </w:tblGrid>
      <w:tr>
        <w:trPr>
          <w:trHeight w:val="403"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承诺事由</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2"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1"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7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401"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股改承诺</w:t>
            </w: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34"/>
              <w:jc w:val="left"/>
              <w:rPr>
                <w:rFonts w:ascii="宋体" w:hAnsi="宋体" w:cs="宋体" w:eastAsia="宋体" w:hint="default"/>
                <w:sz w:val="18"/>
                <w:szCs w:val="18"/>
              </w:rPr>
            </w:pPr>
            <w:r>
              <w:rPr>
                <w:rFonts w:ascii="宋体" w:hAnsi="宋体" w:cs="宋体" w:eastAsia="宋体" w:hint="default"/>
                <w:sz w:val="18"/>
                <w:szCs w:val="18"/>
              </w:rPr>
              <w:t>收购报告书或权益变动报告书 中所作承诺</w:t>
            </w:r>
          </w:p>
        </w:tc>
        <w:tc>
          <w:tcPr>
            <w:tcW w:w="1277" w:type="dxa"/>
            <w:tcBorders>
              <w:top w:val="single" w:sz="4" w:space="0" w:color="000000"/>
              <w:left w:val="single" w:sz="10" w:space="0" w:color="D2D2D2"/>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359" w:hRule="exact"/>
        </w:trPr>
        <w:tc>
          <w:tcPr>
            <w:tcW w:w="2410" w:type="dxa"/>
            <w:vMerge w:val="restart"/>
            <w:tcBorders>
              <w:top w:val="single" w:sz="4" w:space="0" w:color="000000"/>
              <w:left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杰发科技 </w:t>
            </w:r>
            <w:r>
              <w:rPr>
                <w:rFonts w:ascii="Times New Roman" w:hAnsi="Times New Roman" w:cs="Times New Roman" w:eastAsia="Times New Roman" w:hint="default"/>
                <w:sz w:val="18"/>
                <w:szCs w:val="18"/>
              </w:rPr>
              <w:t>2016  </w:t>
            </w:r>
            <w:r>
              <w:rPr>
                <w:rFonts w:ascii="宋体" w:hAnsi="宋体" w:cs="宋体" w:eastAsia="宋体" w:hint="default"/>
                <w:spacing w:val="-7"/>
                <w:sz w:val="18"/>
                <w:szCs w:val="18"/>
              </w:rPr>
              <w:t>年、</w:t>
            </w:r>
            <w:r>
              <w:rPr>
                <w:rFonts w:ascii="Times New Roman" w:hAnsi="Times New Roman" w:cs="Times New Roman" w:eastAsia="Times New Roman" w:hint="default"/>
                <w:spacing w:val="-7"/>
                <w:sz w:val="18"/>
                <w:szCs w:val="18"/>
              </w:rPr>
              <w:t>2017 </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p>
        </w:tc>
        <w:tc>
          <w:tcPr>
            <w:tcW w:w="994"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778"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2410"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和 </w:t>
            </w: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年实现的年度税后</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410"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净利润分别为 </w:t>
            </w:r>
            <w:r>
              <w:rPr>
                <w:rFonts w:ascii="Times New Roman" w:hAnsi="Times New Roman" w:cs="Times New Roman" w:eastAsia="Times New Roman" w:hint="default"/>
                <w:sz w:val="18"/>
                <w:szCs w:val="18"/>
              </w:rPr>
              <w:t>18,665.07</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万</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410"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22,798.51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万元和</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920" w:hRule="exact"/>
        </w:trPr>
        <w:tc>
          <w:tcPr>
            <w:tcW w:w="2410" w:type="dxa"/>
            <w:vMerge/>
            <w:tcBorders>
              <w:left w:val="single" w:sz="4" w:space="0" w:color="000000"/>
              <w:bottom w:val="nil" w:sz="6" w:space="0" w:color="auto"/>
              <w:right w:val="single" w:sz="4" w:space="0" w:color="000000"/>
            </w:tcBorders>
            <w:shd w:val="clear" w:color="auto" w:fill="D2D2D2"/>
          </w:tcPr>
          <w:p>
            <w:pPr/>
          </w:p>
        </w:tc>
        <w:tc>
          <w:tcPr>
            <w:tcW w:w="1277" w:type="dxa"/>
            <w:vMerge w:val="restart"/>
            <w:tcBorders>
              <w:top w:val="nil" w:sz="6" w:space="0" w:color="auto"/>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4" w:lineRule="auto"/>
              <w:ind w:left="24" w:right="161"/>
              <w:jc w:val="left"/>
              <w:rPr>
                <w:rFonts w:ascii="宋体" w:hAnsi="宋体" w:cs="宋体" w:eastAsia="宋体" w:hint="default"/>
                <w:sz w:val="18"/>
                <w:szCs w:val="18"/>
              </w:rPr>
            </w:pPr>
            <w:r>
              <w:rPr>
                <w:rFonts w:ascii="宋体" w:hAnsi="宋体" w:cs="宋体" w:eastAsia="宋体" w:hint="default"/>
                <w:sz w:val="18"/>
                <w:szCs w:val="18"/>
              </w:rPr>
              <w:t>杰发科技的全 体股东</w:t>
            </w:r>
          </w:p>
        </w:tc>
        <w:tc>
          <w:tcPr>
            <w:tcW w:w="850" w:type="dxa"/>
            <w:vMerge w:val="restart"/>
            <w:tcBorders>
              <w:top w:val="nil" w:sz="6" w:space="0" w:color="auto"/>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23" w:right="95"/>
              <w:jc w:val="both"/>
              <w:rPr>
                <w:rFonts w:ascii="宋体" w:hAnsi="宋体" w:cs="宋体" w:eastAsia="宋体" w:hint="default"/>
                <w:sz w:val="18"/>
                <w:szCs w:val="18"/>
              </w:rPr>
            </w:pPr>
            <w:r>
              <w:rPr>
                <w:rFonts w:ascii="宋体" w:hAnsi="宋体" w:cs="宋体" w:eastAsia="宋体" w:hint="default"/>
                <w:sz w:val="18"/>
                <w:szCs w:val="18"/>
              </w:rPr>
              <w:t>业绩承诺 及补偿安 排</w:t>
            </w:r>
          </w:p>
        </w:tc>
        <w:tc>
          <w:tcPr>
            <w:tcW w:w="2268" w:type="dxa"/>
            <w:vMerge w:val="restart"/>
            <w:tcBorders>
              <w:top w:val="nil" w:sz="6" w:space="0" w:color="auto"/>
              <w:left w:val="single" w:sz="4" w:space="0" w:color="000000"/>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30,290.37 </w:t>
            </w:r>
            <w:r>
              <w:rPr>
                <w:rFonts w:ascii="Times New Roman" w:hAnsi="Times New Roman" w:cs="Times New Roman" w:eastAsia="Times New Roman" w:hint="default"/>
                <w:spacing w:val="2"/>
                <w:sz w:val="18"/>
                <w:szCs w:val="18"/>
              </w:rPr>
              <w:t> </w:t>
            </w:r>
            <w:r>
              <w:rPr>
                <w:rFonts w:ascii="宋体" w:hAnsi="宋体" w:cs="宋体" w:eastAsia="宋体" w:hint="default"/>
                <w:spacing w:val="-5"/>
                <w:sz w:val="18"/>
                <w:szCs w:val="18"/>
              </w:rPr>
              <w:t>万元，三年累计税</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后净利润为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717,539,350.00</w:t>
            </w:r>
          </w:p>
          <w:p>
            <w:pPr>
              <w:pStyle w:val="TableParagraph"/>
              <w:spacing w:line="316" w:lineRule="auto" w:before="63"/>
              <w:ind w:left="24" w:right="72"/>
              <w:jc w:val="left"/>
              <w:rPr>
                <w:rFonts w:ascii="宋体" w:hAnsi="宋体" w:cs="宋体" w:eastAsia="宋体" w:hint="default"/>
                <w:sz w:val="18"/>
                <w:szCs w:val="18"/>
              </w:rPr>
            </w:pPr>
            <w:r>
              <w:rPr>
                <w:rFonts w:ascii="宋体" w:hAnsi="宋体" w:cs="宋体" w:eastAsia="宋体" w:hint="default"/>
                <w:sz w:val="18"/>
                <w:szCs w:val="18"/>
              </w:rPr>
              <w:t>元。在业绩承诺期满后，如 出现杰发科技需要做业绩补</w:t>
            </w:r>
          </w:p>
        </w:tc>
        <w:tc>
          <w:tcPr>
            <w:tcW w:w="994" w:type="dxa"/>
            <w:vMerge w:val="restart"/>
            <w:tcBorders>
              <w:top w:val="nil" w:sz="6" w:space="0" w:color="auto"/>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vMerge w:val="restart"/>
            <w:tcBorders>
              <w:top w:val="nil" w:sz="6" w:space="0" w:color="auto"/>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年至</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778"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94" w:hRule="exact"/>
        </w:trPr>
        <w:tc>
          <w:tcPr>
            <w:tcW w:w="241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277" w:type="dxa"/>
            <w:vMerge/>
            <w:tcBorders>
              <w:left w:val="single" w:sz="4" w:space="0" w:color="000000"/>
              <w:bottom w:val="nil" w:sz="6" w:space="0" w:color="auto"/>
              <w:right w:val="single" w:sz="4" w:space="0" w:color="000000"/>
            </w:tcBorders>
          </w:tcPr>
          <w:p>
            <w:pPr/>
          </w:p>
        </w:tc>
        <w:tc>
          <w:tcPr>
            <w:tcW w:w="850" w:type="dxa"/>
            <w:vMerge/>
            <w:tcBorders>
              <w:left w:val="single" w:sz="4" w:space="0" w:color="000000"/>
              <w:bottom w:val="nil" w:sz="6" w:space="0" w:color="auto"/>
              <w:right w:val="single" w:sz="4" w:space="0" w:color="000000"/>
            </w:tcBorders>
          </w:tcPr>
          <w:p>
            <w:pPr/>
          </w:p>
        </w:tc>
        <w:tc>
          <w:tcPr>
            <w:tcW w:w="2268" w:type="dxa"/>
            <w:vMerge/>
            <w:tcBorders>
              <w:left w:val="single" w:sz="4" w:space="0" w:color="000000"/>
              <w:bottom w:val="nil" w:sz="6" w:space="0" w:color="auto"/>
              <w:right w:val="single" w:sz="4" w:space="0" w:color="000000"/>
            </w:tcBorders>
          </w:tcPr>
          <w:p>
            <w:pPr/>
          </w:p>
        </w:tc>
        <w:tc>
          <w:tcPr>
            <w:tcW w:w="994" w:type="dxa"/>
            <w:vMerge/>
            <w:tcBorders>
              <w:left w:val="single" w:sz="4" w:space="0" w:color="000000"/>
              <w:bottom w:val="nil" w:sz="6" w:space="0" w:color="auto"/>
              <w:right w:val="single" w:sz="4" w:space="0" w:color="000000"/>
            </w:tcBorders>
          </w:tcPr>
          <w:p>
            <w:pPr/>
          </w:p>
        </w:tc>
        <w:tc>
          <w:tcPr>
            <w:tcW w:w="992" w:type="dxa"/>
            <w:vMerge/>
            <w:tcBorders>
              <w:left w:val="single" w:sz="4" w:space="0" w:color="000000"/>
              <w:bottom w:val="nil" w:sz="6" w:space="0" w:color="auto"/>
              <w:right w:val="single" w:sz="4" w:space="0" w:color="000000"/>
            </w:tcBorders>
          </w:tcPr>
          <w:p>
            <w:pPr/>
          </w:p>
        </w:tc>
        <w:tc>
          <w:tcPr>
            <w:tcW w:w="778" w:type="dxa"/>
            <w:vMerge/>
            <w:tcBorders>
              <w:left w:val="single" w:sz="4" w:space="0" w:color="000000"/>
              <w:bottom w:val="nil" w:sz="6" w:space="0" w:color="auto"/>
              <w:right w:val="single" w:sz="4" w:space="0" w:color="000000"/>
            </w:tcBorders>
          </w:tcPr>
          <w:p>
            <w:pPr/>
          </w:p>
        </w:tc>
      </w:tr>
      <w:tr>
        <w:trPr>
          <w:trHeight w:val="243" w:hRule="exact"/>
        </w:trPr>
        <w:tc>
          <w:tcPr>
            <w:tcW w:w="2410" w:type="dxa"/>
            <w:vMerge w:val="restart"/>
            <w:tcBorders>
              <w:top w:val="nil" w:sz="6" w:space="0" w:color="auto"/>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178" w:lineRule="exact"/>
              <w:ind w:left="24" w:right="0"/>
              <w:jc w:val="left"/>
              <w:rPr>
                <w:rFonts w:ascii="宋体" w:hAnsi="宋体" w:cs="宋体" w:eastAsia="宋体" w:hint="default"/>
                <w:sz w:val="18"/>
                <w:szCs w:val="18"/>
              </w:rPr>
            </w:pPr>
            <w:r>
              <w:rPr>
                <w:rFonts w:ascii="宋体" w:hAnsi="宋体" w:cs="宋体" w:eastAsia="宋体" w:hint="default"/>
                <w:sz w:val="18"/>
                <w:szCs w:val="18"/>
              </w:rPr>
              <w:t>偿的情形，交易对价调减金</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410"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额超过</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z w:val="18"/>
                <w:szCs w:val="18"/>
              </w:rPr>
              <w:t>5  </w:t>
            </w:r>
            <w:r>
              <w:rPr>
                <w:rFonts w:ascii="宋体" w:hAnsi="宋体" w:cs="宋体" w:eastAsia="宋体" w:hint="default"/>
                <w:sz w:val="18"/>
                <w:szCs w:val="18"/>
              </w:rPr>
              <w:t>亿元</w:t>
            </w:r>
            <w:r>
              <w:rPr>
                <w:rFonts w:ascii="宋体" w:hAnsi="宋体" w:cs="宋体" w:eastAsia="宋体" w:hint="default"/>
                <w:spacing w:val="-85"/>
                <w:sz w:val="18"/>
                <w:szCs w:val="18"/>
              </w:rPr>
              <w:t>，</w:t>
            </w:r>
            <w:r>
              <w:rPr>
                <w:rFonts w:ascii="宋体" w:hAnsi="宋体" w:cs="宋体" w:eastAsia="宋体" w:hint="default"/>
                <w:sz w:val="18"/>
                <w:szCs w:val="18"/>
              </w:rPr>
              <w:t>由杰发</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410"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科技全体股东对上市公司予</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2410" w:type="dxa"/>
            <w:vMerge/>
            <w:tcBorders>
              <w:left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以补偿。</w:t>
            </w:r>
          </w:p>
        </w:tc>
        <w:tc>
          <w:tcPr>
            <w:tcW w:w="994"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778" w:type="dxa"/>
            <w:tcBorders>
              <w:top w:val="nil" w:sz="6" w:space="0" w:color="auto"/>
              <w:left w:val="single" w:sz="4" w:space="0" w:color="000000"/>
              <w:bottom w:val="single" w:sz="4" w:space="0" w:color="000000"/>
              <w:right w:val="single" w:sz="4" w:space="0" w:color="000000"/>
            </w:tcBorders>
          </w:tcPr>
          <w:p>
            <w:pPr/>
          </w:p>
        </w:tc>
      </w:tr>
      <w:tr>
        <w:trPr>
          <w:trHeight w:val="986" w:hRule="exact"/>
        </w:trPr>
        <w:tc>
          <w:tcPr>
            <w:tcW w:w="2410"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316" w:lineRule="auto"/>
              <w:ind w:left="24" w:right="22"/>
              <w:jc w:val="left"/>
              <w:rPr>
                <w:rFonts w:ascii="宋体" w:hAnsi="宋体" w:cs="宋体" w:eastAsia="宋体" w:hint="default"/>
                <w:sz w:val="18"/>
                <w:szCs w:val="18"/>
              </w:rPr>
            </w:pPr>
            <w:r>
              <w:rPr>
                <w:rFonts w:ascii="宋体" w:hAnsi="宋体" w:cs="宋体" w:eastAsia="宋体" w:hint="default"/>
                <w:spacing w:val="-6"/>
                <w:sz w:val="18"/>
                <w:szCs w:val="18"/>
              </w:rPr>
              <w:t>雷凌科技、联发</w:t>
            </w:r>
            <w:r>
              <w:rPr>
                <w:rFonts w:ascii="宋体" w:hAnsi="宋体" w:cs="宋体" w:eastAsia="宋体" w:hint="default"/>
                <w:sz w:val="18"/>
                <w:szCs w:val="18"/>
              </w:rPr>
              <w:t> 科</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95"/>
              <w:jc w:val="left"/>
              <w:rPr>
                <w:rFonts w:ascii="宋体" w:hAnsi="宋体" w:cs="宋体" w:eastAsia="宋体" w:hint="default"/>
                <w:sz w:val="18"/>
                <w:szCs w:val="18"/>
              </w:rPr>
            </w:pPr>
            <w:r>
              <w:rPr>
                <w:rFonts w:ascii="宋体" w:hAnsi="宋体" w:cs="宋体" w:eastAsia="宋体" w:hint="default"/>
                <w:sz w:val="18"/>
                <w:szCs w:val="18"/>
              </w:rPr>
              <w:t>业绩承诺 及补偿安</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
              <w:jc w:val="both"/>
              <w:rPr>
                <w:rFonts w:ascii="宋体" w:hAnsi="宋体" w:cs="宋体" w:eastAsia="宋体" w:hint="default"/>
                <w:sz w:val="18"/>
                <w:szCs w:val="18"/>
              </w:rPr>
            </w:pPr>
            <w:r>
              <w:rPr>
                <w:rFonts w:ascii="宋体" w:hAnsi="宋体" w:cs="宋体" w:eastAsia="宋体" w:hint="default"/>
                <w:sz w:val="18"/>
                <w:szCs w:val="18"/>
              </w:rPr>
              <w:t>根据《资产购买协议》中约 定公式计算的交易对价调减 金额超过 </w:t>
            </w:r>
            <w:r>
              <w:rPr>
                <w:rFonts w:ascii="Times New Roman" w:hAnsi="Times New Roman" w:cs="Times New Roman" w:eastAsia="Times New Roman" w:hint="default"/>
                <w:spacing w:val="-1"/>
                <w:sz w:val="18"/>
                <w:szCs w:val="18"/>
              </w:rPr>
              <w:t>6.4585</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6"/>
                <w:sz w:val="18"/>
                <w:szCs w:val="18"/>
              </w:rPr>
              <w:t> </w:t>
            </w:r>
            <w:r>
              <w:rPr>
                <w:rFonts w:ascii="宋体" w:hAnsi="宋体" w:cs="宋体" w:eastAsia="宋体" w:hint="default"/>
                <w:spacing w:val="-17"/>
                <w:sz w:val="18"/>
                <w:szCs w:val="18"/>
              </w:rPr>
              <w:t>亿元，除其</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年至</w:t>
            </w:r>
          </w:p>
          <w:p>
            <w:pPr>
              <w:pStyle w:val="TableParagraph"/>
              <w:spacing w:line="240" w:lineRule="auto" w:before="6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7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正在履行</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409"/>
        <w:gridCol w:w="1277"/>
        <w:gridCol w:w="850"/>
        <w:gridCol w:w="2268"/>
        <w:gridCol w:w="994"/>
        <w:gridCol w:w="992"/>
        <w:gridCol w:w="778"/>
      </w:tblGrid>
      <w:tr>
        <w:trPr>
          <w:trHeight w:val="320" w:hRule="exact"/>
        </w:trPr>
        <w:tc>
          <w:tcPr>
            <w:tcW w:w="2409" w:type="dxa"/>
            <w:vMerge w:val="restart"/>
            <w:tcBorders>
              <w:top w:val="single" w:sz="4" w:space="0" w:color="000000"/>
              <w:left w:val="single" w:sz="4" w:space="0" w:color="000000"/>
              <w:right w:val="single" w:sz="4" w:space="0" w:color="000000"/>
            </w:tcBorders>
            <w:shd w:val="clear" w:color="auto" w:fill="D2D2D2"/>
          </w:tcPr>
          <w:p>
            <w:pPr/>
          </w:p>
        </w:tc>
        <w:tc>
          <w:tcPr>
            <w:tcW w:w="1277" w:type="dxa"/>
            <w:vMerge w:val="restart"/>
            <w:tcBorders>
              <w:top w:val="single" w:sz="4" w:space="0" w:color="000000"/>
              <w:left w:val="single" w:sz="4" w:space="0" w:color="000000"/>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排</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中</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pacing w:val="1"/>
                <w:sz w:val="18"/>
                <w:szCs w:val="18"/>
              </w:rPr>
              <w:t>8</w:t>
            </w:r>
            <w:r>
              <w:rPr>
                <w:rFonts w:ascii="Times New Roman" w:hAnsi="Times New Roman" w:cs="Times New Roman" w:eastAsia="Times New Roman" w:hint="default"/>
                <w:sz w:val="18"/>
                <w:szCs w:val="18"/>
              </w:rPr>
              <w:t>5  </w:t>
            </w:r>
            <w:r>
              <w:rPr>
                <w:rFonts w:ascii="宋体" w:hAnsi="宋体" w:cs="宋体" w:eastAsia="宋体" w:hint="default"/>
                <w:sz w:val="18"/>
                <w:szCs w:val="18"/>
              </w:rPr>
              <w:t>亿元部分仍</w:t>
            </w:r>
            <w:r>
              <w:rPr>
                <w:rFonts w:ascii="宋体" w:hAnsi="宋体" w:cs="宋体" w:eastAsia="宋体" w:hint="default"/>
                <w:spacing w:val="-85"/>
                <w:sz w:val="18"/>
                <w:szCs w:val="18"/>
              </w:rPr>
              <w:t>按</w:t>
            </w:r>
            <w:r>
              <w:rPr>
                <w:rFonts w:ascii="宋体" w:hAnsi="宋体" w:cs="宋体" w:eastAsia="宋体" w:hint="default"/>
                <w:sz w:val="18"/>
                <w:szCs w:val="18"/>
              </w:rPr>
              <w:t>《资</w:t>
            </w:r>
          </w:p>
        </w:tc>
        <w:tc>
          <w:tcPr>
            <w:tcW w:w="994" w:type="dxa"/>
            <w:vMerge w:val="restart"/>
            <w:tcBorders>
              <w:top w:val="single" w:sz="4" w:space="0" w:color="000000"/>
              <w:left w:val="single" w:sz="4" w:space="0" w:color="000000"/>
              <w:right w:val="single" w:sz="4" w:space="0" w:color="000000"/>
            </w:tcBorders>
          </w:tcPr>
          <w:p>
            <w:pPr/>
          </w:p>
        </w:tc>
        <w:tc>
          <w:tcPr>
            <w:tcW w:w="992" w:type="dxa"/>
            <w:vMerge w:val="restart"/>
            <w:tcBorders>
              <w:top w:val="single" w:sz="4" w:space="0" w:color="000000"/>
              <w:left w:val="single" w:sz="4" w:space="0" w:color="000000"/>
              <w:right w:val="single" w:sz="4" w:space="0" w:color="000000"/>
            </w:tcBorders>
          </w:tcPr>
          <w:p>
            <w:pPr/>
          </w:p>
        </w:tc>
        <w:tc>
          <w:tcPr>
            <w:tcW w:w="778" w:type="dxa"/>
            <w:vMerge w:val="restart"/>
            <w:tcBorders>
              <w:top w:val="single" w:sz="4" w:space="0" w:color="000000"/>
              <w:left w:val="single" w:sz="4" w:space="0" w:color="000000"/>
              <w:right w:val="single" w:sz="4" w:space="0" w:color="000000"/>
            </w:tcBorders>
          </w:tcPr>
          <w:p>
            <w:pPr/>
          </w:p>
        </w:tc>
      </w:tr>
      <w:tr>
        <w:trPr>
          <w:trHeight w:val="307"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产购买协议》的约定由杰发</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12"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科技全体股东对上市公司予</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17"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以补偿外</w:t>
            </w:r>
            <w:r>
              <w:rPr>
                <w:rFonts w:ascii="宋体" w:hAnsi="宋体" w:cs="宋体" w:eastAsia="宋体" w:hint="default"/>
                <w:spacing w:val="-85"/>
                <w:sz w:val="18"/>
                <w:szCs w:val="18"/>
              </w:rPr>
              <w:t>，</w:t>
            </w:r>
            <w:r>
              <w:rPr>
                <w:rFonts w:ascii="宋体" w:hAnsi="宋体" w:cs="宋体" w:eastAsia="宋体" w:hint="default"/>
                <w:sz w:val="18"/>
                <w:szCs w:val="18"/>
              </w:rPr>
              <w:t>超出</w:t>
            </w:r>
            <w:r>
              <w:rPr>
                <w:rFonts w:ascii="宋体" w:hAnsi="宋体" w:cs="宋体" w:eastAsia="宋体" w:hint="default"/>
                <w:spacing w:val="1"/>
                <w:sz w:val="18"/>
                <w:szCs w:val="18"/>
              </w:rPr>
              <w:t> </w:t>
            </w:r>
            <w:r>
              <w:rPr>
                <w:rFonts w:ascii="Times New Roman" w:hAnsi="Times New Roman" w:cs="Times New Roman" w:eastAsia="Times New Roman" w:hint="default"/>
                <w:spacing w:val="1"/>
                <w:sz w:val="18"/>
                <w:szCs w:val="18"/>
              </w:rPr>
              <w:t>6</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4</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z w:val="18"/>
                <w:szCs w:val="18"/>
              </w:rPr>
              <w:t>5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亿元</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12"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部分的</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82.90%</w:t>
            </w:r>
            <w:r>
              <w:rPr>
                <w:rFonts w:ascii="宋体" w:hAnsi="宋体" w:cs="宋体" w:eastAsia="宋体" w:hint="default"/>
                <w:sz w:val="18"/>
                <w:szCs w:val="18"/>
              </w:rPr>
              <w:t>由雷凌科技</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07"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以人民币现金对上市公司予</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12"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以补偿，雷凌科技将在交易</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12"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对价调减金额经计算确定后</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17"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的 </w:t>
            </w:r>
            <w:r>
              <w:rPr>
                <w:rFonts w:ascii="Times New Roman" w:hAnsi="Times New Roman" w:cs="Times New Roman" w:eastAsia="Times New Roman" w:hint="default"/>
                <w:sz w:val="18"/>
                <w:szCs w:val="18"/>
              </w:rPr>
              <w:t>60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日内一次性向上市公</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07" w:hRule="exact"/>
        </w:trPr>
        <w:tc>
          <w:tcPr>
            <w:tcW w:w="2409" w:type="dxa"/>
            <w:vMerge/>
            <w:tcBorders>
              <w:left w:val="single" w:sz="4" w:space="0" w:color="000000"/>
              <w:right w:val="single" w:sz="4" w:space="0" w:color="000000"/>
            </w:tcBorders>
            <w:shd w:val="clear" w:color="auto" w:fill="D2D2D2"/>
          </w:tcPr>
          <w:p>
            <w:pPr/>
          </w:p>
        </w:tc>
        <w:tc>
          <w:tcPr>
            <w:tcW w:w="1277"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司支付，联发科将以连带责</w:t>
            </w:r>
          </w:p>
        </w:tc>
        <w:tc>
          <w:tcPr>
            <w:tcW w:w="994" w:type="dxa"/>
            <w:vMerge/>
            <w:tcBorders>
              <w:left w:val="single" w:sz="4" w:space="0" w:color="000000"/>
              <w:right w:val="single" w:sz="4" w:space="0" w:color="000000"/>
            </w:tcBorders>
          </w:tcPr>
          <w:p>
            <w:pPr/>
          </w:p>
        </w:tc>
        <w:tc>
          <w:tcPr>
            <w:tcW w:w="992" w:type="dxa"/>
            <w:vMerge/>
            <w:tcBorders>
              <w:left w:val="single" w:sz="4" w:space="0" w:color="000000"/>
              <w:right w:val="single" w:sz="4" w:space="0" w:color="000000"/>
            </w:tcBorders>
          </w:tcPr>
          <w:p>
            <w:pPr/>
          </w:p>
        </w:tc>
        <w:tc>
          <w:tcPr>
            <w:tcW w:w="778" w:type="dxa"/>
            <w:vMerge/>
            <w:tcBorders>
              <w:left w:val="single" w:sz="4" w:space="0" w:color="000000"/>
              <w:right w:val="single" w:sz="4" w:space="0" w:color="000000"/>
            </w:tcBorders>
          </w:tcPr>
          <w:p>
            <w:pPr/>
          </w:p>
        </w:tc>
      </w:tr>
      <w:tr>
        <w:trPr>
          <w:trHeight w:val="360" w:hRule="exact"/>
        </w:trPr>
        <w:tc>
          <w:tcPr>
            <w:tcW w:w="2409" w:type="dxa"/>
            <w:vMerge/>
            <w:tcBorders>
              <w:left w:val="single" w:sz="4" w:space="0" w:color="000000"/>
              <w:bottom w:val="single" w:sz="4" w:space="0" w:color="000000"/>
              <w:right w:val="single" w:sz="4" w:space="0" w:color="000000"/>
            </w:tcBorders>
            <w:shd w:val="clear" w:color="auto" w:fill="D2D2D2"/>
          </w:tcPr>
          <w:p>
            <w:pPr/>
          </w:p>
        </w:tc>
        <w:tc>
          <w:tcPr>
            <w:tcW w:w="1277" w:type="dxa"/>
            <w:vMerge/>
            <w:tcBorders>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任方式承担前述补偿责任。</w:t>
            </w:r>
          </w:p>
        </w:tc>
        <w:tc>
          <w:tcPr>
            <w:tcW w:w="994" w:type="dxa"/>
            <w:vMerge/>
            <w:tcBorders>
              <w:left w:val="single" w:sz="4" w:space="0" w:color="000000"/>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778" w:type="dxa"/>
            <w:vMerge/>
            <w:tcBorders>
              <w:left w:val="single" w:sz="4" w:space="0" w:color="000000"/>
              <w:bottom w:val="single" w:sz="4" w:space="0" w:color="000000"/>
              <w:right w:val="single" w:sz="4" w:space="0" w:color="000000"/>
            </w:tcBorders>
          </w:tcPr>
          <w:p>
            <w:pPr/>
          </w:p>
        </w:tc>
      </w:tr>
      <w:tr>
        <w:trPr>
          <w:trHeight w:val="356" w:hRule="exact"/>
        </w:trPr>
        <w:tc>
          <w:tcPr>
            <w:tcW w:w="2409" w:type="dxa"/>
            <w:tcBorders>
              <w:top w:val="single" w:sz="4" w:space="0" w:color="000000"/>
              <w:left w:val="single" w:sz="4" w:space="0" w:color="000000"/>
              <w:bottom w:val="nil" w:sz="6" w:space="0" w:color="auto"/>
              <w:right w:val="single" w:sz="4" w:space="0" w:color="000000"/>
            </w:tcBorders>
            <w:shd w:val="clear" w:color="auto" w:fill="D2D2D2"/>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本人自四维图新股票上市之</w:t>
            </w:r>
          </w:p>
        </w:tc>
        <w:tc>
          <w:tcPr>
            <w:tcW w:w="994"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778"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日起十二个月内不转让、不</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委托他人管理四维图新首次</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孙玉国、赖丰</w:t>
            </w: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公开发行前本人持有四维图</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17"/>
              <w:jc w:val="both"/>
              <w:rPr>
                <w:rFonts w:ascii="宋体" w:hAnsi="宋体" w:cs="宋体" w:eastAsia="宋体" w:hint="default"/>
                <w:sz w:val="18"/>
                <w:szCs w:val="18"/>
              </w:rPr>
            </w:pPr>
            <w:r>
              <w:rPr>
                <w:rFonts w:ascii="宋体" w:hAnsi="宋体" w:cs="宋体" w:eastAsia="宋体" w:hint="default"/>
                <w:spacing w:val="-6"/>
                <w:sz w:val="18"/>
                <w:szCs w:val="18"/>
              </w:rPr>
              <w:t>福、程鹏、金水</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祥、黄维远、雷</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文辉、徐晋晖、</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3" w:right="95"/>
              <w:jc w:val="left"/>
              <w:rPr>
                <w:rFonts w:ascii="宋体" w:hAnsi="宋体" w:cs="宋体" w:eastAsia="宋体" w:hint="default"/>
                <w:sz w:val="18"/>
                <w:szCs w:val="18"/>
              </w:rPr>
            </w:pPr>
            <w:r>
              <w:rPr>
                <w:rFonts w:ascii="宋体" w:hAnsi="宋体" w:cs="宋体" w:eastAsia="宋体" w:hint="default"/>
                <w:sz w:val="18"/>
                <w:szCs w:val="18"/>
              </w:rPr>
              <w:t>股份限售 承诺</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72"/>
              <w:jc w:val="both"/>
              <w:rPr>
                <w:rFonts w:ascii="宋体" w:hAnsi="宋体" w:cs="宋体" w:eastAsia="宋体" w:hint="default"/>
                <w:sz w:val="18"/>
                <w:szCs w:val="18"/>
              </w:rPr>
            </w:pPr>
            <w:r>
              <w:rPr>
                <w:rFonts w:ascii="宋体" w:hAnsi="宋体" w:cs="宋体" w:eastAsia="宋体" w:hint="default"/>
                <w:sz w:val="18"/>
                <w:szCs w:val="18"/>
              </w:rPr>
              <w:t>新之股票，也不由四维图新 回购该部分股票。本人在任 职期间每年转让的四维图新</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309" w:lineRule="auto" w:before="10"/>
              <w:ind w:left="23" w:right="17"/>
              <w:jc w:val="both"/>
              <w:rPr>
                <w:rFonts w:ascii="宋体" w:hAnsi="宋体" w:cs="宋体" w:eastAsia="宋体" w:hint="default"/>
                <w:sz w:val="18"/>
                <w:szCs w:val="18"/>
              </w:rPr>
            </w:pPr>
            <w:r>
              <w:rPr>
                <w:rFonts w:ascii="宋体" w:hAnsi="宋体" w:cs="宋体" w:eastAsia="宋体" w:hint="default"/>
                <w:sz w:val="18"/>
                <w:szCs w:val="18"/>
              </w:rPr>
              <w:t>上市后的</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个月及任职 期间</w:t>
            </w:r>
          </w:p>
        </w:tc>
        <w:tc>
          <w:tcPr>
            <w:tcW w:w="7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吴浩、黄栋</w:t>
            </w: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股份不超过所持有的股份总</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数的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，离职后的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内，不转让所持有的四维图</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w:t>
            </w: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新股份。</w:t>
            </w:r>
          </w:p>
        </w:tc>
        <w:tc>
          <w:tcPr>
            <w:tcW w:w="994"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778"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127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本人自四维图新股票上市之</w:t>
            </w:r>
          </w:p>
        </w:tc>
        <w:tc>
          <w:tcPr>
            <w:tcW w:w="994"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778"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日起十二个月内不转让、不</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委托他人管理四维图新首次</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1560"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4" w:right="20"/>
              <w:jc w:val="left"/>
              <w:rPr>
                <w:rFonts w:ascii="宋体" w:hAnsi="宋体" w:cs="宋体" w:eastAsia="宋体" w:hint="default"/>
                <w:sz w:val="18"/>
                <w:szCs w:val="18"/>
              </w:rPr>
            </w:pPr>
            <w:r>
              <w:rPr>
                <w:rFonts w:ascii="宋体" w:hAnsi="宋体" w:cs="宋体" w:eastAsia="宋体" w:hint="default"/>
                <w:sz w:val="18"/>
                <w:szCs w:val="18"/>
              </w:rPr>
              <w:t>郭民清、张亚 </w:t>
            </w:r>
            <w:r>
              <w:rPr>
                <w:rFonts w:ascii="宋体" w:hAnsi="宋体" w:cs="宋体" w:eastAsia="宋体" w:hint="default"/>
                <w:spacing w:val="-6"/>
                <w:sz w:val="18"/>
                <w:szCs w:val="18"/>
              </w:rPr>
              <w:t>非、曹晓航、孙</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艳红、周勇、包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伯瑜</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316" w:lineRule="auto"/>
              <w:ind w:left="23" w:right="95"/>
              <w:jc w:val="left"/>
              <w:rPr>
                <w:rFonts w:ascii="宋体" w:hAnsi="宋体" w:cs="宋体" w:eastAsia="宋体" w:hint="default"/>
                <w:sz w:val="18"/>
                <w:szCs w:val="18"/>
              </w:rPr>
            </w:pPr>
            <w:r>
              <w:rPr>
                <w:rFonts w:ascii="宋体" w:hAnsi="宋体" w:cs="宋体" w:eastAsia="宋体" w:hint="default"/>
                <w:sz w:val="18"/>
                <w:szCs w:val="18"/>
              </w:rPr>
              <w:t>股份限售 承诺</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72"/>
              <w:jc w:val="both"/>
              <w:rPr>
                <w:rFonts w:ascii="宋体" w:hAnsi="宋体" w:cs="宋体" w:eastAsia="宋体" w:hint="default"/>
                <w:sz w:val="18"/>
                <w:szCs w:val="18"/>
              </w:rPr>
            </w:pPr>
            <w:r>
              <w:rPr>
                <w:rFonts w:ascii="宋体" w:hAnsi="宋体" w:cs="宋体" w:eastAsia="宋体" w:hint="default"/>
                <w:sz w:val="18"/>
                <w:szCs w:val="18"/>
              </w:rPr>
              <w:t>公开发行前本人持有四维图 新之股票，也不由四维图新 回购该部分股票。本人在任 职期间每年转让的四维图新 股份不超过所持有的股份总</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15"/>
              <w:ind w:left="23" w:right="17"/>
              <w:jc w:val="both"/>
              <w:rPr>
                <w:rFonts w:ascii="宋体" w:hAnsi="宋体" w:cs="宋体" w:eastAsia="宋体" w:hint="default"/>
                <w:sz w:val="18"/>
                <w:szCs w:val="18"/>
              </w:rPr>
            </w:pPr>
            <w:r>
              <w:rPr>
                <w:rFonts w:ascii="宋体" w:hAnsi="宋体" w:cs="宋体" w:eastAsia="宋体" w:hint="default"/>
                <w:sz w:val="18"/>
                <w:szCs w:val="18"/>
              </w:rPr>
              <w:t>上市后的</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个月及任职 期间</w:t>
            </w:r>
          </w:p>
        </w:tc>
        <w:tc>
          <w:tcPr>
            <w:tcW w:w="77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z w:val="18"/>
                <w:szCs w:val="18"/>
              </w:rPr>
              <w:t>已履行完 毕</w:t>
            </w:r>
          </w:p>
        </w:tc>
      </w:tr>
      <w:tr>
        <w:trPr>
          <w:trHeight w:val="317"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数的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，离职后的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
        </w:tc>
        <w:tc>
          <w:tcPr>
            <w:tcW w:w="1277"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内，不转让所持有的四维图</w:t>
            </w:r>
          </w:p>
        </w:tc>
        <w:tc>
          <w:tcPr>
            <w:tcW w:w="994"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778"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2409"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22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新股份。</w:t>
            </w:r>
          </w:p>
        </w:tc>
        <w:tc>
          <w:tcPr>
            <w:tcW w:w="994"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778" w:type="dxa"/>
            <w:tcBorders>
              <w:top w:val="nil" w:sz="6" w:space="0" w:color="auto"/>
              <w:left w:val="single" w:sz="4" w:space="0" w:color="000000"/>
              <w:bottom w:val="single" w:sz="4" w:space="0" w:color="000000"/>
              <w:right w:val="single" w:sz="4" w:space="0" w:color="000000"/>
            </w:tcBorders>
          </w:tcPr>
          <w:p>
            <w:pPr/>
          </w:p>
        </w:tc>
      </w:tr>
      <w:tr>
        <w:trPr>
          <w:trHeight w:val="401" w:hRule="exact"/>
        </w:trPr>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277"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226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77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15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55" w:hRule="exact"/>
        </w:trPr>
        <w:tc>
          <w:tcPr>
            <w:tcW w:w="2409"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如承诺超期未履行完毕的，应</w:t>
            </w:r>
          </w:p>
        </w:tc>
        <w:tc>
          <w:tcPr>
            <w:tcW w:w="7158" w:type="dxa"/>
            <w:gridSpan w:val="6"/>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24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当详细说明未完成履行的具体</w:t>
            </w:r>
          </w:p>
        </w:tc>
        <w:tc>
          <w:tcPr>
            <w:tcW w:w="7158" w:type="dxa"/>
            <w:gridSpan w:val="6"/>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360" w:hRule="exact"/>
        </w:trPr>
        <w:tc>
          <w:tcPr>
            <w:tcW w:w="2409"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原因及下一步的工作计划</w:t>
            </w:r>
          </w:p>
        </w:tc>
        <w:tc>
          <w:tcPr>
            <w:tcW w:w="7158" w:type="dxa"/>
            <w:gridSpan w:val="6"/>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2"/>
        <w:rPr>
          <w:rFonts w:ascii="Times New Roman" w:hAnsi="Times New Roman" w:cs="Times New Roman" w:eastAsia="Times New Roman" w:hint="default"/>
          <w:sz w:val="28"/>
          <w:szCs w:val="28"/>
        </w:rPr>
      </w:pPr>
    </w:p>
    <w:p>
      <w:pPr>
        <w:pStyle w:val="Heading5"/>
        <w:spacing w:line="259" w:lineRule="auto" w:before="36"/>
        <w:ind w:right="0"/>
        <w:jc w:val="left"/>
        <w:rPr>
          <w:b w:val="0"/>
          <w:bCs w:val="0"/>
        </w:rPr>
      </w:pP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65"/>
        </w:rPr>
        <w:t> </w:t>
      </w:r>
      <w:r>
        <w:rPr>
          <w:spacing w:val="-65"/>
        </w:rPr>
      </w:r>
      <w:r>
        <w:rPr/>
        <w:t>其原因做出说明</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right="0"/>
        <w:jc w:val="left"/>
      </w:pPr>
      <w:r>
        <w:rPr/>
        <w:pict>
          <v:shape style="position:absolute;margin-left:292.010010pt;margin-top:17.711693pt;width:154.35pt;height:50.8pt;mso-position-horizontal-relative:page;mso-position-vertical-relative:paragraph;z-index:-1265488" type="#_x0000_t202" filled="false" stroked="false">
            <v:textbox inset="0,0,0,0">
              <w:txbxContent>
                <w:p>
                  <w:pPr>
                    <w:spacing w:line="240" w:lineRule="auto" w:before="0"/>
                    <w:rPr>
                      <w:rFonts w:ascii="宋体" w:hAnsi="宋体" w:cs="宋体" w:eastAsia="宋体" w:hint="default"/>
                      <w:sz w:val="18"/>
                      <w:szCs w:val="18"/>
                    </w:rPr>
                  </w:pPr>
                </w:p>
                <w:p>
                  <w:pPr>
                    <w:pStyle w:val="BodyText"/>
                    <w:spacing w:line="240" w:lineRule="auto" w:before="125"/>
                    <w:ind w:left="0" w:right="0"/>
                    <w:jc w:val="left"/>
                  </w:pPr>
                  <w:r>
                    <w:rPr/>
                    <w:t>未达预测的原因（如适用）</w:t>
                  </w:r>
                </w:p>
              </w:txbxContent>
            </v:textbox>
            <w10:wrap type="none"/>
          </v:shape>
        </w:pict>
      </w: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pStyle w:val="BodyText"/>
        <w:spacing w:line="240" w:lineRule="auto" w:before="44"/>
        <w:ind w:left="0" w:right="163"/>
        <w:jc w:val="right"/>
      </w:pPr>
      <w:r>
        <w:rPr/>
        <w:pict>
          <v:shape style="position:absolute;margin-left:56.400002pt;margin-top:-98.768257pt;width:479.05pt;height:227.95pt;mso-position-horizontal-relative:page;mso-position-vertical-relative:paragraph;z-index:14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36"/>
                    <w:gridCol w:w="991"/>
                    <w:gridCol w:w="994"/>
                    <w:gridCol w:w="850"/>
                    <w:gridCol w:w="708"/>
                    <w:gridCol w:w="2127"/>
                    <w:gridCol w:w="994"/>
                    <w:gridCol w:w="1767"/>
                  </w:tblGrid>
                  <w:tr>
                    <w:trPr>
                      <w:trHeight w:val="1025"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12" w:right="111"/>
                          <w:jc w:val="center"/>
                          <w:rPr>
                            <w:rFonts w:ascii="宋体" w:hAnsi="宋体" w:cs="宋体" w:eastAsia="宋体" w:hint="default"/>
                            <w:sz w:val="18"/>
                            <w:szCs w:val="18"/>
                          </w:rPr>
                        </w:pPr>
                        <w:r>
                          <w:rPr>
                            <w:rFonts w:ascii="宋体" w:hAnsi="宋体" w:cs="宋体" w:eastAsia="宋体" w:hint="default"/>
                            <w:sz w:val="18"/>
                            <w:szCs w:val="18"/>
                          </w:rPr>
                          <w:t>盈利预测资 产或项目名 称</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00" w:right="38" w:hanging="360"/>
                          <w:jc w:val="left"/>
                          <w:rPr>
                            <w:rFonts w:ascii="宋体" w:hAnsi="宋体" w:cs="宋体" w:eastAsia="宋体" w:hint="default"/>
                            <w:sz w:val="18"/>
                            <w:szCs w:val="18"/>
                          </w:rPr>
                        </w:pPr>
                        <w:r>
                          <w:rPr>
                            <w:rFonts w:ascii="宋体" w:hAnsi="宋体" w:cs="宋体" w:eastAsia="宋体" w:hint="default"/>
                            <w:sz w:val="18"/>
                            <w:szCs w:val="18"/>
                          </w:rPr>
                          <w:t>预测起始时 间</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00" w:right="41" w:hanging="360"/>
                          <w:jc w:val="left"/>
                          <w:rPr>
                            <w:rFonts w:ascii="宋体" w:hAnsi="宋体" w:cs="宋体" w:eastAsia="宋体" w:hint="default"/>
                            <w:sz w:val="18"/>
                            <w:szCs w:val="18"/>
                          </w:rPr>
                        </w:pPr>
                        <w:r>
                          <w:rPr>
                            <w:rFonts w:ascii="宋体" w:hAnsi="宋体" w:cs="宋体" w:eastAsia="宋体" w:hint="default"/>
                            <w:sz w:val="18"/>
                            <w:szCs w:val="18"/>
                          </w:rPr>
                          <w:t>预测终止时 间</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 w:right="59"/>
                          <w:jc w:val="center"/>
                          <w:rPr>
                            <w:rFonts w:ascii="宋体" w:hAnsi="宋体" w:cs="宋体" w:eastAsia="宋体" w:hint="default"/>
                            <w:sz w:val="18"/>
                            <w:szCs w:val="18"/>
                          </w:rPr>
                        </w:pPr>
                        <w:r>
                          <w:rPr>
                            <w:rFonts w:ascii="宋体" w:hAnsi="宋体" w:cs="宋体" w:eastAsia="宋体" w:hint="default"/>
                            <w:sz w:val="18"/>
                            <w:szCs w:val="18"/>
                          </w:rPr>
                          <w:t>当期预测 业绩（万 元）</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9" w:right="77"/>
                          <w:jc w:val="left"/>
                          <w:rPr>
                            <w:rFonts w:ascii="宋体" w:hAnsi="宋体" w:cs="宋体" w:eastAsia="宋体" w:hint="default"/>
                            <w:sz w:val="18"/>
                            <w:szCs w:val="18"/>
                          </w:rPr>
                        </w:pPr>
                        <w:r>
                          <w:rPr>
                            <w:rFonts w:ascii="宋体" w:hAnsi="宋体" w:cs="宋体" w:eastAsia="宋体" w:hint="default"/>
                            <w:sz w:val="18"/>
                            <w:szCs w:val="18"/>
                          </w:rPr>
                          <w:t>当期实 际业绩</w:t>
                        </w:r>
                      </w:p>
                      <w:p>
                        <w:pPr>
                          <w:pStyle w:val="TableParagraph"/>
                          <w:spacing w:line="240" w:lineRule="auto" w:before="19"/>
                          <w:ind w:left="2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45" w:right="0"/>
                          <w:jc w:val="left"/>
                          <w:rPr>
                            <w:rFonts w:ascii="宋体" w:hAnsi="宋体" w:cs="宋体" w:eastAsia="宋体" w:hint="default"/>
                            <w:sz w:val="18"/>
                            <w:szCs w:val="18"/>
                          </w:rPr>
                        </w:pPr>
                        <w:r>
                          <w:rPr>
                            <w:rFonts w:ascii="宋体" w:hAnsi="宋体" w:cs="宋体" w:eastAsia="宋体" w:hint="default"/>
                            <w:sz w:val="18"/>
                            <w:szCs w:val="18"/>
                          </w:rPr>
                          <w:t>）</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11" w:right="41" w:hanging="272"/>
                          <w:jc w:val="left"/>
                          <w:rPr>
                            <w:rFonts w:ascii="宋体" w:hAnsi="宋体" w:cs="宋体" w:eastAsia="宋体" w:hint="default"/>
                            <w:sz w:val="18"/>
                            <w:szCs w:val="18"/>
                          </w:rPr>
                        </w:pPr>
                        <w:r>
                          <w:rPr>
                            <w:rFonts w:ascii="宋体" w:hAnsi="宋体" w:cs="宋体" w:eastAsia="宋体" w:hint="default"/>
                            <w:sz w:val="18"/>
                            <w:szCs w:val="18"/>
                          </w:rPr>
                          <w:t>原预测披露 日期</w:t>
                        </w:r>
                      </w:p>
                    </w:tc>
                    <w:tc>
                      <w:tcPr>
                        <w:tcW w:w="17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50" w:right="0"/>
                          <w:jc w:val="left"/>
                          <w:rPr>
                            <w:rFonts w:ascii="宋体" w:hAnsi="宋体" w:cs="宋体" w:eastAsia="宋体" w:hint="default"/>
                            <w:sz w:val="18"/>
                            <w:szCs w:val="18"/>
                          </w:rPr>
                        </w:pPr>
                        <w:r>
                          <w:rPr>
                            <w:rFonts w:ascii="宋体" w:hAnsi="宋体" w:cs="宋体" w:eastAsia="宋体" w:hint="default"/>
                            <w:sz w:val="18"/>
                            <w:szCs w:val="18"/>
                          </w:rPr>
                          <w:t>原预测披露索引</w:t>
                        </w:r>
                      </w:p>
                    </w:tc>
                  </w:tr>
                  <w:tr>
                    <w:trPr>
                      <w:trHeight w:val="355" w:hRule="exact"/>
                    </w:trPr>
                    <w:tc>
                      <w:tcPr>
                        <w:tcW w:w="1136"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994"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2127" w:type="dxa"/>
                        <w:tcBorders>
                          <w:top w:val="single" w:sz="4" w:space="0" w:color="000000"/>
                          <w:left w:val="single" w:sz="4" w:space="0" w:color="000000"/>
                          <w:bottom w:val="nil" w:sz="6" w:space="0" w:color="auto"/>
                          <w:right w:val="single" w:sz="4" w:space="0" w:color="000000"/>
                        </w:tcBorders>
                      </w:tcPr>
                      <w:p>
                        <w:pPr/>
                      </w:p>
                    </w:tc>
                    <w:tc>
                      <w:tcPr>
                        <w:tcW w:w="994" w:type="dxa"/>
                        <w:tcBorders>
                          <w:top w:val="single" w:sz="4" w:space="0" w:color="000000"/>
                          <w:left w:val="single" w:sz="4" w:space="0" w:color="000000"/>
                          <w:bottom w:val="nil" w:sz="6" w:space="0" w:color="auto"/>
                          <w:right w:val="single" w:sz="4" w:space="0" w:color="000000"/>
                        </w:tcBorders>
                      </w:tcPr>
                      <w:p>
                        <w:pPr/>
                      </w:p>
                    </w:tc>
                    <w:tc>
                      <w:tcPr>
                        <w:tcW w:w="176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公告名称：</w:t>
                        </w:r>
                        <w:r>
                          <w:rPr>
                            <w:rFonts w:ascii="宋体" w:hAnsi="宋体" w:cs="宋体" w:eastAsia="宋体" w:hint="default"/>
                            <w:spacing w:val="1"/>
                            <w:sz w:val="18"/>
                            <w:szCs w:val="18"/>
                          </w:rPr>
                          <w:t> </w:t>
                        </w:r>
                        <w:r>
                          <w:rPr>
                            <w:rFonts w:ascii="宋体" w:hAnsi="宋体" w:cs="宋体" w:eastAsia="宋体" w:hint="default"/>
                            <w:sz w:val="18"/>
                            <w:szCs w:val="18"/>
                          </w:rPr>
                          <w:t>发行股份</w:t>
                        </w:r>
                      </w:p>
                    </w:tc>
                  </w:tr>
                  <w:tr>
                    <w:trPr>
                      <w:trHeight w:val="317" w:hRule="exact"/>
                    </w:trPr>
                    <w:tc>
                      <w:tcPr>
                        <w:tcW w:w="113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7"/>
                          <w:jc w:val="right"/>
                          <w:rPr>
                            <w:rFonts w:ascii="宋体" w:hAnsi="宋体" w:cs="宋体" w:eastAsia="宋体" w:hint="default"/>
                            <w:sz w:val="18"/>
                            <w:szCs w:val="18"/>
                          </w:rPr>
                        </w:pPr>
                        <w:r>
                          <w:rPr>
                            <w:rFonts w:ascii="宋体" w:hAnsi="宋体" w:cs="宋体" w:eastAsia="宋体" w:hint="default"/>
                            <w:sz w:val="18"/>
                            <w:szCs w:val="18"/>
                          </w:rPr>
                          <w:t>杰发科技</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年业绩未达</w:t>
                        </w:r>
                      </w:p>
                    </w:tc>
                    <w:tc>
                      <w:tcPr>
                        <w:tcW w:w="994"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及支付现金购买资产</w:t>
                        </w:r>
                      </w:p>
                    </w:tc>
                  </w:tr>
                  <w:tr>
                    <w:trPr>
                      <w:trHeight w:val="312" w:hRule="exact"/>
                    </w:trPr>
                    <w:tc>
                      <w:tcPr>
                        <w:tcW w:w="113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23"/>
                          <w:jc w:val="right"/>
                          <w:rPr>
                            <w:rFonts w:ascii="宋体" w:hAnsi="宋体" w:cs="宋体" w:eastAsia="宋体" w:hint="default"/>
                            <w:sz w:val="18"/>
                            <w:szCs w:val="18"/>
                          </w:rPr>
                        </w:pPr>
                        <w:r>
                          <w:rPr>
                            <w:rFonts w:ascii="宋体" w:hAnsi="宋体" w:cs="宋体" w:eastAsia="宋体" w:hint="default"/>
                            <w:sz w:val="18"/>
                            <w:szCs w:val="18"/>
                          </w:rPr>
                          <w:t>预期主要原因为后装</w:t>
                        </w:r>
                        <w:r>
                          <w:rPr>
                            <w:rFonts w:ascii="宋体" w:hAnsi="宋体" w:cs="宋体" w:eastAsia="宋体" w:hint="default"/>
                            <w:spacing w:val="-67"/>
                            <w:sz w:val="18"/>
                            <w:szCs w:val="18"/>
                          </w:rPr>
                          <w:t> </w:t>
                        </w:r>
                        <w:r>
                          <w:rPr>
                            <w:rFonts w:ascii="Times New Roman" w:hAnsi="Times New Roman" w:cs="Times New Roman" w:eastAsia="Times New Roman" w:hint="default"/>
                            <w:spacing w:val="8"/>
                            <w:sz w:val="18"/>
                            <w:szCs w:val="18"/>
                          </w:rPr>
                          <w:t>4G</w:t>
                        </w:r>
                        <w:r>
                          <w:rPr>
                            <w:rFonts w:ascii="宋体" w:hAnsi="宋体" w:cs="宋体" w:eastAsia="宋体" w:hint="default"/>
                            <w:spacing w:val="8"/>
                            <w:sz w:val="18"/>
                            <w:szCs w:val="18"/>
                          </w:rPr>
                          <w:t>车</w:t>
                        </w:r>
                      </w:p>
                    </w:tc>
                    <w:tc>
                      <w:tcPr>
                        <w:tcW w:w="994"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并募集配套资金暨关</w:t>
                        </w:r>
                      </w:p>
                    </w:tc>
                  </w:tr>
                  <w:tr>
                    <w:trPr>
                      <w:trHeight w:val="307" w:hRule="exact"/>
                    </w:trPr>
                    <w:tc>
                      <w:tcPr>
                        <w:tcW w:w="113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机整机市场因价格竞争激</w:t>
                        </w:r>
                      </w:p>
                    </w:tc>
                    <w:tc>
                      <w:tcPr>
                        <w:tcW w:w="994"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联交易报告书（草案</w:t>
                        </w:r>
                      </w:p>
                    </w:tc>
                  </w:tr>
                  <w:tr>
                    <w:trPr>
                      <w:trHeight w:val="941" w:hRule="exact"/>
                    </w:trPr>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4" w:right="93"/>
                          <w:jc w:val="left"/>
                          <w:rPr>
                            <w:rFonts w:ascii="宋体" w:hAnsi="宋体" w:cs="宋体" w:eastAsia="宋体" w:hint="default"/>
                            <w:sz w:val="18"/>
                            <w:szCs w:val="18"/>
                          </w:rPr>
                        </w:pPr>
                        <w:r>
                          <w:rPr>
                            <w:rFonts w:ascii="宋体" w:hAnsi="宋体" w:cs="宋体" w:eastAsia="宋体" w:hint="default"/>
                            <w:sz w:val="18"/>
                            <w:szCs w:val="18"/>
                          </w:rPr>
                          <w:t>收购杰发科 技</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98" w:right="0"/>
                          <w:jc w:val="left"/>
                          <w:rPr>
                            <w:rFonts w:ascii="Times New Roman" w:hAnsi="Times New Roman" w:cs="Times New Roman" w:eastAsia="Times New Roman" w:hint="default"/>
                            <w:sz w:val="18"/>
                            <w:szCs w:val="18"/>
                          </w:rPr>
                        </w:pPr>
                        <w:r>
                          <w:rPr>
                            <w:rFonts w:ascii="Times New Roman"/>
                            <w:sz w:val="18"/>
                          </w:rPr>
                          <w:t>22,798.51</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20,816.9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2"/>
                          <w:jc w:val="both"/>
                          <w:rPr>
                            <w:rFonts w:ascii="宋体" w:hAnsi="宋体" w:cs="宋体" w:eastAsia="宋体" w:hint="default"/>
                            <w:sz w:val="18"/>
                            <w:szCs w:val="18"/>
                          </w:rPr>
                        </w:pPr>
                        <w:r>
                          <w:rPr>
                            <w:rFonts w:ascii="宋体" w:hAnsi="宋体" w:cs="宋体" w:eastAsia="宋体" w:hint="default"/>
                            <w:spacing w:val="-8"/>
                            <w:sz w:val="18"/>
                            <w:szCs w:val="18"/>
                          </w:rPr>
                          <w:t>烈，影响了整机厂商的生产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8"/>
                            <w:sz w:val="18"/>
                            <w:szCs w:val="18"/>
                          </w:rPr>
                          <w:t>销售积极性；车载功率电子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芯片产品其封装工艺先进</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76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118"/>
                          <w:ind w:left="23" w:right="0"/>
                          <w:jc w:val="left"/>
                          <w:rPr>
                            <w:rFonts w:ascii="Times New Roman" w:hAnsi="Times New Roman" w:cs="Times New Roman" w:eastAsia="Times New Roman" w:hint="default"/>
                            <w:sz w:val="18"/>
                            <w:szCs w:val="18"/>
                          </w:rPr>
                        </w:pPr>
                        <w:hyperlink r:id="rId38">
                          <w:r>
                            <w:rPr>
                              <w:rFonts w:ascii="Times New Roman"/>
                              <w:sz w:val="18"/>
                            </w:rPr>
                            <w:t>http://www.cninfo.com</w:t>
                          </w:r>
                        </w:hyperlink>
                      </w:p>
                      <w:p>
                        <w:pPr>
                          <w:pStyle w:val="TableParagraph"/>
                          <w:spacing w:line="240" w:lineRule="auto" w:before="105"/>
                          <w:ind w:left="23" w:right="0"/>
                          <w:jc w:val="left"/>
                          <w:rPr>
                            <w:rFonts w:ascii="Times New Roman" w:hAnsi="Times New Roman" w:cs="Times New Roman" w:eastAsia="Times New Roman" w:hint="default"/>
                            <w:sz w:val="18"/>
                            <w:szCs w:val="18"/>
                          </w:rPr>
                        </w:pPr>
                        <w:r>
                          <w:rPr>
                            <w:rFonts w:ascii="Times New Roman"/>
                            <w:sz w:val="18"/>
                          </w:rPr>
                          <w:t>.cn/cninfo-new/disclos</w:t>
                        </w:r>
                      </w:p>
                    </w:tc>
                  </w:tr>
                  <w:tr>
                    <w:trPr>
                      <w:trHeight w:val="312" w:hRule="exact"/>
                    </w:trPr>
                    <w:tc>
                      <w:tcPr>
                        <w:tcW w:w="113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而特殊</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由于生产工艺磨</w:t>
                        </w:r>
                      </w:p>
                    </w:tc>
                    <w:tc>
                      <w:tcPr>
                        <w:tcW w:w="994"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23" w:right="0"/>
                          <w:jc w:val="left"/>
                          <w:rPr>
                            <w:rFonts w:ascii="Times New Roman" w:hAnsi="Times New Roman" w:cs="Times New Roman" w:eastAsia="Times New Roman" w:hint="default"/>
                            <w:sz w:val="18"/>
                            <w:szCs w:val="18"/>
                          </w:rPr>
                        </w:pPr>
                        <w:r>
                          <w:rPr>
                            <w:rFonts w:ascii="Times New Roman"/>
                            <w:sz w:val="18"/>
                          </w:rPr>
                          <w:t>ure/szse_sme/bulletin_</w:t>
                        </w:r>
                      </w:p>
                    </w:tc>
                  </w:tr>
                  <w:tr>
                    <w:trPr>
                      <w:trHeight w:val="312" w:hRule="exact"/>
                    </w:trPr>
                    <w:tc>
                      <w:tcPr>
                        <w:tcW w:w="113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22"/>
                          <w:jc w:val="right"/>
                          <w:rPr>
                            <w:rFonts w:ascii="宋体" w:hAnsi="宋体" w:cs="宋体" w:eastAsia="宋体" w:hint="default"/>
                            <w:sz w:val="18"/>
                            <w:szCs w:val="18"/>
                          </w:rPr>
                        </w:pPr>
                        <w:r>
                          <w:rPr>
                            <w:rFonts w:ascii="宋体" w:hAnsi="宋体" w:cs="宋体" w:eastAsia="宋体" w:hint="default"/>
                            <w:sz w:val="18"/>
                            <w:szCs w:val="18"/>
                          </w:rPr>
                          <w:t>合等原因</w:t>
                        </w:r>
                        <w:r>
                          <w:rPr>
                            <w:rFonts w:ascii="宋体" w:hAnsi="宋体" w:cs="宋体" w:eastAsia="宋体" w:hint="default"/>
                            <w:spacing w:val="-92"/>
                            <w:sz w:val="18"/>
                            <w:szCs w:val="18"/>
                          </w:rPr>
                          <w:t>，</w:t>
                        </w:r>
                        <w:r>
                          <w:rPr>
                            <w:rFonts w:ascii="宋体" w:hAnsi="宋体" w:cs="宋体" w:eastAsia="宋体" w:hint="default"/>
                            <w:sz w:val="18"/>
                            <w:szCs w:val="18"/>
                          </w:rPr>
                          <w:t>造成初期生产不</w:t>
                        </w:r>
                      </w:p>
                    </w:tc>
                    <w:tc>
                      <w:tcPr>
                        <w:tcW w:w="994"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23" w:right="0"/>
                          <w:jc w:val="left"/>
                          <w:rPr>
                            <w:rFonts w:ascii="Times New Roman" w:hAnsi="Times New Roman" w:cs="Times New Roman" w:eastAsia="Times New Roman" w:hint="default"/>
                            <w:sz w:val="18"/>
                            <w:szCs w:val="18"/>
                          </w:rPr>
                        </w:pPr>
                        <w:r>
                          <w:rPr>
                            <w:rFonts w:ascii="Times New Roman"/>
                            <w:sz w:val="18"/>
                          </w:rPr>
                          <w:t>detail/true/1202325397</w:t>
                        </w:r>
                      </w:p>
                    </w:tc>
                  </w:tr>
                  <w:tr>
                    <w:trPr>
                      <w:trHeight w:val="317" w:hRule="exact"/>
                    </w:trPr>
                    <w:tc>
                      <w:tcPr>
                        <w:tcW w:w="1136"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够稳定。</w:t>
                        </w:r>
                      </w:p>
                    </w:tc>
                    <w:tc>
                      <w:tcPr>
                        <w:tcW w:w="994" w:type="dxa"/>
                        <w:tcBorders>
                          <w:top w:val="nil" w:sz="6" w:space="0" w:color="auto"/>
                          <w:left w:val="single" w:sz="4" w:space="0" w:color="000000"/>
                          <w:bottom w:val="nil" w:sz="6" w:space="0" w:color="auto"/>
                          <w:right w:val="single" w:sz="4" w:space="0" w:color="000000"/>
                        </w:tcBorders>
                      </w:tcPr>
                      <w:p>
                        <w:pPr/>
                      </w:p>
                    </w:tc>
                    <w:tc>
                      <w:tcPr>
                        <w:tcW w:w="176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23" w:right="0"/>
                          <w:jc w:val="left"/>
                          <w:rPr>
                            <w:rFonts w:ascii="Times New Roman" w:hAnsi="Times New Roman" w:cs="Times New Roman" w:eastAsia="Times New Roman" w:hint="default"/>
                            <w:sz w:val="18"/>
                            <w:szCs w:val="18"/>
                          </w:rPr>
                        </w:pPr>
                        <w:r>
                          <w:rPr>
                            <w:rFonts w:ascii="Times New Roman"/>
                            <w:sz w:val="18"/>
                          </w:rPr>
                          <w:t>?announceTime=2016-</w:t>
                        </w:r>
                      </w:p>
                    </w:tc>
                  </w:tr>
                  <w:tr>
                    <w:trPr>
                      <w:trHeight w:val="350" w:hRule="exact"/>
                    </w:trPr>
                    <w:tc>
                      <w:tcPr>
                        <w:tcW w:w="1136"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994"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2127" w:type="dxa"/>
                        <w:tcBorders>
                          <w:top w:val="nil" w:sz="6" w:space="0" w:color="auto"/>
                          <w:left w:val="single" w:sz="4" w:space="0" w:color="000000"/>
                          <w:bottom w:val="single" w:sz="4" w:space="0" w:color="000000"/>
                          <w:right w:val="single" w:sz="4" w:space="0" w:color="000000"/>
                        </w:tcBorders>
                      </w:tcPr>
                      <w:p>
                        <w:pPr/>
                      </w:p>
                    </w:tc>
                    <w:tc>
                      <w:tcPr>
                        <w:tcW w:w="994" w:type="dxa"/>
                        <w:tcBorders>
                          <w:top w:val="nil" w:sz="6" w:space="0" w:color="auto"/>
                          <w:left w:val="single" w:sz="4" w:space="0" w:color="000000"/>
                          <w:bottom w:val="single" w:sz="4" w:space="0" w:color="000000"/>
                          <w:right w:val="single" w:sz="4" w:space="0" w:color="000000"/>
                        </w:tcBorders>
                      </w:tcPr>
                      <w:p>
                        <w:pPr/>
                      </w:p>
                    </w:tc>
                    <w:tc>
                      <w:tcPr>
                        <w:tcW w:w="176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23" w:right="0"/>
                          <w:jc w:val="left"/>
                          <w:rPr>
                            <w:rFonts w:ascii="Times New Roman" w:hAnsi="Times New Roman" w:cs="Times New Roman" w:eastAsia="Times New Roman" w:hint="default"/>
                            <w:sz w:val="18"/>
                            <w:szCs w:val="18"/>
                          </w:rPr>
                        </w:pPr>
                        <w:r>
                          <w:rPr>
                            <w:rFonts w:ascii="Times New Roman"/>
                            <w:sz w:val="18"/>
                          </w:rPr>
                          <w:t>05-17%2008:05</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BodyText"/>
        <w:spacing w:line="240" w:lineRule="auto" w:before="44"/>
        <w:ind w:right="0"/>
        <w:jc w:val="left"/>
      </w:pPr>
      <w:r>
        <w:rPr/>
        <w:t>公司股东、交易对手方在报告年度经营业绩做出的承诺情况</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1136"/>
        <w:gridCol w:w="1133"/>
        <w:gridCol w:w="994"/>
        <w:gridCol w:w="3684"/>
        <w:gridCol w:w="852"/>
        <w:gridCol w:w="992"/>
        <w:gridCol w:w="778"/>
      </w:tblGrid>
      <w:tr>
        <w:trPr>
          <w:trHeight w:val="427" w:hRule="exact"/>
        </w:trPr>
        <w:tc>
          <w:tcPr>
            <w:tcW w:w="113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202" w:right="0"/>
              <w:jc w:val="left"/>
              <w:rPr>
                <w:rFonts w:ascii="宋体" w:hAnsi="宋体" w:cs="宋体" w:eastAsia="宋体" w:hint="default"/>
                <w:sz w:val="18"/>
                <w:szCs w:val="18"/>
              </w:rPr>
            </w:pPr>
            <w:r>
              <w:rPr>
                <w:rFonts w:ascii="宋体" w:hAnsi="宋体" w:cs="宋体" w:eastAsia="宋体" w:hint="default"/>
                <w:sz w:val="18"/>
                <w:szCs w:val="18"/>
              </w:rPr>
              <w:t>承诺事由</w:t>
            </w:r>
          </w:p>
        </w:tc>
        <w:tc>
          <w:tcPr>
            <w:tcW w:w="113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288"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129"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36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8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60"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99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right="128"/>
              <w:jc w:val="right"/>
              <w:rPr>
                <w:rFonts w:ascii="宋体" w:hAnsi="宋体" w:cs="宋体" w:eastAsia="宋体" w:hint="default"/>
                <w:sz w:val="18"/>
                <w:szCs w:val="18"/>
              </w:rPr>
            </w:pPr>
            <w:r>
              <w:rPr>
                <w:rFonts w:ascii="宋体" w:hAnsi="宋体" w:cs="宋体" w:eastAsia="宋体" w:hint="default"/>
                <w:sz w:val="18"/>
                <w:szCs w:val="18"/>
              </w:rPr>
              <w:t>承诺期限</w:t>
            </w:r>
          </w:p>
        </w:tc>
        <w:tc>
          <w:tcPr>
            <w:tcW w:w="77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373" w:hRule="exact"/>
        </w:trPr>
        <w:tc>
          <w:tcPr>
            <w:tcW w:w="1136" w:type="dxa"/>
            <w:tcBorders>
              <w:top w:val="single" w:sz="10" w:space="0" w:color="000000"/>
              <w:left w:val="single" w:sz="6" w:space="0" w:color="000000"/>
              <w:bottom w:val="nil" w:sz="6" w:space="0" w:color="auto"/>
              <w:right w:val="single" w:sz="6" w:space="0" w:color="000000"/>
            </w:tcBorders>
            <w:shd w:val="clear" w:color="auto" w:fill="D2D2D2"/>
          </w:tcPr>
          <w:p>
            <w:pPr/>
          </w:p>
        </w:tc>
        <w:tc>
          <w:tcPr>
            <w:tcW w:w="113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杰发科技的全</w:t>
            </w:r>
          </w:p>
        </w:tc>
        <w:tc>
          <w:tcPr>
            <w:tcW w:w="99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4" w:right="0"/>
              <w:jc w:val="left"/>
              <w:rPr>
                <w:rFonts w:ascii="宋体" w:hAnsi="宋体" w:cs="宋体" w:eastAsia="宋体" w:hint="default"/>
                <w:sz w:val="18"/>
                <w:szCs w:val="18"/>
              </w:rPr>
            </w:pPr>
            <w:r>
              <w:rPr>
                <w:rFonts w:ascii="宋体" w:hAnsi="宋体" w:cs="宋体" w:eastAsia="宋体" w:hint="default"/>
                <w:sz w:val="18"/>
                <w:szCs w:val="18"/>
              </w:rPr>
              <w:t>业绩承诺及</w:t>
            </w:r>
          </w:p>
        </w:tc>
        <w:tc>
          <w:tcPr>
            <w:tcW w:w="368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2" w:right="0"/>
              <w:jc w:val="left"/>
              <w:rPr>
                <w:rFonts w:ascii="宋体" w:hAnsi="宋体" w:cs="宋体" w:eastAsia="宋体" w:hint="default"/>
                <w:sz w:val="18"/>
                <w:szCs w:val="18"/>
              </w:rPr>
            </w:pPr>
            <w:r>
              <w:rPr>
                <w:rFonts w:ascii="宋体" w:hAnsi="宋体" w:cs="宋体" w:eastAsia="宋体" w:hint="default"/>
                <w:sz w:val="18"/>
                <w:szCs w:val="18"/>
              </w:rPr>
              <w:t>杰发科技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年和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年实现的</w:t>
            </w:r>
          </w:p>
        </w:tc>
        <w:tc>
          <w:tcPr>
            <w:tcW w:w="85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05</w:t>
            </w:r>
          </w:p>
        </w:tc>
        <w:tc>
          <w:tcPr>
            <w:tcW w:w="99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right="107"/>
              <w:jc w:val="righ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年至</w:t>
            </w:r>
          </w:p>
        </w:tc>
        <w:tc>
          <w:tcPr>
            <w:tcW w:w="7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9"/>
              <w:ind w:left="4"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12"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体股东</w:t>
            </w:r>
          </w:p>
        </w:tc>
        <w:tc>
          <w:tcPr>
            <w:tcW w:w="99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4" w:right="0"/>
              <w:jc w:val="left"/>
              <w:rPr>
                <w:rFonts w:ascii="宋体" w:hAnsi="宋体" w:cs="宋体" w:eastAsia="宋体" w:hint="default"/>
                <w:sz w:val="18"/>
                <w:szCs w:val="18"/>
              </w:rPr>
            </w:pPr>
            <w:r>
              <w:rPr>
                <w:rFonts w:ascii="宋体" w:hAnsi="宋体" w:cs="宋体" w:eastAsia="宋体" w:hint="default"/>
                <w:sz w:val="18"/>
                <w:szCs w:val="18"/>
              </w:rPr>
              <w:t>补偿安排</w:t>
            </w: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年度税后净利润分别为 </w:t>
            </w:r>
            <w:r>
              <w:rPr>
                <w:rFonts w:ascii="Times New Roman" w:hAnsi="Times New Roman" w:cs="Times New Roman" w:eastAsia="Times New Roman" w:hint="default"/>
                <w:sz w:val="18"/>
                <w:szCs w:val="18"/>
              </w:rPr>
              <w:t>18,665.07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w:t>
            </w:r>
          </w:p>
        </w:tc>
        <w:tc>
          <w:tcPr>
            <w:tcW w:w="852"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4" w:right="0"/>
              <w:jc w:val="left"/>
              <w:rPr>
                <w:rFonts w:ascii="宋体" w:hAnsi="宋体" w:cs="宋体" w:eastAsia="宋体" w:hint="default"/>
                <w:sz w:val="18"/>
                <w:szCs w:val="18"/>
              </w:rPr>
            </w:pP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w:t>
            </w:r>
          </w:p>
        </w:tc>
        <w:tc>
          <w:tcPr>
            <w:tcW w:w="992"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c>
          <w:tcPr>
            <w:tcW w:w="778"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22,798.51  </w:t>
            </w:r>
            <w:r>
              <w:rPr>
                <w:rFonts w:ascii="宋体" w:hAnsi="宋体" w:cs="宋体" w:eastAsia="宋体" w:hint="default"/>
                <w:sz w:val="18"/>
                <w:szCs w:val="18"/>
              </w:rPr>
              <w:t>万元和 </w:t>
            </w:r>
            <w:r>
              <w:rPr>
                <w:rFonts w:ascii="Times New Roman" w:hAnsi="Times New Roman" w:cs="Times New Roman" w:eastAsia="Times New Roman" w:hint="default"/>
                <w:sz w:val="18"/>
                <w:szCs w:val="18"/>
              </w:rPr>
              <w:t>30,290.37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万元，三年累计税</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后净利润为</w:t>
            </w:r>
            <w:r>
              <w:rPr>
                <w:rFonts w:ascii="Times New Roman" w:hAnsi="Times New Roman" w:cs="Times New Roman" w:eastAsia="Times New Roman" w:hint="default"/>
                <w:sz w:val="18"/>
                <w:szCs w:val="18"/>
              </w:rPr>
              <w:t>717,539,350.00</w:t>
            </w:r>
            <w:r>
              <w:rPr>
                <w:rFonts w:ascii="Times New Roman" w:hAnsi="Times New Roman" w:cs="Times New Roman" w:eastAsia="Times New Roman" w:hint="default"/>
                <w:spacing w:val="33"/>
                <w:sz w:val="18"/>
                <w:szCs w:val="18"/>
              </w:rPr>
              <w:t> </w:t>
            </w:r>
            <w:r>
              <w:rPr>
                <w:rFonts w:ascii="宋体" w:hAnsi="宋体" w:cs="宋体" w:eastAsia="宋体" w:hint="default"/>
                <w:spacing w:val="-7"/>
                <w:sz w:val="18"/>
                <w:szCs w:val="18"/>
              </w:rPr>
              <w:t>元。在业绩承诺期满</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0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后，如出现杰发科技需要做业绩补偿的情形，</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1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交易对价调减金额超过 </w:t>
            </w:r>
            <w:r>
              <w:rPr>
                <w:rFonts w:ascii="Times New Roman" w:hAnsi="Times New Roman" w:cs="Times New Roman" w:eastAsia="Times New Roman" w:hint="default"/>
                <w:sz w:val="18"/>
                <w:szCs w:val="18"/>
              </w:rPr>
              <w:t>6.4585</w:t>
            </w:r>
            <w:r>
              <w:rPr>
                <w:rFonts w:ascii="Times New Roman" w:hAnsi="Times New Roman" w:cs="Times New Roman" w:eastAsia="Times New Roman" w:hint="default"/>
                <w:spacing w:val="7"/>
                <w:sz w:val="18"/>
                <w:szCs w:val="18"/>
              </w:rPr>
              <w:t> </w:t>
            </w:r>
            <w:r>
              <w:rPr>
                <w:rFonts w:ascii="宋体" w:hAnsi="宋体" w:cs="宋体" w:eastAsia="宋体" w:hint="default"/>
                <w:spacing w:val="-5"/>
                <w:sz w:val="18"/>
                <w:szCs w:val="18"/>
              </w:rPr>
              <w:t>亿元，由杰发科</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6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single" w:sz="6" w:space="0" w:color="000000"/>
              <w:right w:val="single" w:sz="6" w:space="0" w:color="000000"/>
            </w:tcBorders>
          </w:tcPr>
          <w:p>
            <w:pPr/>
          </w:p>
        </w:tc>
        <w:tc>
          <w:tcPr>
            <w:tcW w:w="994" w:type="dxa"/>
            <w:tcBorders>
              <w:top w:val="nil" w:sz="6" w:space="0" w:color="auto"/>
              <w:left w:val="single" w:sz="6" w:space="0" w:color="000000"/>
              <w:bottom w:val="single" w:sz="6" w:space="0" w:color="000000"/>
              <w:right w:val="single" w:sz="6" w:space="0" w:color="000000"/>
            </w:tcBorders>
          </w:tcPr>
          <w:p>
            <w:pPr/>
          </w:p>
        </w:tc>
        <w:tc>
          <w:tcPr>
            <w:tcW w:w="3684"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技全体股东对上市公司予以补偿。</w:t>
            </w:r>
          </w:p>
        </w:tc>
        <w:tc>
          <w:tcPr>
            <w:tcW w:w="852" w:type="dxa"/>
            <w:tcBorders>
              <w:top w:val="nil" w:sz="6" w:space="0" w:color="auto"/>
              <w:left w:val="single" w:sz="6" w:space="0" w:color="000000"/>
              <w:bottom w:val="single" w:sz="6" w:space="0" w:color="000000"/>
              <w:right w:val="single" w:sz="6" w:space="0" w:color="000000"/>
            </w:tcBorders>
          </w:tcPr>
          <w:p>
            <w:pPr/>
          </w:p>
        </w:tc>
        <w:tc>
          <w:tcPr>
            <w:tcW w:w="992"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r>
      <w:tr>
        <w:trPr>
          <w:trHeight w:val="343"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40" w:lineRule="auto" w:before="8"/>
              <w:ind w:left="4" w:right="-7"/>
              <w:jc w:val="left"/>
              <w:rPr>
                <w:rFonts w:ascii="宋体" w:hAnsi="宋体" w:cs="宋体" w:eastAsia="宋体" w:hint="default"/>
                <w:sz w:val="18"/>
                <w:szCs w:val="18"/>
              </w:rPr>
            </w:pPr>
            <w:r>
              <w:rPr>
                <w:rFonts w:ascii="宋体" w:hAnsi="宋体" w:cs="宋体" w:eastAsia="宋体" w:hint="default"/>
                <w:spacing w:val="7"/>
                <w:sz w:val="18"/>
                <w:szCs w:val="18"/>
              </w:rPr>
              <w:t>资产重组时所</w:t>
            </w:r>
            <w:r>
              <w:rPr>
                <w:rFonts w:ascii="宋体" w:hAnsi="宋体" w:cs="宋体" w:eastAsia="宋体" w:hint="default"/>
                <w:sz w:val="18"/>
                <w:szCs w:val="18"/>
              </w:rPr>
            </w:r>
          </w:p>
        </w:tc>
        <w:tc>
          <w:tcPr>
            <w:tcW w:w="1133"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雷凌科技、联</w:t>
            </w:r>
          </w:p>
        </w:tc>
        <w:tc>
          <w:tcPr>
            <w:tcW w:w="99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业绩承诺及</w:t>
            </w:r>
          </w:p>
        </w:tc>
        <w:tc>
          <w:tcPr>
            <w:tcW w:w="3684"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8"/>
              <w:ind w:left="2" w:right="0"/>
              <w:jc w:val="left"/>
              <w:rPr>
                <w:rFonts w:ascii="宋体" w:hAnsi="宋体" w:cs="宋体" w:eastAsia="宋体" w:hint="default"/>
                <w:sz w:val="18"/>
                <w:szCs w:val="18"/>
              </w:rPr>
            </w:pPr>
            <w:r>
              <w:rPr>
                <w:rFonts w:ascii="宋体" w:hAnsi="宋体" w:cs="宋体" w:eastAsia="宋体" w:hint="default"/>
                <w:sz w:val="18"/>
                <w:szCs w:val="18"/>
              </w:rPr>
              <w:t>根据《资产购买协议》中约定公式计算的交易</w:t>
            </w:r>
          </w:p>
        </w:tc>
        <w:tc>
          <w:tcPr>
            <w:tcW w:w="85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8"/>
              <w:ind w:left="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09</w:t>
            </w:r>
          </w:p>
        </w:tc>
        <w:tc>
          <w:tcPr>
            <w:tcW w:w="992"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8"/>
              <w:ind w:right="107"/>
              <w:jc w:val="righ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年至</w:t>
            </w:r>
          </w:p>
        </w:tc>
        <w:tc>
          <w:tcPr>
            <w:tcW w:w="778"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58"/>
              <w:ind w:left="4" w:right="0"/>
              <w:jc w:val="left"/>
              <w:rPr>
                <w:rFonts w:ascii="宋体" w:hAnsi="宋体" w:cs="宋体" w:eastAsia="宋体" w:hint="default"/>
                <w:sz w:val="18"/>
                <w:szCs w:val="18"/>
              </w:rPr>
            </w:pPr>
            <w:r>
              <w:rPr>
                <w:rFonts w:ascii="宋体" w:hAnsi="宋体" w:cs="宋体" w:eastAsia="宋体" w:hint="default"/>
                <w:sz w:val="18"/>
                <w:szCs w:val="18"/>
              </w:rPr>
              <w:t>正在履行</w:t>
            </w:r>
          </w:p>
        </w:tc>
      </w:tr>
      <w:tr>
        <w:trPr>
          <w:trHeight w:val="341"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Style w:val="TableParagraph"/>
              <w:spacing w:line="212" w:lineRule="exact"/>
              <w:ind w:left="4" w:right="0"/>
              <w:jc w:val="left"/>
              <w:rPr>
                <w:rFonts w:ascii="宋体" w:hAnsi="宋体" w:cs="宋体" w:eastAsia="宋体" w:hint="default"/>
                <w:sz w:val="18"/>
                <w:szCs w:val="18"/>
              </w:rPr>
            </w:pPr>
            <w:r>
              <w:rPr>
                <w:rFonts w:ascii="宋体" w:hAnsi="宋体" w:cs="宋体" w:eastAsia="宋体" w:hint="default"/>
                <w:sz w:val="18"/>
                <w:szCs w:val="18"/>
              </w:rPr>
              <w:t>作承诺</w:t>
            </w:r>
          </w:p>
        </w:tc>
        <w:tc>
          <w:tcPr>
            <w:tcW w:w="1133" w:type="dxa"/>
            <w:tcBorders>
              <w:top w:val="nil" w:sz="6" w:space="0" w:color="auto"/>
              <w:left w:val="single" w:sz="6" w:space="0" w:color="000000"/>
              <w:bottom w:val="nil" w:sz="6" w:space="0" w:color="auto"/>
              <w:right w:val="single" w:sz="6" w:space="0" w:color="000000"/>
            </w:tcBorders>
          </w:tcPr>
          <w:p>
            <w:pPr>
              <w:pStyle w:val="TableParagraph"/>
              <w:spacing w:line="240" w:lineRule="auto" w:before="34"/>
              <w:ind w:left="2" w:right="0"/>
              <w:jc w:val="left"/>
              <w:rPr>
                <w:rFonts w:ascii="宋体" w:hAnsi="宋体" w:cs="宋体" w:eastAsia="宋体" w:hint="default"/>
                <w:sz w:val="18"/>
                <w:szCs w:val="18"/>
              </w:rPr>
            </w:pPr>
            <w:r>
              <w:rPr>
                <w:rFonts w:ascii="宋体" w:hAnsi="宋体" w:cs="宋体" w:eastAsia="宋体" w:hint="default"/>
                <w:sz w:val="18"/>
                <w:szCs w:val="18"/>
              </w:rPr>
              <w:t>发科</w:t>
            </w:r>
          </w:p>
        </w:tc>
        <w:tc>
          <w:tcPr>
            <w:tcW w:w="994" w:type="dxa"/>
            <w:tcBorders>
              <w:top w:val="nil" w:sz="6" w:space="0" w:color="auto"/>
              <w:left w:val="single" w:sz="6" w:space="0" w:color="000000"/>
              <w:bottom w:val="nil" w:sz="6" w:space="0" w:color="auto"/>
              <w:right w:val="single" w:sz="6" w:space="0" w:color="000000"/>
            </w:tcBorders>
          </w:tcPr>
          <w:p>
            <w:pPr>
              <w:pStyle w:val="TableParagraph"/>
              <w:spacing w:line="240" w:lineRule="auto" w:before="34"/>
              <w:ind w:left="4" w:right="0"/>
              <w:jc w:val="left"/>
              <w:rPr>
                <w:rFonts w:ascii="宋体" w:hAnsi="宋体" w:cs="宋体" w:eastAsia="宋体" w:hint="default"/>
                <w:sz w:val="18"/>
                <w:szCs w:val="18"/>
              </w:rPr>
            </w:pPr>
            <w:r>
              <w:rPr>
                <w:rFonts w:ascii="宋体" w:hAnsi="宋体" w:cs="宋体" w:eastAsia="宋体" w:hint="default"/>
                <w:sz w:val="18"/>
                <w:szCs w:val="18"/>
              </w:rPr>
              <w:t>补偿安排</w:t>
            </w: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34"/>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对价调减金额超过 </w:t>
            </w:r>
            <w:r>
              <w:rPr>
                <w:rFonts w:ascii="Times New Roman" w:hAnsi="Times New Roman" w:cs="Times New Roman" w:eastAsia="Times New Roman" w:hint="default"/>
                <w:sz w:val="18"/>
                <w:szCs w:val="18"/>
              </w:rPr>
              <w:t>6.4585  </w:t>
            </w:r>
            <w:r>
              <w:rPr>
                <w:rFonts w:ascii="宋体" w:hAnsi="宋体" w:cs="宋体" w:eastAsia="宋体" w:hint="default"/>
                <w:spacing w:val="-11"/>
                <w:sz w:val="18"/>
                <w:szCs w:val="18"/>
              </w:rPr>
              <w:t>亿元，除其中</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6.4585</w:t>
            </w:r>
          </w:p>
        </w:tc>
        <w:tc>
          <w:tcPr>
            <w:tcW w:w="852" w:type="dxa"/>
            <w:tcBorders>
              <w:top w:val="nil" w:sz="6" w:space="0" w:color="auto"/>
              <w:left w:val="single" w:sz="6" w:space="0" w:color="000000"/>
              <w:bottom w:val="nil" w:sz="6" w:space="0" w:color="auto"/>
              <w:right w:val="single" w:sz="6" w:space="0" w:color="000000"/>
            </w:tcBorders>
          </w:tcPr>
          <w:p>
            <w:pPr>
              <w:pStyle w:val="TableParagraph"/>
              <w:spacing w:line="240" w:lineRule="auto" w:before="34"/>
              <w:ind w:left="4" w:right="0"/>
              <w:jc w:val="left"/>
              <w:rPr>
                <w:rFonts w:ascii="宋体" w:hAnsi="宋体" w:cs="宋体" w:eastAsia="宋体" w:hint="default"/>
                <w:sz w:val="18"/>
                <w:szCs w:val="18"/>
              </w:rPr>
            </w:pP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c>
          <w:tcPr>
            <w:tcW w:w="992" w:type="dxa"/>
            <w:tcBorders>
              <w:top w:val="nil" w:sz="6" w:space="0" w:color="auto"/>
              <w:left w:val="single" w:sz="6" w:space="0" w:color="000000"/>
              <w:bottom w:val="nil" w:sz="6" w:space="0" w:color="auto"/>
              <w:right w:val="single" w:sz="6" w:space="0" w:color="000000"/>
            </w:tcBorders>
          </w:tcPr>
          <w:p>
            <w:pPr>
              <w:pStyle w:val="TableParagraph"/>
              <w:spacing w:line="240" w:lineRule="auto" w:before="34"/>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c>
          <w:tcPr>
            <w:tcW w:w="778" w:type="dxa"/>
            <w:tcBorders>
              <w:top w:val="nil" w:sz="6" w:space="0" w:color="auto"/>
              <w:left w:val="single" w:sz="6" w:space="0" w:color="000000"/>
              <w:bottom w:val="nil" w:sz="6" w:space="0" w:color="auto"/>
              <w:right w:val="single" w:sz="6" w:space="0" w:color="000000"/>
            </w:tcBorders>
          </w:tcPr>
          <w:p>
            <w:pPr/>
          </w:p>
        </w:tc>
      </w:tr>
      <w:tr>
        <w:trPr>
          <w:trHeight w:val="30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亿元部分仍按《资产购买协议》的约定由杰发</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科技全体股东对上市公司予以补偿外，超出</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1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6.4585  </w:t>
            </w:r>
            <w:r>
              <w:rPr>
                <w:rFonts w:ascii="宋体" w:hAnsi="宋体" w:cs="宋体" w:eastAsia="宋体" w:hint="default"/>
                <w:sz w:val="18"/>
                <w:szCs w:val="18"/>
              </w:rPr>
              <w:t>亿元部分的</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82.90%</w:t>
            </w:r>
            <w:r>
              <w:rPr>
                <w:rFonts w:ascii="宋体" w:hAnsi="宋体" w:cs="宋体" w:eastAsia="宋体" w:hint="default"/>
                <w:sz w:val="18"/>
                <w:szCs w:val="18"/>
              </w:rPr>
              <w:t>由雷凌科技以人民</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0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币现金对上市公司予以补偿，雷凌科技将在交</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1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易对价调减金额经计算确定后的 </w:t>
            </w:r>
            <w:r>
              <w:rPr>
                <w:rFonts w:ascii="Times New Roman" w:hAnsi="Times New Roman" w:cs="Times New Roman" w:eastAsia="Times New Roman" w:hint="default"/>
                <w:sz w:val="18"/>
                <w:szCs w:val="18"/>
              </w:rPr>
              <w:t>60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日内一次</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07" w:hRule="exact"/>
        </w:trPr>
        <w:tc>
          <w:tcPr>
            <w:tcW w:w="1136" w:type="dxa"/>
            <w:tcBorders>
              <w:top w:val="nil" w:sz="6" w:space="0" w:color="auto"/>
              <w:left w:val="single" w:sz="6" w:space="0" w:color="000000"/>
              <w:bottom w:val="nil" w:sz="6" w:space="0" w:color="auto"/>
              <w:right w:val="single" w:sz="6" w:space="0" w:color="000000"/>
            </w:tcBorders>
            <w:shd w:val="clear" w:color="auto" w:fill="D2D2D2"/>
          </w:tcPr>
          <w:p>
            <w:pPr/>
          </w:p>
        </w:tc>
        <w:tc>
          <w:tcPr>
            <w:tcW w:w="1133" w:type="dxa"/>
            <w:tcBorders>
              <w:top w:val="nil" w:sz="6" w:space="0" w:color="auto"/>
              <w:left w:val="single" w:sz="6" w:space="0" w:color="000000"/>
              <w:bottom w:val="nil" w:sz="6" w:space="0" w:color="auto"/>
              <w:right w:val="single" w:sz="6" w:space="0" w:color="000000"/>
            </w:tcBorders>
          </w:tcPr>
          <w:p>
            <w:pPr/>
          </w:p>
        </w:tc>
        <w:tc>
          <w:tcPr>
            <w:tcW w:w="994" w:type="dxa"/>
            <w:tcBorders>
              <w:top w:val="nil" w:sz="6" w:space="0" w:color="auto"/>
              <w:left w:val="single" w:sz="6" w:space="0" w:color="000000"/>
              <w:bottom w:val="nil" w:sz="6" w:space="0" w:color="auto"/>
              <w:right w:val="single" w:sz="6" w:space="0" w:color="000000"/>
            </w:tcBorders>
          </w:tcPr>
          <w:p>
            <w:pPr/>
          </w:p>
        </w:tc>
        <w:tc>
          <w:tcPr>
            <w:tcW w:w="3684" w:type="dxa"/>
            <w:tcBorders>
              <w:top w:val="nil" w:sz="6" w:space="0" w:color="auto"/>
              <w:left w:val="single" w:sz="6" w:space="0" w:color="000000"/>
              <w:bottom w:val="nil" w:sz="6" w:space="0" w:color="auto"/>
              <w:right w:val="single" w:sz="6" w:space="0" w:color="000000"/>
            </w:tcBorders>
          </w:tcPr>
          <w:p>
            <w:pPr>
              <w:pStyle w:val="TableParagraph"/>
              <w:spacing w:line="240" w:lineRule="auto" w:before="5"/>
              <w:ind w:left="2" w:right="0"/>
              <w:jc w:val="left"/>
              <w:rPr>
                <w:rFonts w:ascii="宋体" w:hAnsi="宋体" w:cs="宋体" w:eastAsia="宋体" w:hint="default"/>
                <w:sz w:val="18"/>
                <w:szCs w:val="18"/>
              </w:rPr>
            </w:pPr>
            <w:r>
              <w:rPr>
                <w:rFonts w:ascii="宋体" w:hAnsi="宋体" w:cs="宋体" w:eastAsia="宋体" w:hint="default"/>
                <w:sz w:val="18"/>
                <w:szCs w:val="18"/>
              </w:rPr>
              <w:t>性向上市公司支付，联发科将以连带责任方式</w:t>
            </w:r>
          </w:p>
        </w:tc>
        <w:tc>
          <w:tcPr>
            <w:tcW w:w="852" w:type="dxa"/>
            <w:tcBorders>
              <w:top w:val="nil" w:sz="6" w:space="0" w:color="auto"/>
              <w:left w:val="single" w:sz="6" w:space="0" w:color="000000"/>
              <w:bottom w:val="nil" w:sz="6" w:space="0" w:color="auto"/>
              <w:right w:val="single" w:sz="6" w:space="0" w:color="000000"/>
            </w:tcBorders>
          </w:tcPr>
          <w:p>
            <w:pPr/>
          </w:p>
        </w:tc>
        <w:tc>
          <w:tcPr>
            <w:tcW w:w="992" w:type="dxa"/>
            <w:tcBorders>
              <w:top w:val="nil" w:sz="6" w:space="0" w:color="auto"/>
              <w:left w:val="single" w:sz="6" w:space="0" w:color="000000"/>
              <w:bottom w:val="nil" w:sz="6" w:space="0" w:color="auto"/>
              <w:right w:val="single" w:sz="6" w:space="0" w:color="000000"/>
            </w:tcBorders>
          </w:tcPr>
          <w:p>
            <w:pPr/>
          </w:p>
        </w:tc>
        <w:tc>
          <w:tcPr>
            <w:tcW w:w="778" w:type="dxa"/>
            <w:tcBorders>
              <w:top w:val="nil" w:sz="6" w:space="0" w:color="auto"/>
              <w:left w:val="single" w:sz="6" w:space="0" w:color="000000"/>
              <w:bottom w:val="nil" w:sz="6" w:space="0" w:color="auto"/>
              <w:right w:val="single" w:sz="6" w:space="0" w:color="000000"/>
            </w:tcBorders>
          </w:tcPr>
          <w:p>
            <w:pPr/>
          </w:p>
        </w:tc>
      </w:tr>
      <w:tr>
        <w:trPr>
          <w:trHeight w:val="372" w:hRule="exact"/>
        </w:trPr>
        <w:tc>
          <w:tcPr>
            <w:tcW w:w="1136" w:type="dxa"/>
            <w:tcBorders>
              <w:top w:val="nil" w:sz="6" w:space="0" w:color="auto"/>
              <w:left w:val="single" w:sz="6" w:space="0" w:color="000000"/>
              <w:bottom w:val="single" w:sz="6" w:space="0" w:color="000000"/>
              <w:right w:val="single" w:sz="6" w:space="0" w:color="000000"/>
            </w:tcBorders>
            <w:shd w:val="clear" w:color="auto" w:fill="D2D2D2"/>
          </w:tcPr>
          <w:p>
            <w:pPr/>
          </w:p>
        </w:tc>
        <w:tc>
          <w:tcPr>
            <w:tcW w:w="1133" w:type="dxa"/>
            <w:tcBorders>
              <w:top w:val="nil" w:sz="6" w:space="0" w:color="auto"/>
              <w:left w:val="single" w:sz="6" w:space="0" w:color="000000"/>
              <w:bottom w:val="single" w:sz="6" w:space="0" w:color="000000"/>
              <w:right w:val="single" w:sz="6" w:space="0" w:color="000000"/>
            </w:tcBorders>
          </w:tcPr>
          <w:p>
            <w:pPr/>
          </w:p>
        </w:tc>
        <w:tc>
          <w:tcPr>
            <w:tcW w:w="994" w:type="dxa"/>
            <w:tcBorders>
              <w:top w:val="nil" w:sz="6" w:space="0" w:color="auto"/>
              <w:left w:val="single" w:sz="6" w:space="0" w:color="000000"/>
              <w:bottom w:val="single" w:sz="6" w:space="0" w:color="000000"/>
              <w:right w:val="single" w:sz="6" w:space="0" w:color="000000"/>
            </w:tcBorders>
          </w:tcPr>
          <w:p>
            <w:pPr/>
          </w:p>
        </w:tc>
        <w:tc>
          <w:tcPr>
            <w:tcW w:w="3684" w:type="dxa"/>
            <w:tcBorders>
              <w:top w:val="nil" w:sz="6" w:space="0" w:color="auto"/>
              <w:left w:val="single" w:sz="6" w:space="0" w:color="000000"/>
              <w:bottom w:val="single" w:sz="6" w:space="0" w:color="000000"/>
              <w:right w:val="single" w:sz="6" w:space="0" w:color="000000"/>
            </w:tcBorders>
          </w:tcPr>
          <w:p>
            <w:pPr>
              <w:pStyle w:val="TableParagraph"/>
              <w:spacing w:line="240" w:lineRule="auto" w:before="10"/>
              <w:ind w:left="2" w:right="0"/>
              <w:jc w:val="left"/>
              <w:rPr>
                <w:rFonts w:ascii="宋体" w:hAnsi="宋体" w:cs="宋体" w:eastAsia="宋体" w:hint="default"/>
                <w:sz w:val="18"/>
                <w:szCs w:val="18"/>
              </w:rPr>
            </w:pPr>
            <w:r>
              <w:rPr>
                <w:rFonts w:ascii="宋体" w:hAnsi="宋体" w:cs="宋体" w:eastAsia="宋体" w:hint="default"/>
                <w:sz w:val="18"/>
                <w:szCs w:val="18"/>
              </w:rPr>
              <w:t>承担前述补偿责任。</w:t>
            </w:r>
          </w:p>
        </w:tc>
        <w:tc>
          <w:tcPr>
            <w:tcW w:w="852" w:type="dxa"/>
            <w:tcBorders>
              <w:top w:val="nil" w:sz="6" w:space="0" w:color="auto"/>
              <w:left w:val="single" w:sz="6" w:space="0" w:color="000000"/>
              <w:bottom w:val="single" w:sz="6" w:space="0" w:color="000000"/>
              <w:right w:val="single" w:sz="6" w:space="0" w:color="000000"/>
            </w:tcBorders>
          </w:tcPr>
          <w:p>
            <w:pPr/>
          </w:p>
        </w:tc>
        <w:tc>
          <w:tcPr>
            <w:tcW w:w="992" w:type="dxa"/>
            <w:tcBorders>
              <w:top w:val="nil" w:sz="6" w:space="0" w:color="auto"/>
              <w:left w:val="single" w:sz="6" w:space="0" w:color="000000"/>
              <w:bottom w:val="single" w:sz="6" w:space="0" w:color="000000"/>
              <w:right w:val="single" w:sz="6" w:space="0" w:color="000000"/>
            </w:tcBorders>
          </w:tcPr>
          <w:p>
            <w:pPr/>
          </w:p>
        </w:tc>
        <w:tc>
          <w:tcPr>
            <w:tcW w:w="778" w:type="dxa"/>
            <w:tcBorders>
              <w:top w:val="nil" w:sz="6" w:space="0" w:color="auto"/>
              <w:left w:val="single" w:sz="6" w:space="0" w:color="000000"/>
              <w:bottom w:val="single" w:sz="6" w:space="0" w:color="000000"/>
              <w:right w:val="single" w:sz="6" w:space="0" w:color="000000"/>
            </w:tcBorders>
          </w:tcPr>
          <w:p>
            <w:pPr/>
          </w:p>
        </w:tc>
      </w:tr>
    </w:tbl>
    <w:p>
      <w:pPr>
        <w:spacing w:line="240" w:lineRule="auto" w:before="1"/>
        <w:rPr>
          <w:rFonts w:ascii="宋体" w:hAnsi="宋体" w:cs="宋体" w:eastAsia="宋体" w:hint="default"/>
          <w:sz w:val="18"/>
          <w:szCs w:val="18"/>
        </w:rPr>
      </w:pPr>
    </w:p>
    <w:p>
      <w:pPr>
        <w:pStyle w:val="Heading3"/>
        <w:spacing w:line="240" w:lineRule="auto" w:before="26"/>
        <w:ind w:right="0"/>
        <w:jc w:val="left"/>
        <w:rPr>
          <w:b w:val="0"/>
          <w:bCs w:val="0"/>
        </w:rPr>
      </w:pPr>
      <w:r>
        <w:rPr/>
        <w:t>四、控股股东及其关联方对上市公司的非经营性占用资金情况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40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公司报告期不存在控股股东及其关联方对上市公司的非经营性占用资金。</w:t>
      </w:r>
    </w:p>
    <w:p>
      <w:pPr>
        <w:spacing w:after="0" w:line="340" w:lineRule="auto"/>
        <w:jc w:val="left"/>
        <w:sectPr>
          <w:pgSz w:w="11910" w:h="16840"/>
          <w:pgMar w:header="745" w:footer="979" w:top="1060" w:bottom="1160" w:left="980" w:right="980"/>
        </w:sectPr>
      </w:pPr>
    </w:p>
    <w:p>
      <w:pPr>
        <w:spacing w:line="240" w:lineRule="auto" w:before="8"/>
        <w:rPr>
          <w:rFonts w:ascii="宋体" w:hAnsi="宋体" w:cs="宋体" w:eastAsia="宋体" w:hint="default"/>
          <w:sz w:val="23"/>
          <w:szCs w:val="23"/>
        </w:rPr>
      </w:pPr>
    </w:p>
    <w:p>
      <w:pPr>
        <w:pStyle w:val="Heading3"/>
        <w:spacing w:line="240" w:lineRule="auto" w:before="26"/>
        <w:ind w:right="0"/>
        <w:jc w:val="both"/>
        <w:rPr>
          <w:b w:val="0"/>
          <w:bCs w:val="0"/>
        </w:rPr>
      </w:pP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2"/>
        <w:rPr>
          <w:rFonts w:ascii="宋体" w:hAnsi="宋体" w:cs="宋体" w:eastAsia="宋体" w:hint="default"/>
          <w:b/>
          <w:bCs/>
          <w:sz w:val="25"/>
          <w:szCs w:val="25"/>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3"/>
        <w:spacing w:line="240" w:lineRule="auto"/>
        <w:ind w:right="0"/>
        <w:jc w:val="both"/>
        <w:rPr>
          <w:b w:val="0"/>
          <w:bCs w:val="0"/>
        </w:rPr>
      </w:pPr>
      <w:r>
        <w:rPr/>
        <w:t>六、与上年度财务报告相比，会计政策、会计估计和核算方法发生变化的情况说明</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300" w:lineRule="auto" w:before="103"/>
        <w:ind w:left="513" w:right="143" w:hanging="361"/>
        <w:jc w:val="left"/>
      </w:pPr>
      <w:r>
        <w:rPr>
          <w:rFonts w:ascii="Times New Roman" w:hAnsi="Times New Roman" w:cs="Times New Roman" w:eastAsia="Times New Roman" w:hint="default"/>
        </w:rPr>
        <w:t>1.</w:t>
      </w:r>
      <w:r>
        <w:rPr/>
        <w:t>重要的会计政策变更 财政部于</w:t>
      </w:r>
      <w:r>
        <w:rPr>
          <w:rFonts w:ascii="Times New Roman" w:hAnsi="Times New Roman" w:cs="Times New Roman" w:eastAsia="Times New Roman" w:hint="default"/>
        </w:rPr>
        <w:t>2017</w:t>
      </w:r>
      <w:r>
        <w:rPr/>
        <w:t>年修订了《企业会计准则第</w:t>
      </w:r>
      <w:r>
        <w:rPr>
          <w:rFonts w:ascii="Times New Roman" w:hAnsi="Times New Roman" w:cs="Times New Roman" w:eastAsia="Times New Roman" w:hint="default"/>
        </w:rPr>
        <w:t>16</w:t>
      </w:r>
      <w:r>
        <w:rPr/>
        <w:t>号</w:t>
      </w:r>
      <w:r>
        <w:rPr>
          <w:rFonts w:ascii="Times New Roman" w:hAnsi="Times New Roman" w:cs="Times New Roman" w:eastAsia="Times New Roman" w:hint="default"/>
        </w:rPr>
        <w:t>——</w:t>
      </w:r>
      <w:r>
        <w:rPr/>
        <w:t>政府补助》（修订），自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12</w:t>
      </w:r>
      <w:r>
        <w:rPr/>
        <w:t>日起施行；颁布了《企业会计</w:t>
      </w:r>
    </w:p>
    <w:p>
      <w:pPr>
        <w:pStyle w:val="BodyText"/>
        <w:spacing w:line="300" w:lineRule="auto" w:before="13"/>
        <w:ind w:right="152"/>
        <w:jc w:val="both"/>
      </w:pPr>
      <w:r>
        <w:rPr/>
        <w:t>准则第</w:t>
      </w:r>
      <w:r>
        <w:rPr>
          <w:rFonts w:ascii="Times New Roman" w:hAnsi="Times New Roman" w:cs="Times New Roman" w:eastAsia="Times New Roman" w:hint="default"/>
        </w:rPr>
        <w:t>42</w:t>
      </w:r>
      <w:r>
        <w:rPr/>
        <w:t>号</w:t>
      </w:r>
      <w:r>
        <w:rPr>
          <w:rFonts w:ascii="Times New Roman" w:hAnsi="Times New Roman" w:cs="Times New Roman" w:eastAsia="Times New Roman" w:hint="default"/>
        </w:rPr>
        <w:t>——</w:t>
      </w:r>
      <w:r>
        <w:rPr/>
        <w:t>持有待售的非流动资产、处置组和终止经营》，自</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28</w:t>
      </w:r>
      <w:r>
        <w:rPr>
          <w:rFonts w:ascii="Times New Roman" w:hAnsi="Times New Roman" w:cs="Times New Roman" w:eastAsia="Times New Roman" w:hint="default"/>
          <w:spacing w:val="41"/>
        </w:rPr>
        <w:t> </w:t>
      </w:r>
      <w:r>
        <w:rPr/>
        <w:t>日起施行。根据《财政部关于修订印发 </w:t>
      </w:r>
      <w:r>
        <w:rPr>
          <w:spacing w:val="-2"/>
        </w:rPr>
        <w:t>一般企业财务报表格式的通知》（财会〔</w:t>
      </w:r>
      <w:r>
        <w:rPr>
          <w:rFonts w:ascii="Times New Roman" w:hAnsi="Times New Roman" w:cs="Times New Roman" w:eastAsia="Times New Roman" w:hint="default"/>
          <w:spacing w:val="-2"/>
        </w:rPr>
        <w:t>2017</w:t>
      </w:r>
      <w:r>
        <w:rPr>
          <w:spacing w:val="-2"/>
        </w:rPr>
        <w:t>〕</w:t>
      </w:r>
      <w:r>
        <w:rPr>
          <w:rFonts w:ascii="Times New Roman" w:hAnsi="Times New Roman" w:cs="Times New Roman" w:eastAsia="Times New Roman" w:hint="default"/>
          <w:spacing w:val="-2"/>
        </w:rPr>
        <w:t>30</w:t>
      </w:r>
      <w:r>
        <w:rPr>
          <w:spacing w:val="-2"/>
        </w:rPr>
        <w:t>号），对一般企业财务报表格式进行了相应修订。本公司已按要求执行新</w:t>
      </w:r>
      <w:r>
        <w:rPr>
          <w:spacing w:val="-63"/>
        </w:rPr>
        <w:t> </w:t>
      </w:r>
      <w:r>
        <w:rPr>
          <w:spacing w:val="-63"/>
        </w:rPr>
      </w:r>
      <w:r>
        <w:rPr/>
        <w:t>的该等企业会计准则，并按照新准则的衔接规定对比较财务报表进行调整。执行新准则对比较财务报表影响说明如下：</w:t>
      </w:r>
    </w:p>
    <w:p>
      <w:pPr>
        <w:spacing w:line="240" w:lineRule="auto" w:before="9"/>
        <w:rPr>
          <w:rFonts w:ascii="宋体" w:hAnsi="宋体" w:cs="宋体" w:eastAsia="宋体" w:hint="default"/>
          <w:sz w:val="25"/>
          <w:szCs w:val="25"/>
        </w:rPr>
      </w:pPr>
    </w:p>
    <w:tbl>
      <w:tblPr>
        <w:tblW w:w="0" w:type="auto"/>
        <w:jc w:val="left"/>
        <w:tblInd w:w="148" w:type="dxa"/>
        <w:tblLayout w:type="fixed"/>
        <w:tblCellMar>
          <w:top w:w="0" w:type="dxa"/>
          <w:left w:w="0" w:type="dxa"/>
          <w:bottom w:w="0" w:type="dxa"/>
          <w:right w:w="0" w:type="dxa"/>
        </w:tblCellMar>
        <w:tblLook w:val="01E0"/>
      </w:tblPr>
      <w:tblGrid>
        <w:gridCol w:w="4964"/>
        <w:gridCol w:w="2268"/>
        <w:gridCol w:w="2408"/>
      </w:tblGrid>
      <w:tr>
        <w:trPr>
          <w:trHeight w:val="422" w:hRule="exact"/>
        </w:trPr>
        <w:tc>
          <w:tcPr>
            <w:tcW w:w="49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397"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r>
              <w:rPr>
                <w:rFonts w:ascii="宋体" w:hAnsi="宋体" w:cs="宋体" w:eastAsia="宋体" w:hint="default"/>
                <w:sz w:val="18"/>
                <w:szCs w:val="18"/>
              </w:rPr>
              <w:t> </w:t>
            </w:r>
          </w:p>
        </w:tc>
        <w:tc>
          <w:tcPr>
            <w:tcW w:w="2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87" w:right="0"/>
              <w:jc w:val="center"/>
              <w:rPr>
                <w:rFonts w:ascii="宋体" w:hAnsi="宋体" w:cs="宋体" w:eastAsia="宋体" w:hint="default"/>
                <w:sz w:val="18"/>
                <w:szCs w:val="18"/>
              </w:rPr>
            </w:pPr>
            <w:r>
              <w:rPr>
                <w:rFonts w:ascii="宋体" w:hAnsi="宋体" w:cs="宋体" w:eastAsia="宋体" w:hint="default"/>
                <w:sz w:val="18"/>
                <w:szCs w:val="18"/>
              </w:rPr>
              <w:t>受影响的报表项目</w:t>
            </w:r>
            <w:r>
              <w:rPr>
                <w:rFonts w:ascii="宋体" w:hAnsi="宋体" w:cs="宋体" w:eastAsia="宋体" w:hint="default"/>
                <w:sz w:val="18"/>
                <w:szCs w:val="18"/>
              </w:rPr>
              <w:t> </w:t>
            </w:r>
          </w:p>
        </w:tc>
        <w:tc>
          <w:tcPr>
            <w:tcW w:w="24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72" w:right="-16"/>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z w:val="18"/>
                <w:szCs w:val="18"/>
              </w:rPr>
              <w:t>年末</w:t>
            </w:r>
            <w:r>
              <w:rPr>
                <w:rFonts w:ascii="宋体" w:hAnsi="宋体" w:cs="宋体" w:eastAsia="宋体" w:hint="default"/>
                <w:sz w:val="18"/>
                <w:szCs w:val="18"/>
              </w:rPr>
              <w:t>/2016</w:t>
            </w:r>
            <w:r>
              <w:rPr>
                <w:rFonts w:ascii="宋体" w:hAnsi="宋体" w:cs="宋体" w:eastAsia="宋体" w:hint="default"/>
                <w:sz w:val="18"/>
                <w:szCs w:val="18"/>
              </w:rPr>
              <w:t>年度影响金额</w:t>
            </w:r>
            <w:r>
              <w:rPr>
                <w:rFonts w:ascii="宋体" w:hAnsi="宋体" w:cs="宋体" w:eastAsia="宋体" w:hint="default"/>
                <w:sz w:val="18"/>
                <w:szCs w:val="18"/>
              </w:rPr>
              <w:t> </w:t>
            </w:r>
          </w:p>
        </w:tc>
      </w:tr>
      <w:tr>
        <w:trPr>
          <w:trHeight w:val="358" w:hRule="exact"/>
        </w:trPr>
        <w:tc>
          <w:tcPr>
            <w:tcW w:w="4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《企业会计准则第</w:t>
            </w:r>
            <w:r>
              <w:rPr>
                <w:rFonts w:ascii="Times New Roman" w:hAnsi="Times New Roman" w:cs="Times New Roman" w:eastAsia="Times New Roman" w:hint="default"/>
                <w:sz w:val="18"/>
                <w:szCs w:val="18"/>
              </w:rPr>
              <w:t>42</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持有待售的非流动资产、处置组和</w:t>
            </w:r>
          </w:p>
        </w:tc>
        <w:tc>
          <w:tcPr>
            <w:tcW w:w="22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持有待售资产</w:t>
            </w:r>
          </w:p>
        </w:tc>
        <w:tc>
          <w:tcPr>
            <w:tcW w:w="24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15" w:hRule="exact"/>
        </w:trPr>
        <w:tc>
          <w:tcPr>
            <w:tcW w:w="4964" w:type="dxa"/>
            <w:vMerge w:val="restart"/>
            <w:tcBorders>
              <w:top w:val="nil" w:sz="6" w:space="0" w:color="auto"/>
              <w:left w:val="single" w:sz="4" w:space="0" w:color="000000"/>
              <w:right w:val="single" w:sz="4" w:space="0" w:color="000000"/>
            </w:tcBorders>
          </w:tcPr>
          <w:p>
            <w:pPr>
              <w:pStyle w:val="TableParagraph"/>
              <w:spacing w:line="226" w:lineRule="exact"/>
              <w:ind w:left="7" w:right="0"/>
              <w:jc w:val="left"/>
              <w:rPr>
                <w:rFonts w:ascii="宋体" w:hAnsi="宋体" w:cs="宋体" w:eastAsia="宋体" w:hint="default"/>
                <w:sz w:val="18"/>
                <w:szCs w:val="18"/>
              </w:rPr>
            </w:pPr>
            <w:r>
              <w:rPr>
                <w:rFonts w:ascii="宋体" w:hAnsi="宋体" w:cs="宋体" w:eastAsia="宋体" w:hint="default"/>
                <w:sz w:val="18"/>
                <w:szCs w:val="18"/>
              </w:rPr>
              <w:t>终止经营》对于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日之后持有待售的非流动资产或处</w:t>
            </w:r>
          </w:p>
        </w:tc>
        <w:tc>
          <w:tcPr>
            <w:tcW w:w="2268" w:type="dxa"/>
            <w:tcBorders>
              <w:top w:val="nil" w:sz="6" w:space="0" w:color="auto"/>
              <w:left w:val="single" w:sz="4" w:space="0" w:color="000000"/>
              <w:bottom w:val="single" w:sz="4" w:space="0" w:color="000000"/>
              <w:right w:val="single" w:sz="4" w:space="0" w:color="000000"/>
            </w:tcBorders>
          </w:tcPr>
          <w:p>
            <w:pPr/>
          </w:p>
        </w:tc>
        <w:tc>
          <w:tcPr>
            <w:tcW w:w="2408" w:type="dxa"/>
            <w:tcBorders>
              <w:top w:val="nil" w:sz="6" w:space="0" w:color="auto"/>
              <w:left w:val="single" w:sz="4" w:space="0" w:color="000000"/>
              <w:bottom w:val="single" w:sz="4" w:space="0" w:color="000000"/>
              <w:right w:val="single" w:sz="4" w:space="0" w:color="000000"/>
            </w:tcBorders>
          </w:tcPr>
          <w:p>
            <w:pPr/>
          </w:p>
        </w:tc>
      </w:tr>
      <w:tr>
        <w:trPr>
          <w:trHeight w:val="168" w:hRule="exact"/>
        </w:trPr>
        <w:tc>
          <w:tcPr>
            <w:tcW w:w="4964" w:type="dxa"/>
            <w:vMerge/>
            <w:tcBorders>
              <w:left w:val="single" w:sz="4" w:space="0" w:color="000000"/>
              <w:bottom w:val="nil" w:sz="6" w:space="0" w:color="auto"/>
              <w:right w:val="single" w:sz="4" w:space="0" w:color="000000"/>
            </w:tcBorders>
          </w:tcPr>
          <w:p>
            <w:pPr/>
          </w:p>
        </w:tc>
        <w:tc>
          <w:tcPr>
            <w:tcW w:w="2268" w:type="dxa"/>
            <w:vMerge w:val="restart"/>
            <w:tcBorders>
              <w:top w:val="single" w:sz="4" w:space="0" w:color="000000"/>
              <w:left w:val="single" w:sz="4" w:space="0" w:color="000000"/>
              <w:right w:val="single" w:sz="4" w:space="0" w:color="000000"/>
            </w:tcBorders>
          </w:tcPr>
          <w:p>
            <w:pPr>
              <w:pStyle w:val="TableParagraph"/>
              <w:tabs>
                <w:tab w:pos="588" w:val="left" w:leader="none"/>
              </w:tabs>
              <w:spacing w:line="240" w:lineRule="auto" w:before="87"/>
              <w:ind w:left="-105" w:right="0"/>
              <w:jc w:val="left"/>
              <w:rPr>
                <w:rFonts w:ascii="宋体" w:hAnsi="宋体" w:cs="宋体" w:eastAsia="宋体" w:hint="default"/>
                <w:sz w:val="18"/>
                <w:szCs w:val="18"/>
              </w:rPr>
            </w:pPr>
            <w:r>
              <w:rPr>
                <w:rFonts w:ascii="宋体" w:hAnsi="宋体" w:cs="宋体" w:eastAsia="宋体" w:hint="default"/>
                <w:position w:val="-7"/>
                <w:sz w:val="18"/>
                <w:szCs w:val="18"/>
              </w:rPr>
              <w:t>，</w:t>
              <w:tab/>
            </w:r>
            <w:r>
              <w:rPr>
                <w:rFonts w:ascii="宋体" w:hAnsi="宋体" w:cs="宋体" w:eastAsia="宋体" w:hint="default"/>
                <w:sz w:val="18"/>
                <w:szCs w:val="18"/>
              </w:rPr>
              <w:t>持有待售负债</w:t>
            </w:r>
          </w:p>
        </w:tc>
        <w:tc>
          <w:tcPr>
            <w:tcW w:w="2408" w:type="dxa"/>
            <w:vMerge w:val="restart"/>
            <w:tcBorders>
              <w:top w:val="single" w:sz="4" w:space="0" w:color="000000"/>
              <w:left w:val="single" w:sz="4" w:space="0" w:color="000000"/>
              <w:right w:val="single" w:sz="4" w:space="0" w:color="000000"/>
            </w:tcBorders>
          </w:tcPr>
          <w:p>
            <w:pPr>
              <w:pStyle w:val="TableParagraph"/>
              <w:spacing w:line="240" w:lineRule="auto" w:before="87"/>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09" w:hRule="exact"/>
        </w:trPr>
        <w:tc>
          <w:tcPr>
            <w:tcW w:w="496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7" w:right="0"/>
              <w:jc w:val="left"/>
              <w:rPr>
                <w:rFonts w:ascii="宋体" w:hAnsi="宋体" w:cs="宋体" w:eastAsia="宋体" w:hint="default"/>
                <w:sz w:val="18"/>
                <w:szCs w:val="18"/>
              </w:rPr>
            </w:pPr>
            <w:r>
              <w:rPr>
                <w:rFonts w:ascii="宋体" w:hAnsi="宋体" w:cs="宋体" w:eastAsia="宋体" w:hint="default"/>
                <w:sz w:val="18"/>
                <w:szCs w:val="18"/>
              </w:rPr>
              <w:t>置组的分类、计量和列报，以及终止经营的列报等进行了规定</w:t>
            </w:r>
          </w:p>
        </w:tc>
        <w:tc>
          <w:tcPr>
            <w:tcW w:w="2268" w:type="dxa"/>
            <w:vMerge/>
            <w:tcBorders>
              <w:left w:val="single" w:sz="4" w:space="0" w:color="000000"/>
              <w:bottom w:val="single" w:sz="4" w:space="0" w:color="000000"/>
              <w:right w:val="single" w:sz="4" w:space="0" w:color="000000"/>
            </w:tcBorders>
          </w:tcPr>
          <w:p>
            <w:pPr/>
          </w:p>
        </w:tc>
        <w:tc>
          <w:tcPr>
            <w:tcW w:w="2408" w:type="dxa"/>
            <w:vMerge/>
            <w:tcBorders>
              <w:left w:val="single" w:sz="4" w:space="0" w:color="000000"/>
              <w:bottom w:val="single" w:sz="4" w:space="0" w:color="000000"/>
              <w:right w:val="single" w:sz="4" w:space="0" w:color="000000"/>
            </w:tcBorders>
          </w:tcPr>
          <w:p>
            <w:pPr/>
          </w:p>
        </w:tc>
      </w:tr>
      <w:tr>
        <w:trPr>
          <w:trHeight w:val="310" w:hRule="exact"/>
        </w:trPr>
        <w:tc>
          <w:tcPr>
            <w:tcW w:w="496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7" w:right="0"/>
              <w:jc w:val="left"/>
              <w:rPr>
                <w:rFonts w:ascii="宋体" w:hAnsi="宋体" w:cs="宋体" w:eastAsia="宋体" w:hint="default"/>
                <w:sz w:val="18"/>
                <w:szCs w:val="18"/>
              </w:rPr>
            </w:pPr>
            <w:r>
              <w:rPr>
                <w:rFonts w:ascii="宋体" w:hAnsi="宋体" w:cs="宋体" w:eastAsia="宋体" w:hint="default"/>
                <w:sz w:val="18"/>
                <w:szCs w:val="18"/>
              </w:rPr>
              <w:t>并采用未来适用法进行处理；</w:t>
            </w: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85"/>
              <w:ind w:left="499" w:right="0"/>
              <w:jc w:val="left"/>
              <w:rPr>
                <w:rFonts w:ascii="宋体" w:hAnsi="宋体" w:cs="宋体" w:eastAsia="宋体" w:hint="default"/>
                <w:sz w:val="18"/>
                <w:szCs w:val="18"/>
              </w:rPr>
            </w:pPr>
            <w:r>
              <w:rPr>
                <w:rFonts w:ascii="宋体" w:hAnsi="宋体" w:cs="宋体" w:eastAsia="宋体" w:hint="default"/>
                <w:sz w:val="18"/>
                <w:szCs w:val="18"/>
              </w:rPr>
              <w:t>持续经营净利润</w:t>
            </w:r>
          </w:p>
        </w:tc>
        <w:tc>
          <w:tcPr>
            <w:tcW w:w="2408" w:type="dxa"/>
            <w:vMerge w:val="restart"/>
            <w:tcBorders>
              <w:top w:val="single" w:sz="4" w:space="0" w:color="000000"/>
              <w:left w:val="single" w:sz="4" w:space="0" w:color="000000"/>
              <w:right w:val="single" w:sz="4" w:space="0" w:color="000000"/>
            </w:tcBorders>
          </w:tcPr>
          <w:p>
            <w:pPr>
              <w:pStyle w:val="TableParagraph"/>
              <w:spacing w:line="240" w:lineRule="auto" w:before="127"/>
              <w:ind w:left="636" w:right="0"/>
              <w:jc w:val="left"/>
              <w:rPr>
                <w:rFonts w:ascii="Times New Roman" w:hAnsi="Times New Roman" w:cs="Times New Roman" w:eastAsia="Times New Roman" w:hint="default"/>
                <w:sz w:val="18"/>
                <w:szCs w:val="18"/>
              </w:rPr>
            </w:pPr>
            <w:r>
              <w:rPr>
                <w:rFonts w:ascii="Times New Roman"/>
                <w:sz w:val="18"/>
              </w:rPr>
              <w:t>116,258,904.80</w:t>
            </w:r>
          </w:p>
        </w:tc>
      </w:tr>
      <w:tr>
        <w:trPr>
          <w:trHeight w:val="165" w:hRule="exact"/>
        </w:trPr>
        <w:tc>
          <w:tcPr>
            <w:tcW w:w="4964" w:type="dxa"/>
            <w:vMerge w:val="restart"/>
            <w:tcBorders>
              <w:top w:val="nil" w:sz="6" w:space="0" w:color="auto"/>
              <w:left w:val="single" w:sz="4" w:space="0" w:color="000000"/>
              <w:right w:val="single" w:sz="4" w:space="0" w:color="000000"/>
            </w:tcBorders>
          </w:tcPr>
          <w:p>
            <w:pPr>
              <w:pStyle w:val="TableParagraph"/>
              <w:spacing w:line="240" w:lineRule="auto" w:before="10"/>
              <w:ind w:left="7" w:right="0"/>
              <w:jc w:val="left"/>
              <w:rPr>
                <w:rFonts w:ascii="宋体" w:hAnsi="宋体" w:cs="宋体" w:eastAsia="宋体" w:hint="default"/>
                <w:sz w:val="18"/>
                <w:szCs w:val="18"/>
              </w:rPr>
            </w:pPr>
            <w:r>
              <w:rPr>
                <w:rFonts w:ascii="宋体" w:hAnsi="宋体" w:cs="宋体" w:eastAsia="宋体" w:hint="default"/>
                <w:sz w:val="18"/>
                <w:szCs w:val="18"/>
              </w:rPr>
              <w:t>修改了财务报表的列报，在合并利润表和利润表中分别列示持</w:t>
            </w:r>
          </w:p>
        </w:tc>
        <w:tc>
          <w:tcPr>
            <w:tcW w:w="2268" w:type="dxa"/>
            <w:vMerge/>
            <w:tcBorders>
              <w:left w:val="single" w:sz="4" w:space="0" w:color="000000"/>
              <w:bottom w:val="single" w:sz="4" w:space="0" w:color="000000"/>
              <w:right w:val="single" w:sz="4" w:space="0" w:color="000000"/>
            </w:tcBorders>
          </w:tcPr>
          <w:p>
            <w:pPr/>
          </w:p>
        </w:tc>
        <w:tc>
          <w:tcPr>
            <w:tcW w:w="2408" w:type="dxa"/>
            <w:vMerge/>
            <w:tcBorders>
              <w:left w:val="single" w:sz="4" w:space="0" w:color="000000"/>
              <w:bottom w:val="single" w:sz="4" w:space="0" w:color="000000"/>
              <w:right w:val="single" w:sz="4" w:space="0" w:color="000000"/>
            </w:tcBorders>
          </w:tcPr>
          <w:p>
            <w:pPr/>
          </w:p>
        </w:tc>
      </w:tr>
      <w:tr>
        <w:trPr>
          <w:trHeight w:val="147" w:hRule="exact"/>
        </w:trPr>
        <w:tc>
          <w:tcPr>
            <w:tcW w:w="4964" w:type="dxa"/>
            <w:vMerge/>
            <w:tcBorders>
              <w:left w:val="single" w:sz="4" w:space="0" w:color="000000"/>
              <w:bottom w:val="nil" w:sz="6" w:space="0" w:color="auto"/>
              <w:right w:val="single" w:sz="4" w:space="0" w:color="000000"/>
            </w:tcBorders>
          </w:tcPr>
          <w:p>
            <w:pPr/>
          </w:p>
        </w:tc>
        <w:tc>
          <w:tcPr>
            <w:tcW w:w="2268" w:type="dxa"/>
            <w:vMerge w:val="restart"/>
            <w:tcBorders>
              <w:top w:val="single" w:sz="4" w:space="0" w:color="000000"/>
              <w:left w:val="single" w:sz="4" w:space="0" w:color="000000"/>
              <w:right w:val="single" w:sz="4" w:space="0" w:color="000000"/>
            </w:tcBorders>
          </w:tcPr>
          <w:p>
            <w:pPr>
              <w:pStyle w:val="TableParagraph"/>
              <w:spacing w:line="240" w:lineRule="auto" w:before="85"/>
              <w:ind w:left="499" w:right="0"/>
              <w:jc w:val="left"/>
              <w:rPr>
                <w:rFonts w:ascii="宋体" w:hAnsi="宋体" w:cs="宋体" w:eastAsia="宋体" w:hint="default"/>
                <w:sz w:val="18"/>
                <w:szCs w:val="18"/>
              </w:rPr>
            </w:pPr>
            <w:r>
              <w:rPr>
                <w:rFonts w:ascii="宋体" w:hAnsi="宋体" w:cs="宋体" w:eastAsia="宋体" w:hint="default"/>
                <w:sz w:val="18"/>
                <w:szCs w:val="18"/>
              </w:rPr>
              <w:t>终止经营净利润</w:t>
            </w:r>
          </w:p>
        </w:tc>
        <w:tc>
          <w:tcPr>
            <w:tcW w:w="2408" w:type="dxa"/>
            <w:vMerge w:val="restart"/>
            <w:tcBorders>
              <w:top w:val="single" w:sz="4" w:space="0" w:color="000000"/>
              <w:left w:val="single" w:sz="4" w:space="0" w:color="000000"/>
              <w:right w:val="single" w:sz="4" w:space="0" w:color="000000"/>
            </w:tcBorders>
          </w:tcPr>
          <w:p>
            <w:pPr>
              <w:pStyle w:val="TableParagraph"/>
              <w:spacing w:line="240" w:lineRule="auto" w:before="85"/>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29" w:hRule="exact"/>
        </w:trPr>
        <w:tc>
          <w:tcPr>
            <w:tcW w:w="49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7" w:right="0"/>
              <w:jc w:val="left"/>
              <w:rPr>
                <w:rFonts w:ascii="宋体" w:hAnsi="宋体" w:cs="宋体" w:eastAsia="宋体" w:hint="default"/>
                <w:sz w:val="18"/>
                <w:szCs w:val="18"/>
              </w:rPr>
            </w:pPr>
            <w:r>
              <w:rPr>
                <w:rFonts w:ascii="宋体" w:hAnsi="宋体" w:cs="宋体" w:eastAsia="宋体" w:hint="default"/>
                <w:sz w:val="18"/>
                <w:szCs w:val="18"/>
              </w:rPr>
              <w:t>续经营损益和终止经营损益等。</w:t>
            </w:r>
          </w:p>
        </w:tc>
        <w:tc>
          <w:tcPr>
            <w:tcW w:w="2268" w:type="dxa"/>
            <w:vMerge/>
            <w:tcBorders>
              <w:left w:val="single" w:sz="4" w:space="0" w:color="000000"/>
              <w:bottom w:val="single" w:sz="4" w:space="0" w:color="000000"/>
              <w:right w:val="single" w:sz="4" w:space="0" w:color="000000"/>
            </w:tcBorders>
          </w:tcPr>
          <w:p>
            <w:pPr/>
          </w:p>
        </w:tc>
        <w:tc>
          <w:tcPr>
            <w:tcW w:w="2408" w:type="dxa"/>
            <w:vMerge/>
            <w:tcBorders>
              <w:left w:val="single" w:sz="4" w:space="0" w:color="000000"/>
              <w:bottom w:val="single" w:sz="4" w:space="0" w:color="000000"/>
              <w:right w:val="single" w:sz="4" w:space="0" w:color="000000"/>
            </w:tcBorders>
          </w:tcPr>
          <w:p>
            <w:pPr/>
          </w:p>
        </w:tc>
      </w:tr>
      <w:tr>
        <w:trPr>
          <w:trHeight w:val="329" w:hRule="exact"/>
        </w:trPr>
        <w:tc>
          <w:tcPr>
            <w:tcW w:w="4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《企业会计准则第</w:t>
            </w:r>
            <w:r>
              <w:rPr>
                <w:rFonts w:ascii="Times New Roman" w:hAnsi="Times New Roman" w:cs="Times New Roman" w:eastAsia="Times New Roman" w:hint="default"/>
                <w:sz w:val="18"/>
                <w:szCs w:val="18"/>
              </w:rPr>
              <w:t>16</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政府补助》（</w:t>
            </w:r>
            <w:r>
              <w:rPr>
                <w:rFonts w:ascii="Times New Roman" w:hAnsi="Times New Roman" w:cs="Times New Roman" w:eastAsia="Times New Roman" w:hint="default"/>
                <w:sz w:val="18"/>
                <w:szCs w:val="18"/>
              </w:rPr>
              <w:t>2017</w:t>
            </w:r>
            <w:r>
              <w:rPr>
                <w:rFonts w:ascii="宋体" w:hAnsi="宋体" w:cs="宋体" w:eastAsia="宋体" w:hint="default"/>
                <w:sz w:val="18"/>
                <w:szCs w:val="18"/>
              </w:rPr>
              <w:t>）自</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p>
        </w:tc>
        <w:tc>
          <w:tcPr>
            <w:tcW w:w="2268" w:type="dxa"/>
            <w:tcBorders>
              <w:top w:val="single" w:sz="4" w:space="0" w:color="000000"/>
              <w:left w:val="single" w:sz="4" w:space="0" w:color="000000"/>
              <w:bottom w:val="nil" w:sz="6" w:space="0" w:color="auto"/>
              <w:right w:val="single" w:sz="4" w:space="0" w:color="000000"/>
            </w:tcBorders>
          </w:tcPr>
          <w:p>
            <w:pPr/>
          </w:p>
        </w:tc>
        <w:tc>
          <w:tcPr>
            <w:tcW w:w="2408"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496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7" w:right="0"/>
              <w:jc w:val="left"/>
              <w:rPr>
                <w:rFonts w:ascii="宋体" w:hAnsi="宋体" w:cs="宋体" w:eastAsia="宋体" w:hint="default"/>
                <w:sz w:val="18"/>
                <w:szCs w:val="18"/>
              </w:rPr>
            </w:pPr>
            <w:r>
              <w:rPr>
                <w:rFonts w:ascii="宋体" w:hAnsi="宋体" w:cs="宋体" w:eastAsia="宋体" w:hint="default"/>
                <w:spacing w:val="2"/>
                <w:sz w:val="18"/>
                <w:szCs w:val="18"/>
              </w:rPr>
              <w:t>日起施行，</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日存在的政府补助和</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年新增的政府</w:t>
            </w:r>
          </w:p>
        </w:tc>
        <w:tc>
          <w:tcPr>
            <w:tcW w:w="2268" w:type="dxa"/>
            <w:tcBorders>
              <w:top w:val="nil" w:sz="6" w:space="0" w:color="auto"/>
              <w:left w:val="single" w:sz="4" w:space="0" w:color="000000"/>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single" w:sz="4" w:space="0" w:color="000000"/>
            </w:tcBorders>
          </w:tcPr>
          <w:p>
            <w:pPr/>
          </w:p>
        </w:tc>
      </w:tr>
      <w:tr>
        <w:trPr>
          <w:trHeight w:val="619" w:hRule="exact"/>
        </w:trPr>
        <w:tc>
          <w:tcPr>
            <w:tcW w:w="4964"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7" w:right="9"/>
              <w:jc w:val="left"/>
              <w:rPr>
                <w:rFonts w:ascii="宋体" w:hAnsi="宋体" w:cs="宋体" w:eastAsia="宋体" w:hint="default"/>
                <w:sz w:val="18"/>
                <w:szCs w:val="18"/>
              </w:rPr>
            </w:pPr>
            <w:r>
              <w:rPr>
                <w:rFonts w:ascii="宋体" w:hAnsi="宋体" w:cs="宋体" w:eastAsia="宋体" w:hint="default"/>
                <w:spacing w:val="2"/>
                <w:sz w:val="18"/>
                <w:szCs w:val="18"/>
              </w:rPr>
              <w:t>补助适用该准则。根据该准则，对于与日常活动相关的政府补</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2"/>
                <w:sz w:val="18"/>
                <w:szCs w:val="18"/>
              </w:rPr>
              <w:t>助，在计入利润表时，按照经济业务实质，由原计入营业外收</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其他收益</w:t>
            </w:r>
          </w:p>
        </w:tc>
        <w:tc>
          <w:tcPr>
            <w:tcW w:w="2408" w:type="dxa"/>
            <w:tcBorders>
              <w:top w:val="nil" w:sz="6" w:space="0" w:color="auto"/>
              <w:left w:val="single" w:sz="4" w:space="0" w:color="000000"/>
              <w:bottom w:val="nil" w:sz="6" w:space="0" w:color="auto"/>
              <w:right w:val="single" w:sz="4" w:space="0" w:color="000000"/>
            </w:tcBorders>
          </w:tcPr>
          <w:p>
            <w:pPr>
              <w:pStyle w:val="TableParagraph"/>
              <w:spacing w:line="240" w:lineRule="auto" w:before="161"/>
              <w:ind w:right="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312" w:hRule="exact"/>
        </w:trPr>
        <w:tc>
          <w:tcPr>
            <w:tcW w:w="496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7" w:right="0"/>
              <w:jc w:val="left"/>
              <w:rPr>
                <w:rFonts w:ascii="宋体" w:hAnsi="宋体" w:cs="宋体" w:eastAsia="宋体" w:hint="default"/>
                <w:sz w:val="18"/>
                <w:szCs w:val="18"/>
              </w:rPr>
            </w:pPr>
            <w:r>
              <w:rPr>
                <w:rFonts w:ascii="宋体" w:hAnsi="宋体" w:cs="宋体" w:eastAsia="宋体" w:hint="default"/>
                <w:sz w:val="18"/>
                <w:szCs w:val="18"/>
              </w:rPr>
              <w:t>入改为计入其他收益。</w:t>
            </w:r>
          </w:p>
        </w:tc>
        <w:tc>
          <w:tcPr>
            <w:tcW w:w="2268" w:type="dxa"/>
            <w:tcBorders>
              <w:top w:val="nil" w:sz="6" w:space="0" w:color="auto"/>
              <w:left w:val="single" w:sz="4" w:space="0" w:color="000000"/>
              <w:bottom w:val="nil" w:sz="6" w:space="0" w:color="auto"/>
              <w:right w:val="single" w:sz="4" w:space="0" w:color="000000"/>
            </w:tcBorders>
          </w:tcPr>
          <w:p>
            <w:pPr/>
          </w:p>
        </w:tc>
        <w:tc>
          <w:tcPr>
            <w:tcW w:w="2408" w:type="dxa"/>
            <w:tcBorders>
              <w:top w:val="nil" w:sz="6" w:space="0" w:color="auto"/>
              <w:left w:val="single" w:sz="4" w:space="0" w:color="000000"/>
              <w:bottom w:val="nil" w:sz="6" w:space="0" w:color="auto"/>
              <w:right w:val="single" w:sz="4" w:space="0" w:color="000000"/>
            </w:tcBorders>
          </w:tcPr>
          <w:p>
            <w:pPr/>
          </w:p>
        </w:tc>
      </w:tr>
      <w:tr>
        <w:trPr>
          <w:trHeight w:val="331" w:hRule="exact"/>
        </w:trPr>
        <w:tc>
          <w:tcPr>
            <w:tcW w:w="49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7" w:right="0"/>
              <w:jc w:val="left"/>
              <w:rPr>
                <w:rFonts w:ascii="宋体" w:hAnsi="宋体" w:cs="宋体" w:eastAsia="宋体" w:hint="default"/>
                <w:sz w:val="18"/>
                <w:szCs w:val="18"/>
              </w:rPr>
            </w:pPr>
            <w:r>
              <w:rPr>
                <w:rFonts w:ascii="宋体" w:hAnsi="宋体" w:cs="宋体" w:eastAsia="宋体" w:hint="default"/>
                <w:sz w:val="18"/>
                <w:szCs w:val="18"/>
              </w:rPr>
              <w:t>对新的披露要求不需提供比较信息。</w:t>
            </w:r>
          </w:p>
        </w:tc>
        <w:tc>
          <w:tcPr>
            <w:tcW w:w="2268" w:type="dxa"/>
            <w:tcBorders>
              <w:top w:val="nil" w:sz="6" w:space="0" w:color="auto"/>
              <w:left w:val="single" w:sz="4" w:space="0" w:color="000000"/>
              <w:bottom w:val="single" w:sz="4" w:space="0" w:color="000000"/>
              <w:right w:val="single" w:sz="4" w:space="0" w:color="000000"/>
            </w:tcBorders>
          </w:tcPr>
          <w:p>
            <w:pPr/>
          </w:p>
        </w:tc>
        <w:tc>
          <w:tcPr>
            <w:tcW w:w="2408" w:type="dxa"/>
            <w:tcBorders>
              <w:top w:val="nil" w:sz="6" w:space="0" w:color="auto"/>
              <w:left w:val="single" w:sz="4" w:space="0" w:color="000000"/>
              <w:bottom w:val="single" w:sz="4" w:space="0" w:color="000000"/>
              <w:right w:val="single" w:sz="4" w:space="0" w:color="000000"/>
            </w:tcBorders>
          </w:tcPr>
          <w:p>
            <w:pPr/>
          </w:p>
        </w:tc>
      </w:tr>
      <w:tr>
        <w:trPr>
          <w:trHeight w:val="341" w:hRule="exact"/>
        </w:trPr>
        <w:tc>
          <w:tcPr>
            <w:tcW w:w="49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pacing w:val="-4"/>
                <w:sz w:val="18"/>
                <w:szCs w:val="18"/>
              </w:rPr>
              <w:t>根据《财政部关于修订印发一般企业财务报表格式的通知》（财</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资产处置收益</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-440,829.71</w:t>
            </w:r>
          </w:p>
        </w:tc>
      </w:tr>
      <w:tr>
        <w:trPr>
          <w:trHeight w:val="343" w:hRule="exact"/>
        </w:trPr>
        <w:tc>
          <w:tcPr>
            <w:tcW w:w="4964" w:type="dxa"/>
            <w:tcBorders>
              <w:top w:val="nil" w:sz="6" w:space="0" w:color="auto"/>
              <w:left w:val="single" w:sz="4" w:space="0" w:color="000000"/>
              <w:bottom w:val="nil" w:sz="6" w:space="0" w:color="auto"/>
              <w:right w:val="single" w:sz="4" w:space="0" w:color="000000"/>
            </w:tcBorders>
          </w:tcPr>
          <w:p>
            <w:pPr>
              <w:pStyle w:val="TableParagraph"/>
              <w:spacing w:line="243" w:lineRule="exact"/>
              <w:ind w:left="7" w:right="0"/>
              <w:jc w:val="left"/>
              <w:rPr>
                <w:rFonts w:ascii="宋体" w:hAnsi="宋体" w:cs="宋体" w:eastAsia="宋体" w:hint="default"/>
                <w:sz w:val="18"/>
                <w:szCs w:val="18"/>
              </w:rPr>
            </w:pPr>
            <w:r>
              <w:rPr>
                <w:rFonts w:ascii="宋体" w:hAnsi="宋体" w:cs="宋体" w:eastAsia="宋体" w:hint="default"/>
                <w:spacing w:val="-3"/>
                <w:sz w:val="18"/>
                <w:szCs w:val="18"/>
              </w:rPr>
              <w:t>会〔</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30</w:t>
            </w:r>
            <w:r>
              <w:rPr>
                <w:rFonts w:ascii="宋体" w:hAnsi="宋体" w:cs="宋体" w:eastAsia="宋体" w:hint="default"/>
                <w:spacing w:val="-3"/>
                <w:sz w:val="18"/>
                <w:szCs w:val="18"/>
              </w:rPr>
              <w:t>号），利润表增加</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资产处置收益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项目，相应调整</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营业外收入</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-261,824.14</w:t>
            </w:r>
          </w:p>
        </w:tc>
      </w:tr>
      <w:tr>
        <w:trPr>
          <w:trHeight w:val="341" w:hRule="exact"/>
        </w:trPr>
        <w:tc>
          <w:tcPr>
            <w:tcW w:w="4964" w:type="dxa"/>
            <w:tcBorders>
              <w:top w:val="nil" w:sz="6" w:space="0" w:color="auto"/>
              <w:left w:val="single" w:sz="4" w:space="0" w:color="000000"/>
              <w:bottom w:val="single" w:sz="4" w:space="0" w:color="000000"/>
              <w:right w:val="single" w:sz="4" w:space="0" w:color="000000"/>
            </w:tcBorders>
          </w:tcPr>
          <w:p>
            <w:pPr>
              <w:pStyle w:val="TableParagraph"/>
              <w:spacing w:line="198" w:lineRule="exact"/>
              <w:ind w:left="7" w:right="0"/>
              <w:jc w:val="left"/>
              <w:rPr>
                <w:rFonts w:ascii="宋体" w:hAnsi="宋体" w:cs="宋体" w:eastAsia="宋体" w:hint="default"/>
                <w:sz w:val="18"/>
                <w:szCs w:val="18"/>
              </w:rPr>
            </w:pPr>
            <w:r>
              <w:rPr>
                <w:rFonts w:ascii="宋体" w:hAnsi="宋体" w:cs="宋体" w:eastAsia="宋体" w:hint="default"/>
                <w:sz w:val="18"/>
                <w:szCs w:val="18"/>
              </w:rPr>
              <w:t>比较报表。</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0"/>
              <w:jc w:val="center"/>
              <w:rPr>
                <w:rFonts w:ascii="宋体" w:hAnsi="宋体" w:cs="宋体" w:eastAsia="宋体" w:hint="default"/>
                <w:sz w:val="18"/>
                <w:szCs w:val="18"/>
              </w:rPr>
            </w:pPr>
            <w:r>
              <w:rPr>
                <w:rFonts w:ascii="宋体" w:hAnsi="宋体" w:cs="宋体" w:eastAsia="宋体" w:hint="default"/>
                <w:sz w:val="18"/>
                <w:szCs w:val="18"/>
              </w:rPr>
              <w:t>营业外支出</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-702,653.85</w:t>
            </w:r>
          </w:p>
        </w:tc>
      </w:tr>
    </w:tbl>
    <w:p>
      <w:pPr>
        <w:spacing w:line="240" w:lineRule="auto" w:before="1"/>
        <w:rPr>
          <w:rFonts w:ascii="宋体" w:hAnsi="宋体" w:cs="宋体" w:eastAsia="宋体" w:hint="default"/>
          <w:sz w:val="18"/>
          <w:szCs w:val="18"/>
        </w:rPr>
      </w:pPr>
    </w:p>
    <w:p>
      <w:pPr>
        <w:pStyle w:val="Heading3"/>
        <w:spacing w:line="240" w:lineRule="auto" w:before="26"/>
        <w:ind w:right="0"/>
        <w:jc w:val="left"/>
        <w:rPr>
          <w:b w:val="0"/>
          <w:bCs w:val="0"/>
        </w:rPr>
      </w:pPr>
      <w:r>
        <w:rPr/>
        <w:t>七、报告期内发生重大会计差错更正需追溯重述的情况说明</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56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公司报告期无重大会计差错更正需追溯重述的情况。</w:t>
      </w:r>
    </w:p>
    <w:p>
      <w:pPr>
        <w:spacing w:line="240" w:lineRule="auto" w:before="8"/>
        <w:rPr>
          <w:rFonts w:ascii="宋体" w:hAnsi="宋体" w:cs="宋体" w:eastAsia="宋体" w:hint="default"/>
          <w:sz w:val="19"/>
          <w:szCs w:val="19"/>
        </w:rPr>
      </w:pPr>
    </w:p>
    <w:p>
      <w:pPr>
        <w:pStyle w:val="Heading3"/>
        <w:spacing w:line="240" w:lineRule="auto"/>
        <w:ind w:right="0"/>
        <w:jc w:val="left"/>
        <w:rPr>
          <w:b w:val="0"/>
          <w:bCs w:val="0"/>
        </w:rPr>
      </w:pPr>
      <w:r>
        <w:rPr/>
        <w:t>八、与上年度财务报告相比，合并报表范围发生变化的情况说明</w:t>
      </w:r>
      <w:r>
        <w:rPr>
          <w:b w:val="0"/>
          <w:bCs w:val="0"/>
        </w:rPr>
      </w:r>
    </w:p>
    <w:p>
      <w:pPr>
        <w:spacing w:line="240" w:lineRule="auto" w:before="6"/>
        <w:rPr>
          <w:rFonts w:ascii="宋体" w:hAnsi="宋体" w:cs="宋体" w:eastAsia="宋体" w:hint="default"/>
          <w:b/>
          <w:bCs/>
          <w:sz w:val="26"/>
          <w:szCs w:val="26"/>
        </w:rPr>
      </w:pPr>
    </w:p>
    <w:p>
      <w:pPr>
        <w:pStyle w:val="BodyText"/>
        <w:spacing w:line="348" w:lineRule="auto"/>
        <w:ind w:right="23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 本报告期内，公司投资设立全资子公司四维图新新加坡有限公司，自设立之日起将其纳入合并报表范围。 本报告期内，公司全资收购合肥杰发科技有限公司，自交割完成日起将其纳入合并报表范围。</w:t>
      </w:r>
    </w:p>
    <w:p>
      <w:pPr>
        <w:pStyle w:val="BodyText"/>
        <w:spacing w:line="316" w:lineRule="auto" w:before="36"/>
        <w:ind w:right="0"/>
        <w:jc w:val="left"/>
      </w:pPr>
      <w:r>
        <w:rPr>
          <w:spacing w:val="-2"/>
        </w:rPr>
        <w:t>本报告期内，其他股东对北京图新数聚科技有限公司增资，本公司失去对北京图新数聚科技有限公司的控制权，不再将其纳</w:t>
      </w:r>
      <w:r>
        <w:rPr>
          <w:spacing w:val="-63"/>
        </w:rPr>
        <w:t> </w:t>
      </w:r>
      <w:r>
        <w:rPr>
          <w:spacing w:val="-63"/>
        </w:rPr>
      </w:r>
      <w:r>
        <w:rPr/>
        <w:t>入合并报表范围。</w:t>
      </w:r>
    </w:p>
    <w:p>
      <w:pPr>
        <w:spacing w:after="0" w:line="316" w:lineRule="auto"/>
        <w:jc w:val="left"/>
        <w:sectPr>
          <w:pgSz w:w="11910" w:h="16840"/>
          <w:pgMar w:header="745" w:footer="979" w:top="1060" w:bottom="1160" w:left="980" w:right="980"/>
        </w:sectPr>
      </w:pPr>
    </w:p>
    <w:p>
      <w:pPr>
        <w:spacing w:line="240" w:lineRule="auto" w:before="8"/>
        <w:rPr>
          <w:rFonts w:ascii="宋体" w:hAnsi="宋体" w:cs="宋体" w:eastAsia="宋体" w:hint="default"/>
          <w:sz w:val="23"/>
          <w:szCs w:val="23"/>
        </w:rPr>
      </w:pPr>
    </w:p>
    <w:p>
      <w:pPr>
        <w:pStyle w:val="Heading3"/>
        <w:spacing w:line="240" w:lineRule="auto" w:before="26"/>
        <w:ind w:right="0"/>
        <w:jc w:val="left"/>
        <w:rPr>
          <w:b w:val="0"/>
          <w:bCs w:val="0"/>
        </w:rPr>
      </w:pPr>
      <w:r>
        <w:rPr/>
        <w:t>九、聘任、解聘会计师事务所情况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现聘任的会计师事务所</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190</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十一年</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季晟、彭旭</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三年</w:t>
            </w:r>
          </w:p>
        </w:tc>
      </w:tr>
    </w:tbl>
    <w:p>
      <w:pPr>
        <w:pStyle w:val="BodyText"/>
        <w:spacing w:line="240" w:lineRule="auto" w:before="49"/>
        <w:ind w:right="0"/>
        <w:jc w:val="left"/>
      </w:pPr>
      <w:r>
        <w:rPr/>
        <w:t>当期是否改聘会计师事务所</w:t>
      </w:r>
    </w:p>
    <w:p>
      <w:pPr>
        <w:pStyle w:val="BodyText"/>
        <w:spacing w:line="340" w:lineRule="auto" w:before="115"/>
        <w:ind w:right="52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聘请内部控制审计会计师事务所、财务顾问或保荐人情况</w:t>
      </w:r>
    </w:p>
    <w:p>
      <w:pPr>
        <w:pStyle w:val="BodyText"/>
        <w:spacing w:line="240" w:lineRule="auto" w:before="41"/>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3"/>
        <w:spacing w:line="240" w:lineRule="auto"/>
        <w:ind w:right="0"/>
        <w:jc w:val="left"/>
        <w:rPr>
          <w:b w:val="0"/>
          <w:bCs w:val="0"/>
        </w:rPr>
      </w:pPr>
      <w:r>
        <w:rPr/>
        <w:t>十、年度报告披露后面临暂停上市和终止上市情况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3"/>
        <w:spacing w:line="240" w:lineRule="auto"/>
        <w:ind w:right="0"/>
        <w:jc w:val="left"/>
        <w:rPr>
          <w:b w:val="0"/>
          <w:bCs w:val="0"/>
        </w:rPr>
      </w:pPr>
      <w:r>
        <w:rPr/>
        <w:t>十一、破产重整相关事项</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67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公司报告期未发生破产重整相关事项。</w:t>
      </w:r>
    </w:p>
    <w:p>
      <w:pPr>
        <w:spacing w:line="240" w:lineRule="auto" w:before="8"/>
        <w:rPr>
          <w:rFonts w:ascii="宋体" w:hAnsi="宋体" w:cs="宋体" w:eastAsia="宋体" w:hint="default"/>
          <w:sz w:val="19"/>
          <w:szCs w:val="19"/>
        </w:rPr>
      </w:pPr>
    </w:p>
    <w:p>
      <w:pPr>
        <w:pStyle w:val="Heading3"/>
        <w:spacing w:line="240" w:lineRule="auto"/>
        <w:ind w:right="0"/>
        <w:jc w:val="left"/>
        <w:rPr>
          <w:b w:val="0"/>
          <w:bCs w:val="0"/>
        </w:rPr>
      </w:pPr>
      <w:r>
        <w:rPr/>
        <w:t>十二、重大诉讼、仲裁事项</w:t>
      </w:r>
      <w:r>
        <w:rPr>
          <w:b w:val="0"/>
          <w:bCs w:val="0"/>
        </w:rPr>
      </w:r>
    </w:p>
    <w:p>
      <w:pPr>
        <w:spacing w:line="240" w:lineRule="auto" w:before="6"/>
        <w:rPr>
          <w:rFonts w:ascii="宋体" w:hAnsi="宋体" w:cs="宋体" w:eastAsia="宋体" w:hint="default"/>
          <w:b/>
          <w:bCs/>
          <w:sz w:val="26"/>
          <w:szCs w:val="26"/>
        </w:rPr>
      </w:pPr>
    </w:p>
    <w:p>
      <w:pPr>
        <w:pStyle w:val="BodyText"/>
        <w:spacing w:line="338" w:lineRule="auto"/>
        <w:ind w:right="67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本报告期公司无重大诉讼、仲裁事项。</w:t>
      </w:r>
    </w:p>
    <w:p>
      <w:pPr>
        <w:spacing w:line="240" w:lineRule="auto" w:before="8"/>
        <w:rPr>
          <w:rFonts w:ascii="宋体" w:hAnsi="宋体" w:cs="宋体" w:eastAsia="宋体" w:hint="default"/>
          <w:sz w:val="19"/>
          <w:szCs w:val="19"/>
        </w:rPr>
      </w:pPr>
    </w:p>
    <w:p>
      <w:pPr>
        <w:pStyle w:val="Heading3"/>
        <w:spacing w:line="240" w:lineRule="auto"/>
        <w:ind w:right="0"/>
        <w:jc w:val="left"/>
        <w:rPr>
          <w:b w:val="0"/>
          <w:bCs w:val="0"/>
        </w:rPr>
      </w:pPr>
      <w:r>
        <w:rPr/>
        <w:t>十三、处罚及整改情况</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68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公司报告期不存在处罚及整改情况。</w:t>
      </w:r>
    </w:p>
    <w:p>
      <w:pPr>
        <w:spacing w:line="240" w:lineRule="auto" w:before="4"/>
        <w:rPr>
          <w:rFonts w:ascii="宋体" w:hAnsi="宋体" w:cs="宋体" w:eastAsia="宋体" w:hint="default"/>
          <w:sz w:val="19"/>
          <w:szCs w:val="19"/>
        </w:rPr>
      </w:pPr>
    </w:p>
    <w:p>
      <w:pPr>
        <w:pStyle w:val="Heading3"/>
        <w:spacing w:line="240" w:lineRule="auto"/>
        <w:ind w:right="0"/>
        <w:jc w:val="left"/>
        <w:rPr>
          <w:b w:val="0"/>
          <w:bCs w:val="0"/>
        </w:rPr>
      </w:pPr>
      <w:r>
        <w:rPr/>
        <w:t>十四、公司及其控股股东、实际控制人的诚信状况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报告期内，公司第一大股东不存在未履行法院生效判决、所负数额较大的债务到期未清偿等情况。</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十五、公司股权激励计划、员工持股计划或其他员工激励措施的实施情况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Heading6"/>
        <w:spacing w:line="240" w:lineRule="auto" w:before="157"/>
        <w:ind w:left="573" w:right="0" w:firstLine="0"/>
        <w:jc w:val="left"/>
      </w:pPr>
      <w:r>
        <w:rPr>
          <w:rFonts w:ascii="Times New Roman" w:hAnsi="Times New Roman" w:cs="Times New Roman" w:eastAsia="Times New Roman" w:hint="default"/>
        </w:rPr>
        <w:t>1</w:t>
      </w:r>
      <w:r>
        <w:rPr/>
        <w:t>、公司于</w:t>
      </w:r>
      <w:r>
        <w:rPr>
          <w:spacing w:val="-4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0"/>
        </w:rPr>
        <w:t> </w:t>
      </w:r>
      <w:r>
        <w:rPr/>
        <w:t>年</w:t>
      </w:r>
      <w:r>
        <w:rPr>
          <w:spacing w:val="-40"/>
        </w:rPr>
        <w:t> </w:t>
      </w:r>
      <w:r>
        <w:rPr>
          <w:rFonts w:ascii="Times New Roman" w:hAnsi="Times New Roman" w:cs="Times New Roman" w:eastAsia="Times New Roman" w:hint="default"/>
        </w:rPr>
        <w:t>4</w:t>
      </w:r>
      <w:r>
        <w:rPr>
          <w:rFonts w:ascii="Times New Roman" w:hAnsi="Times New Roman" w:cs="Times New Roman" w:eastAsia="Times New Roman" w:hint="default"/>
          <w:spacing w:val="10"/>
        </w:rPr>
        <w:t> </w:t>
      </w:r>
      <w:r>
        <w:rPr/>
        <w:t>月</w:t>
      </w:r>
      <w:r>
        <w:rPr>
          <w:spacing w:val="-40"/>
        </w:rPr>
        <w:t> </w:t>
      </w:r>
      <w:r>
        <w:rPr>
          <w:rFonts w:ascii="Times New Roman" w:hAnsi="Times New Roman" w:cs="Times New Roman" w:eastAsia="Times New Roman" w:hint="default"/>
        </w:rPr>
        <w:t>24</w:t>
      </w:r>
      <w:r>
        <w:rPr>
          <w:rFonts w:ascii="Times New Roman" w:hAnsi="Times New Roman" w:cs="Times New Roman" w:eastAsia="Times New Roman" w:hint="default"/>
          <w:spacing w:val="13"/>
        </w:rPr>
        <w:t> </w:t>
      </w:r>
      <w:r>
        <w:rPr/>
        <w:t>日召开第三届董事会第二十八次会议，审议通过《关于回购注销部分限制</w:t>
      </w:r>
    </w:p>
    <w:p>
      <w:pPr>
        <w:pStyle w:val="Heading6"/>
        <w:spacing w:line="240" w:lineRule="auto" w:before="177"/>
        <w:ind w:right="0" w:firstLine="0"/>
        <w:jc w:val="left"/>
      </w:pPr>
      <w:r>
        <w:rPr>
          <w:w w:val="100"/>
        </w:rPr>
        <w:t>性股</w:t>
      </w:r>
      <w:r>
        <w:rPr>
          <w:spacing w:val="-3"/>
          <w:w w:val="100"/>
        </w:rPr>
        <w:t>票</w:t>
      </w:r>
      <w:r>
        <w:rPr>
          <w:w w:val="100"/>
        </w:rPr>
        <w:t>的</w:t>
      </w:r>
      <w:r>
        <w:rPr>
          <w:spacing w:val="-3"/>
          <w:w w:val="100"/>
        </w:rPr>
        <w:t>议</w:t>
      </w:r>
      <w:r>
        <w:rPr>
          <w:w w:val="100"/>
        </w:rPr>
        <w:t>案</w:t>
      </w:r>
      <w:r>
        <w:rPr>
          <w:spacing w:val="-108"/>
          <w:w w:val="100"/>
        </w:rPr>
        <w:t>》</w:t>
      </w:r>
      <w:r>
        <w:rPr>
          <w:w w:val="100"/>
        </w:rPr>
        <w:t>，</w:t>
      </w:r>
      <w:r>
        <w:rPr>
          <w:spacing w:val="-3"/>
          <w:w w:val="100"/>
        </w:rPr>
        <w:t>对</w:t>
      </w:r>
      <w:r>
        <w:rPr>
          <w:w w:val="100"/>
        </w:rPr>
        <w:t>已</w:t>
      </w:r>
      <w:r>
        <w:rPr>
          <w:spacing w:val="-3"/>
          <w:w w:val="100"/>
        </w:rPr>
        <w:t>离职</w:t>
      </w:r>
      <w:r>
        <w:rPr>
          <w:w w:val="100"/>
        </w:rPr>
        <w:t>激励</w:t>
      </w:r>
      <w:r>
        <w:rPr>
          <w:spacing w:val="-3"/>
          <w:w w:val="100"/>
        </w:rPr>
        <w:t>对</w:t>
      </w:r>
      <w:r>
        <w:rPr>
          <w:w w:val="100"/>
        </w:rPr>
        <w:t>象</w:t>
      </w:r>
      <w:r>
        <w:rPr>
          <w:spacing w:val="-3"/>
          <w:w w:val="100"/>
        </w:rPr>
        <w:t>李</w:t>
      </w:r>
      <w:r>
        <w:rPr>
          <w:w w:val="100"/>
        </w:rPr>
        <w:t>墨</w:t>
      </w:r>
      <w:r>
        <w:rPr>
          <w:spacing w:val="-3"/>
          <w:w w:val="100"/>
        </w:rPr>
        <w:t>、</w:t>
      </w:r>
      <w:r>
        <w:rPr>
          <w:w w:val="100"/>
        </w:rPr>
        <w:t>白</w:t>
      </w:r>
      <w:r>
        <w:rPr>
          <w:spacing w:val="-3"/>
          <w:w w:val="100"/>
        </w:rPr>
        <w:t>玉</w:t>
      </w:r>
      <w:r>
        <w:rPr>
          <w:w w:val="100"/>
        </w:rPr>
        <w:t>强</w:t>
      </w:r>
      <w:r>
        <w:rPr>
          <w:spacing w:val="-3"/>
          <w:w w:val="100"/>
        </w:rPr>
        <w:t>、</w:t>
      </w:r>
      <w:r>
        <w:rPr>
          <w:w w:val="100"/>
        </w:rPr>
        <w:t>李磊</w:t>
      </w:r>
      <w:r>
        <w:rPr>
          <w:spacing w:val="-3"/>
          <w:w w:val="100"/>
        </w:rPr>
        <w:t>、</w:t>
      </w:r>
      <w:r>
        <w:rPr>
          <w:w w:val="100"/>
        </w:rPr>
        <w:t>吴</w:t>
      </w:r>
      <w:r>
        <w:rPr>
          <w:spacing w:val="-3"/>
          <w:w w:val="100"/>
        </w:rPr>
        <w:t>婷</w:t>
      </w:r>
      <w:r>
        <w:rPr>
          <w:w w:val="100"/>
        </w:rPr>
        <w:t>婷</w:t>
      </w:r>
      <w:r>
        <w:rPr>
          <w:spacing w:val="-3"/>
          <w:w w:val="100"/>
        </w:rPr>
        <w:t>、</w:t>
      </w:r>
      <w:r>
        <w:rPr>
          <w:w w:val="100"/>
        </w:rPr>
        <w:t>赵</w:t>
      </w:r>
      <w:r>
        <w:rPr>
          <w:spacing w:val="-3"/>
          <w:w w:val="100"/>
        </w:rPr>
        <w:t>帆</w:t>
      </w:r>
      <w:r>
        <w:rPr>
          <w:w w:val="100"/>
        </w:rPr>
        <w:t>、</w:t>
      </w:r>
      <w:r>
        <w:rPr>
          <w:spacing w:val="-3"/>
          <w:w w:val="100"/>
        </w:rPr>
        <w:t>刘</w:t>
      </w:r>
      <w:r>
        <w:rPr>
          <w:w w:val="100"/>
        </w:rPr>
        <w:t>晓东</w:t>
      </w:r>
      <w:r>
        <w:rPr>
          <w:spacing w:val="-3"/>
          <w:w w:val="100"/>
        </w:rPr>
        <w:t>、</w:t>
      </w:r>
      <w:r>
        <w:rPr>
          <w:w w:val="100"/>
        </w:rPr>
        <w:t>李</w:t>
      </w:r>
      <w:r>
        <w:rPr>
          <w:spacing w:val="-3"/>
          <w:w w:val="100"/>
        </w:rPr>
        <w:t>晓</w:t>
      </w:r>
      <w:r>
        <w:rPr>
          <w:w w:val="100"/>
        </w:rPr>
        <w:t>华</w:t>
      </w:r>
      <w:r>
        <w:rPr>
          <w:spacing w:val="-3"/>
          <w:w w:val="100"/>
        </w:rPr>
        <w:t>共</w:t>
      </w:r>
      <w:r>
        <w:rPr>
          <w:w w:val="100"/>
        </w:rPr>
        <w:t>计</w:t>
      </w:r>
      <w:r>
        <w:rPr>
          <w:spacing w:val="-11"/>
        </w:rPr>
        <w:t> </w:t>
      </w:r>
      <w:r>
        <w:rPr>
          <w:rFonts w:ascii="Times New Roman" w:hAnsi="Times New Roman" w:cs="Times New Roman" w:eastAsia="Times New Roman" w:hint="default"/>
          <w:w w:val="100"/>
        </w:rPr>
        <w:t>7</w:t>
      </w:r>
      <w:r>
        <w:rPr>
          <w:rFonts w:ascii="Times New Roman" w:hAnsi="Times New Roman" w:cs="Times New Roman" w:eastAsia="Times New Roman" w:hint="default"/>
        </w:rPr>
        <w:t> </w:t>
      </w:r>
      <w:r>
        <w:rPr>
          <w:rFonts w:ascii="Times New Roman" w:hAnsi="Times New Roman" w:cs="Times New Roman" w:eastAsia="Times New Roman" w:hint="default"/>
          <w:spacing w:val="-12"/>
        </w:rPr>
        <w:t> </w:t>
      </w:r>
      <w:r>
        <w:rPr>
          <w:spacing w:val="-3"/>
          <w:w w:val="100"/>
        </w:rPr>
        <w:t>人原持</w:t>
      </w:r>
      <w:r>
        <w:rPr>
          <w:w w:val="100"/>
        </w:rPr>
      </w:r>
    </w:p>
    <w:p>
      <w:pPr>
        <w:spacing w:after="0" w:line="240"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pStyle w:val="Heading6"/>
        <w:spacing w:line="386" w:lineRule="auto" w:before="176"/>
        <w:ind w:right="205" w:firstLine="0"/>
        <w:jc w:val="left"/>
      </w:pPr>
      <w:r>
        <w:rPr>
          <w:w w:val="100"/>
        </w:rPr>
        <w:t>有的</w:t>
      </w:r>
      <w:r>
        <w:rPr>
          <w:spacing w:val="-3"/>
          <w:w w:val="100"/>
        </w:rPr>
        <w:t>已</w:t>
      </w:r>
      <w:r>
        <w:rPr>
          <w:w w:val="100"/>
        </w:rPr>
        <w:t>获</w:t>
      </w:r>
      <w:r>
        <w:rPr>
          <w:spacing w:val="-3"/>
          <w:w w:val="100"/>
        </w:rPr>
        <w:t>授</w:t>
      </w:r>
      <w:r>
        <w:rPr>
          <w:w w:val="100"/>
        </w:rPr>
        <w:t>但</w:t>
      </w:r>
      <w:r>
        <w:rPr>
          <w:spacing w:val="-3"/>
          <w:w w:val="100"/>
        </w:rPr>
        <w:t>尚</w:t>
      </w:r>
      <w:r>
        <w:rPr>
          <w:w w:val="100"/>
        </w:rPr>
        <w:t>未</w:t>
      </w:r>
      <w:r>
        <w:rPr>
          <w:spacing w:val="-3"/>
          <w:w w:val="100"/>
        </w:rPr>
        <w:t>解</w:t>
      </w:r>
      <w:r>
        <w:rPr>
          <w:w w:val="100"/>
        </w:rPr>
        <w:t>锁</w:t>
      </w:r>
      <w:r>
        <w:rPr>
          <w:spacing w:val="-3"/>
          <w:w w:val="100"/>
        </w:rPr>
        <w:t>的</w:t>
      </w:r>
      <w:r>
        <w:rPr>
          <w:w w:val="100"/>
        </w:rPr>
        <w:t>全部</w:t>
      </w:r>
      <w:r>
        <w:rPr>
          <w:spacing w:val="-3"/>
          <w:w w:val="100"/>
        </w:rPr>
        <w:t>限</w:t>
      </w:r>
      <w:r>
        <w:rPr>
          <w:w w:val="100"/>
        </w:rPr>
        <w:t>制</w:t>
      </w:r>
      <w:r>
        <w:rPr>
          <w:spacing w:val="-3"/>
          <w:w w:val="100"/>
        </w:rPr>
        <w:t>性</w:t>
      </w:r>
      <w:r>
        <w:rPr>
          <w:w w:val="100"/>
        </w:rPr>
        <w:t>股</w:t>
      </w:r>
      <w:r>
        <w:rPr>
          <w:spacing w:val="-3"/>
          <w:w w:val="100"/>
        </w:rPr>
        <w:t>票</w:t>
      </w:r>
      <w:r>
        <w:rPr>
          <w:w w:val="100"/>
        </w:rPr>
        <w:t>进</w:t>
      </w:r>
      <w:r>
        <w:rPr>
          <w:spacing w:val="-3"/>
          <w:w w:val="100"/>
        </w:rPr>
        <w:t>行</w:t>
      </w:r>
      <w:r>
        <w:rPr>
          <w:w w:val="100"/>
        </w:rPr>
        <w:t>回</w:t>
      </w:r>
      <w:r>
        <w:rPr>
          <w:spacing w:val="-3"/>
          <w:w w:val="100"/>
        </w:rPr>
        <w:t>购</w:t>
      </w:r>
      <w:r>
        <w:rPr>
          <w:spacing w:val="-101"/>
          <w:w w:val="100"/>
        </w:rPr>
        <w:t>，</w:t>
      </w:r>
      <w:r>
        <w:rPr>
          <w:w w:val="100"/>
        </w:rPr>
        <w:t>回购</w:t>
      </w:r>
      <w:r>
        <w:rPr>
          <w:spacing w:val="-3"/>
          <w:w w:val="100"/>
        </w:rPr>
        <w:t>数量</w:t>
      </w:r>
      <w:r>
        <w:rPr>
          <w:w w:val="100"/>
        </w:rPr>
        <w:t>为</w:t>
      </w:r>
      <w:r>
        <w:rPr>
          <w:spacing w:val="-52"/>
        </w:rPr>
        <w:t> </w:t>
      </w:r>
      <w:r>
        <w:rPr>
          <w:rFonts w:ascii="Times New Roman" w:hAnsi="Times New Roman" w:cs="Times New Roman" w:eastAsia="Times New Roman" w:hint="default"/>
          <w:w w:val="100"/>
        </w:rPr>
        <w:t>254</w:t>
      </w:r>
      <w:r>
        <w:rPr>
          <w:rFonts w:ascii="Times New Roman" w:hAnsi="Times New Roman" w:cs="Times New Roman" w:eastAsia="Times New Roman" w:hint="default"/>
          <w:spacing w:val="-3"/>
          <w:w w:val="100"/>
        </w:rPr>
        <w:t>,</w:t>
      </w:r>
      <w:r>
        <w:rPr>
          <w:rFonts w:ascii="Times New Roman" w:hAnsi="Times New Roman" w:cs="Times New Roman" w:eastAsia="Times New Roman" w:hint="default"/>
          <w:w w:val="100"/>
        </w:rPr>
        <w:t>000</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w w:val="100"/>
        </w:rPr>
        <w:t>股</w:t>
      </w:r>
      <w:r>
        <w:rPr>
          <w:spacing w:val="-101"/>
          <w:w w:val="100"/>
        </w:rPr>
        <w:t>，</w:t>
      </w:r>
      <w:r>
        <w:rPr>
          <w:spacing w:val="-3"/>
          <w:w w:val="100"/>
        </w:rPr>
        <w:t>占</w:t>
      </w:r>
      <w:r>
        <w:rPr>
          <w:w w:val="100"/>
        </w:rPr>
        <w:t>公司</w:t>
      </w:r>
      <w:r>
        <w:rPr>
          <w:spacing w:val="-3"/>
          <w:w w:val="100"/>
        </w:rPr>
        <w:t>股</w:t>
      </w:r>
      <w:r>
        <w:rPr>
          <w:w w:val="100"/>
        </w:rPr>
        <w:t>本</w:t>
      </w:r>
      <w:r>
        <w:rPr>
          <w:spacing w:val="-3"/>
          <w:w w:val="100"/>
        </w:rPr>
        <w:t>总额</w:t>
      </w:r>
      <w:r>
        <w:rPr>
          <w:w w:val="100"/>
        </w:rPr>
        <w:t>的</w:t>
      </w:r>
      <w:r>
        <w:rPr>
          <w:spacing w:val="-52"/>
        </w:rPr>
        <w:t> </w:t>
      </w:r>
      <w:r>
        <w:rPr>
          <w:rFonts w:ascii="Times New Roman" w:hAnsi="Times New Roman" w:cs="Times New Roman" w:eastAsia="Times New Roman" w:hint="default"/>
          <w:w w:val="100"/>
        </w:rPr>
        <w:t>0.0</w:t>
      </w:r>
      <w:r>
        <w:rPr>
          <w:rFonts w:ascii="Times New Roman" w:hAnsi="Times New Roman" w:cs="Times New Roman" w:eastAsia="Times New Roman" w:hint="default"/>
          <w:spacing w:val="-3"/>
          <w:w w:val="100"/>
        </w:rPr>
        <w:t>1</w:t>
      </w:r>
      <w:r>
        <w:rPr>
          <w:rFonts w:ascii="Times New Roman" w:hAnsi="Times New Roman" w:cs="Times New Roman" w:eastAsia="Times New Roman" w:hint="default"/>
          <w:w w:val="100"/>
        </w:rPr>
        <w:t>98</w:t>
      </w:r>
      <w:r>
        <w:rPr>
          <w:rFonts w:ascii="Times New Roman" w:hAnsi="Times New Roman" w:cs="Times New Roman" w:eastAsia="Times New Roman" w:hint="default"/>
          <w:spacing w:val="-4"/>
          <w:w w:val="100"/>
        </w:rPr>
        <w:t>%</w:t>
      </w:r>
      <w:r>
        <w:rPr>
          <w:w w:val="100"/>
        </w:rPr>
        <w:t>， 回购</w:t>
      </w:r>
      <w:r>
        <w:rPr>
          <w:spacing w:val="-3"/>
          <w:w w:val="100"/>
        </w:rPr>
        <w:t>价格</w:t>
      </w:r>
      <w:r>
        <w:rPr>
          <w:w w:val="100"/>
        </w:rPr>
        <w:t>为</w:t>
      </w:r>
      <w:r>
        <w:rPr>
          <w:spacing w:val="-52"/>
        </w:rPr>
        <w:t> </w:t>
      </w:r>
      <w:r>
        <w:rPr>
          <w:rFonts w:ascii="Times New Roman" w:hAnsi="Times New Roman" w:cs="Times New Roman" w:eastAsia="Times New Roman" w:hint="default"/>
          <w:w w:val="100"/>
        </w:rPr>
        <w:t>7.4</w:t>
      </w:r>
      <w:r>
        <w:rPr>
          <w:rFonts w:ascii="Times New Roman" w:hAnsi="Times New Roman" w:cs="Times New Roman" w:eastAsia="Times New Roman" w:hint="default"/>
          <w:spacing w:val="-3"/>
          <w:w w:val="100"/>
        </w:rPr>
        <w:t>8</w:t>
      </w:r>
      <w:r>
        <w:rPr>
          <w:rFonts w:ascii="Times New Roman" w:hAnsi="Times New Roman" w:cs="Times New Roman" w:eastAsia="Times New Roman" w:hint="default"/>
          <w:w w:val="100"/>
        </w:rPr>
        <w:t>27</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w w:val="100"/>
        </w:rPr>
        <w:t>元</w:t>
      </w:r>
      <w:r>
        <w:rPr>
          <w:rFonts w:ascii="Times New Roman" w:hAnsi="Times New Roman" w:cs="Times New Roman" w:eastAsia="Times New Roman" w:hint="default"/>
          <w:spacing w:val="-2"/>
          <w:w w:val="100"/>
        </w:rPr>
        <w:t>/</w:t>
      </w:r>
      <w:r>
        <w:rPr>
          <w:spacing w:val="-3"/>
          <w:w w:val="100"/>
        </w:rPr>
        <w:t>股</w:t>
      </w:r>
      <w:r>
        <w:rPr>
          <w:spacing w:val="-8"/>
          <w:w w:val="100"/>
        </w:rPr>
        <w:t>。</w:t>
      </w:r>
      <w:r>
        <w:rPr>
          <w:rFonts w:ascii="Times New Roman" w:hAnsi="Times New Roman" w:cs="Times New Roman" w:eastAsia="Times New Roman" w:hint="default"/>
          <w:w w:val="100"/>
        </w:rPr>
        <w:t>20</w:t>
      </w:r>
      <w:r>
        <w:rPr>
          <w:rFonts w:ascii="Times New Roman" w:hAnsi="Times New Roman" w:cs="Times New Roman" w:eastAsia="Times New Roman" w:hint="default"/>
          <w:spacing w:val="-3"/>
          <w:w w:val="100"/>
        </w:rPr>
        <w:t>1</w:t>
      </w:r>
      <w:r>
        <w:rPr>
          <w:rFonts w:ascii="Times New Roman" w:hAnsi="Times New Roman" w:cs="Times New Roman" w:eastAsia="Times New Roman" w:hint="default"/>
          <w:w w:val="100"/>
        </w:rPr>
        <w:t>7</w:t>
      </w:r>
      <w:r>
        <w:rPr>
          <w:rFonts w:ascii="Times New Roman" w:hAnsi="Times New Roman" w:cs="Times New Roman" w:eastAsia="Times New Roman" w:hint="default"/>
        </w:rPr>
        <w:t> </w:t>
      </w:r>
      <w:r>
        <w:rPr>
          <w:w w:val="100"/>
        </w:rPr>
        <w:t>年</w:t>
      </w:r>
      <w:r>
        <w:rPr>
          <w:spacing w:val="-53"/>
        </w:rPr>
        <w:t> </w:t>
      </w:r>
      <w:r>
        <w:rPr>
          <w:rFonts w:ascii="Times New Roman" w:hAnsi="Times New Roman" w:cs="Times New Roman" w:eastAsia="Times New Roman" w:hint="default"/>
          <w:w w:val="100"/>
        </w:rPr>
        <w:t>5</w:t>
      </w:r>
      <w:r>
        <w:rPr>
          <w:rFonts w:ascii="Times New Roman" w:hAnsi="Times New Roman" w:cs="Times New Roman" w:eastAsia="Times New Roman" w:hint="default"/>
          <w:spacing w:val="-3"/>
        </w:rPr>
        <w:t> </w:t>
      </w:r>
      <w:r>
        <w:rPr>
          <w:w w:val="100"/>
        </w:rPr>
        <w:t>月</w:t>
      </w:r>
      <w:r>
        <w:rPr>
          <w:spacing w:val="-53"/>
        </w:rPr>
        <w:t> </w:t>
      </w:r>
      <w:r>
        <w:rPr>
          <w:rFonts w:ascii="Times New Roman" w:hAnsi="Times New Roman" w:cs="Times New Roman" w:eastAsia="Times New Roman" w:hint="default"/>
          <w:spacing w:val="-3"/>
          <w:w w:val="100"/>
        </w:rPr>
        <w:t>2</w:t>
      </w:r>
      <w:r>
        <w:rPr>
          <w:rFonts w:ascii="Times New Roman" w:hAnsi="Times New Roman" w:cs="Times New Roman" w:eastAsia="Times New Roman" w:hint="default"/>
          <w:w w:val="100"/>
        </w:rPr>
        <w:t>7</w:t>
      </w:r>
      <w:r>
        <w:rPr>
          <w:rFonts w:ascii="Times New Roman" w:hAnsi="Times New Roman" w:cs="Times New Roman" w:eastAsia="Times New Roman" w:hint="default"/>
        </w:rPr>
        <w:t> </w:t>
      </w:r>
      <w:r>
        <w:rPr>
          <w:spacing w:val="-3"/>
          <w:w w:val="100"/>
        </w:rPr>
        <w:t>日</w:t>
      </w:r>
      <w:r>
        <w:rPr>
          <w:spacing w:val="-8"/>
          <w:w w:val="100"/>
        </w:rPr>
        <w:t>，</w:t>
      </w:r>
      <w:r>
        <w:rPr>
          <w:spacing w:val="-3"/>
          <w:w w:val="100"/>
        </w:rPr>
        <w:t>公司</w:t>
      </w:r>
      <w:r>
        <w:rPr>
          <w:w w:val="100"/>
        </w:rPr>
        <w:t>披</w:t>
      </w:r>
      <w:r>
        <w:rPr>
          <w:spacing w:val="-8"/>
          <w:w w:val="100"/>
        </w:rPr>
        <w:t>露</w:t>
      </w:r>
      <w:r>
        <w:rPr>
          <w:spacing w:val="-3"/>
          <w:w w:val="100"/>
        </w:rPr>
        <w:t>《</w:t>
      </w:r>
      <w:r>
        <w:rPr>
          <w:w w:val="100"/>
        </w:rPr>
        <w:t>关</w:t>
      </w:r>
      <w:r>
        <w:rPr>
          <w:spacing w:val="-3"/>
          <w:w w:val="100"/>
        </w:rPr>
        <w:t>于</w:t>
      </w:r>
      <w:r>
        <w:rPr>
          <w:w w:val="100"/>
        </w:rPr>
        <w:t>部</w:t>
      </w:r>
      <w:r>
        <w:rPr>
          <w:spacing w:val="-3"/>
          <w:w w:val="100"/>
        </w:rPr>
        <w:t>分</w:t>
      </w:r>
      <w:r>
        <w:rPr>
          <w:w w:val="100"/>
        </w:rPr>
        <w:t>限</w:t>
      </w:r>
      <w:r>
        <w:rPr>
          <w:spacing w:val="-3"/>
          <w:w w:val="100"/>
        </w:rPr>
        <w:t>制</w:t>
      </w:r>
      <w:r>
        <w:rPr>
          <w:w w:val="100"/>
        </w:rPr>
        <w:t>性</w:t>
      </w:r>
      <w:r>
        <w:rPr>
          <w:spacing w:val="-3"/>
          <w:w w:val="100"/>
        </w:rPr>
        <w:t>股</w:t>
      </w:r>
      <w:r>
        <w:rPr>
          <w:w w:val="100"/>
        </w:rPr>
        <w:t>票回</w:t>
      </w:r>
      <w:r>
        <w:rPr>
          <w:spacing w:val="-3"/>
          <w:w w:val="100"/>
        </w:rPr>
        <w:t>购</w:t>
      </w:r>
      <w:r>
        <w:rPr>
          <w:w w:val="100"/>
        </w:rPr>
        <w:t>注</w:t>
      </w:r>
      <w:r>
        <w:rPr>
          <w:spacing w:val="-3"/>
          <w:w w:val="100"/>
        </w:rPr>
        <w:t>销</w:t>
      </w:r>
      <w:r>
        <w:rPr>
          <w:w w:val="100"/>
        </w:rPr>
        <w:t>完</w:t>
      </w:r>
      <w:r>
        <w:rPr>
          <w:spacing w:val="-3"/>
          <w:w w:val="100"/>
        </w:rPr>
        <w:t>成</w:t>
      </w:r>
      <w:r>
        <w:rPr>
          <w:w w:val="100"/>
        </w:rPr>
        <w:t>的</w:t>
      </w:r>
      <w:r>
        <w:rPr>
          <w:spacing w:val="-3"/>
          <w:w w:val="100"/>
        </w:rPr>
        <w:t>公</w:t>
      </w:r>
      <w:r>
        <w:rPr>
          <w:w w:val="100"/>
        </w:rPr>
        <w:t>告</w:t>
      </w:r>
      <w:r>
        <w:rPr>
          <w:spacing w:val="-108"/>
          <w:w w:val="100"/>
        </w:rPr>
        <w:t>》</w:t>
      </w:r>
      <w:r>
        <w:rPr>
          <w:spacing w:val="-10"/>
          <w:w w:val="100"/>
        </w:rPr>
        <w:t>，</w:t>
      </w:r>
      <w:r>
        <w:rPr>
          <w:w w:val="100"/>
        </w:rPr>
        <w:t>公</w:t>
      </w:r>
    </w:p>
    <w:p>
      <w:pPr>
        <w:pStyle w:val="Heading6"/>
        <w:spacing w:line="240" w:lineRule="auto" w:before="35"/>
        <w:ind w:right="0" w:firstLine="0"/>
        <w:jc w:val="left"/>
      </w:pPr>
      <w:r>
        <w:rPr/>
        <w:t>司已于</w:t>
      </w:r>
      <w:r>
        <w:rPr>
          <w:spacing w:val="-39"/>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3"/>
        </w:rPr>
        <w:t> </w:t>
      </w:r>
      <w:r>
        <w:rPr/>
        <w:t>年</w:t>
      </w:r>
      <w:r>
        <w:rPr>
          <w:spacing w:val="-43"/>
        </w:rPr>
        <w:t> </w:t>
      </w:r>
      <w:r>
        <w:rPr>
          <w:rFonts w:ascii="Times New Roman" w:hAnsi="Times New Roman" w:cs="Times New Roman" w:eastAsia="Times New Roman" w:hint="default"/>
        </w:rPr>
        <w:t>5</w:t>
      </w:r>
      <w:r>
        <w:rPr>
          <w:rFonts w:ascii="Times New Roman" w:hAnsi="Times New Roman" w:cs="Times New Roman" w:eastAsia="Times New Roman" w:hint="default"/>
          <w:spacing w:val="13"/>
        </w:rPr>
        <w:t> </w:t>
      </w:r>
      <w:r>
        <w:rPr/>
        <w:t>月</w:t>
      </w:r>
      <w:r>
        <w:rPr>
          <w:spacing w:val="-43"/>
        </w:rPr>
        <w:t> </w:t>
      </w:r>
      <w:r>
        <w:rPr>
          <w:rFonts w:ascii="Times New Roman" w:hAnsi="Times New Roman" w:cs="Times New Roman" w:eastAsia="Times New Roman" w:hint="default"/>
        </w:rPr>
        <w:t>26</w:t>
      </w:r>
      <w:r>
        <w:rPr>
          <w:rFonts w:ascii="Times New Roman" w:hAnsi="Times New Roman" w:cs="Times New Roman" w:eastAsia="Times New Roman" w:hint="default"/>
          <w:spacing w:val="13"/>
        </w:rPr>
        <w:t> </w:t>
      </w:r>
      <w:r>
        <w:rPr/>
        <w:t>日在中国证券登记结算有限责任公司深圳分公司完成限制性股票的回购注销手续。</w:t>
      </w:r>
    </w:p>
    <w:p>
      <w:pPr>
        <w:spacing w:line="240" w:lineRule="auto" w:before="9"/>
        <w:rPr>
          <w:rFonts w:ascii="宋体" w:hAnsi="宋体" w:cs="宋体" w:eastAsia="宋体" w:hint="default"/>
          <w:sz w:val="16"/>
          <w:szCs w:val="16"/>
        </w:rPr>
      </w:pPr>
    </w:p>
    <w:p>
      <w:pPr>
        <w:pStyle w:val="Heading6"/>
        <w:spacing w:line="240" w:lineRule="auto" w:before="0"/>
        <w:ind w:left="573" w:right="0" w:firstLine="0"/>
        <w:jc w:val="left"/>
      </w:pPr>
      <w:r>
        <w:rPr/>
        <w:t>公司于</w:t>
      </w:r>
      <w:r>
        <w:rPr>
          <w:spacing w:val="-4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3"/>
        </w:rPr>
        <w:t> </w:t>
      </w:r>
      <w:r>
        <w:rPr/>
        <w:t>年</w:t>
      </w:r>
      <w:r>
        <w:rPr>
          <w:spacing w:val="-43"/>
        </w:rPr>
        <w:t> </w:t>
      </w:r>
      <w:r>
        <w:rPr>
          <w:rFonts w:ascii="Times New Roman" w:hAnsi="Times New Roman" w:cs="Times New Roman" w:eastAsia="Times New Roman" w:hint="default"/>
        </w:rPr>
        <w:t>4</w:t>
      </w:r>
      <w:r>
        <w:rPr>
          <w:rFonts w:ascii="Times New Roman" w:hAnsi="Times New Roman" w:cs="Times New Roman" w:eastAsia="Times New Roman" w:hint="default"/>
          <w:spacing w:val="13"/>
        </w:rPr>
        <w:t> </w:t>
      </w:r>
      <w:r>
        <w:rPr/>
        <w:t>月</w:t>
      </w:r>
      <w:r>
        <w:rPr>
          <w:spacing w:val="-43"/>
        </w:rPr>
        <w:t> </w:t>
      </w:r>
      <w:r>
        <w:rPr>
          <w:rFonts w:ascii="Times New Roman" w:hAnsi="Times New Roman" w:cs="Times New Roman" w:eastAsia="Times New Roman" w:hint="default"/>
        </w:rPr>
        <w:t>24</w:t>
      </w:r>
      <w:r>
        <w:rPr>
          <w:rFonts w:ascii="Times New Roman" w:hAnsi="Times New Roman" w:cs="Times New Roman" w:eastAsia="Times New Roman" w:hint="default"/>
          <w:spacing w:val="13"/>
        </w:rPr>
        <w:t> </w:t>
      </w:r>
      <w:r>
        <w:rPr>
          <w:spacing w:val="-3"/>
        </w:rPr>
        <w:t>日召开第三届董事会第二十八次会议，审议通过《关于预留限制性股票第一期</w:t>
      </w:r>
    </w:p>
    <w:p>
      <w:pPr>
        <w:pStyle w:val="Heading6"/>
        <w:spacing w:line="240" w:lineRule="auto" w:before="177"/>
        <w:ind w:right="0" w:firstLine="0"/>
        <w:jc w:val="left"/>
        <w:rPr>
          <w:rFonts w:ascii="Times New Roman" w:hAnsi="Times New Roman" w:cs="Times New Roman" w:eastAsia="Times New Roman" w:hint="default"/>
        </w:rPr>
      </w:pPr>
      <w:r>
        <w:rPr>
          <w:w w:val="100"/>
        </w:rPr>
        <w:t>解锁</w:t>
      </w:r>
      <w:r>
        <w:rPr>
          <w:spacing w:val="-3"/>
          <w:w w:val="100"/>
        </w:rPr>
        <w:t>的</w:t>
      </w:r>
      <w:r>
        <w:rPr>
          <w:w w:val="100"/>
        </w:rPr>
        <w:t>议</w:t>
      </w:r>
      <w:r>
        <w:rPr>
          <w:spacing w:val="-3"/>
          <w:w w:val="100"/>
        </w:rPr>
        <w:t>案</w:t>
      </w:r>
      <w:r>
        <w:rPr>
          <w:spacing w:val="-108"/>
          <w:w w:val="100"/>
        </w:rPr>
        <w:t>》</w:t>
      </w:r>
      <w:r>
        <w:rPr>
          <w:spacing w:val="-63"/>
          <w:w w:val="100"/>
        </w:rPr>
        <w:t>，</w:t>
      </w:r>
      <w:r>
        <w:rPr>
          <w:spacing w:val="-3"/>
          <w:w w:val="100"/>
        </w:rPr>
        <w:t>公</w:t>
      </w:r>
      <w:r>
        <w:rPr>
          <w:w w:val="100"/>
        </w:rPr>
        <w:t>司</w:t>
      </w:r>
      <w:r>
        <w:rPr>
          <w:spacing w:val="-3"/>
          <w:w w:val="100"/>
        </w:rPr>
        <w:t>预</w:t>
      </w:r>
      <w:r>
        <w:rPr>
          <w:w w:val="100"/>
        </w:rPr>
        <w:t>留</w:t>
      </w:r>
      <w:r>
        <w:rPr>
          <w:spacing w:val="-3"/>
          <w:w w:val="100"/>
        </w:rPr>
        <w:t>授</w:t>
      </w:r>
      <w:r>
        <w:rPr>
          <w:w w:val="100"/>
        </w:rPr>
        <w:t>予的</w:t>
      </w:r>
      <w:r>
        <w:rPr>
          <w:spacing w:val="-3"/>
          <w:w w:val="100"/>
        </w:rPr>
        <w:t>限</w:t>
      </w:r>
      <w:r>
        <w:rPr>
          <w:w w:val="100"/>
        </w:rPr>
        <w:t>制</w:t>
      </w:r>
      <w:r>
        <w:rPr>
          <w:spacing w:val="-3"/>
          <w:w w:val="100"/>
        </w:rPr>
        <w:t>性</w:t>
      </w:r>
      <w:r>
        <w:rPr>
          <w:w w:val="100"/>
        </w:rPr>
        <w:t>股</w:t>
      </w:r>
      <w:r>
        <w:rPr>
          <w:spacing w:val="-3"/>
          <w:w w:val="100"/>
        </w:rPr>
        <w:t>票</w:t>
      </w:r>
      <w:r>
        <w:rPr>
          <w:w w:val="100"/>
        </w:rPr>
        <w:t>第</w:t>
      </w:r>
      <w:r>
        <w:rPr>
          <w:spacing w:val="-3"/>
          <w:w w:val="100"/>
        </w:rPr>
        <w:t>一</w:t>
      </w:r>
      <w:r>
        <w:rPr>
          <w:w w:val="100"/>
        </w:rPr>
        <w:t>期</w:t>
      </w:r>
      <w:r>
        <w:rPr>
          <w:spacing w:val="-3"/>
          <w:w w:val="100"/>
        </w:rPr>
        <w:t>解</w:t>
      </w:r>
      <w:r>
        <w:rPr>
          <w:w w:val="100"/>
        </w:rPr>
        <w:t>锁条</w:t>
      </w:r>
      <w:r>
        <w:rPr>
          <w:spacing w:val="-3"/>
          <w:w w:val="100"/>
        </w:rPr>
        <w:t>件</w:t>
      </w:r>
      <w:r>
        <w:rPr>
          <w:w w:val="100"/>
        </w:rPr>
        <w:t>已</w:t>
      </w:r>
      <w:r>
        <w:rPr>
          <w:spacing w:val="-3"/>
          <w:w w:val="100"/>
        </w:rPr>
        <w:t>全</w:t>
      </w:r>
      <w:r>
        <w:rPr>
          <w:w w:val="100"/>
        </w:rPr>
        <w:t>部</w:t>
      </w:r>
      <w:r>
        <w:rPr>
          <w:spacing w:val="-3"/>
          <w:w w:val="100"/>
        </w:rPr>
        <w:t>成就</w:t>
      </w:r>
      <w:r>
        <w:rPr>
          <w:spacing w:val="-63"/>
          <w:w w:val="100"/>
        </w:rPr>
        <w:t>，</w:t>
      </w:r>
      <w:r>
        <w:rPr>
          <w:spacing w:val="-3"/>
          <w:w w:val="100"/>
        </w:rPr>
        <w:t>同</w:t>
      </w:r>
      <w:r>
        <w:rPr>
          <w:w w:val="100"/>
        </w:rPr>
        <w:t>意</w:t>
      </w:r>
      <w:r>
        <w:rPr>
          <w:spacing w:val="-53"/>
        </w:rPr>
        <w:t> </w:t>
      </w:r>
      <w:r>
        <w:rPr>
          <w:rFonts w:ascii="Times New Roman" w:hAnsi="Times New Roman" w:cs="Times New Roman" w:eastAsia="Times New Roman" w:hint="default"/>
          <w:spacing w:val="-3"/>
          <w:w w:val="100"/>
        </w:rPr>
        <w:t>7</w:t>
      </w:r>
      <w:r>
        <w:rPr>
          <w:rFonts w:ascii="Times New Roman" w:hAnsi="Times New Roman" w:cs="Times New Roman" w:eastAsia="Times New Roman" w:hint="default"/>
          <w:w w:val="100"/>
        </w:rPr>
        <w:t>6</w:t>
      </w:r>
      <w:r>
        <w:rPr>
          <w:rFonts w:ascii="Times New Roman" w:hAnsi="Times New Roman" w:cs="Times New Roman" w:eastAsia="Times New Roman" w:hint="default"/>
        </w:rPr>
        <w:t> </w:t>
      </w:r>
      <w:r>
        <w:rPr>
          <w:w w:val="100"/>
        </w:rPr>
        <w:t>名</w:t>
      </w:r>
      <w:r>
        <w:rPr>
          <w:spacing w:val="-3"/>
          <w:w w:val="100"/>
        </w:rPr>
        <w:t>激</w:t>
      </w:r>
      <w:r>
        <w:rPr>
          <w:w w:val="100"/>
        </w:rPr>
        <w:t>励</w:t>
      </w:r>
      <w:r>
        <w:rPr>
          <w:spacing w:val="-3"/>
          <w:w w:val="100"/>
        </w:rPr>
        <w:t>对</w:t>
      </w:r>
      <w:r>
        <w:rPr>
          <w:w w:val="100"/>
        </w:rPr>
        <w:t>象</w:t>
      </w:r>
      <w:r>
        <w:rPr>
          <w:spacing w:val="-3"/>
          <w:w w:val="100"/>
        </w:rPr>
        <w:t>获</w:t>
      </w:r>
      <w:r>
        <w:rPr>
          <w:w w:val="100"/>
        </w:rPr>
        <w:t>授的</w:t>
      </w:r>
      <w:r>
        <w:rPr>
          <w:spacing w:val="-55"/>
        </w:rPr>
        <w:t> </w:t>
      </w:r>
      <w:r>
        <w:rPr>
          <w:rFonts w:ascii="Times New Roman" w:hAnsi="Times New Roman" w:cs="Times New Roman" w:eastAsia="Times New Roman" w:hint="default"/>
          <w:w w:val="100"/>
        </w:rPr>
        <w:t>151</w:t>
      </w:r>
      <w:r>
        <w:rPr>
          <w:rFonts w:ascii="Times New Roman" w:hAnsi="Times New Roman" w:cs="Times New Roman" w:eastAsia="Times New Roman" w:hint="default"/>
          <w:spacing w:val="-3"/>
          <w:w w:val="100"/>
        </w:rPr>
        <w:t>.5</w:t>
      </w:r>
      <w:r>
        <w:rPr>
          <w:rFonts w:ascii="Times New Roman" w:hAnsi="Times New Roman" w:cs="Times New Roman" w:eastAsia="Times New Roman" w:hint="default"/>
          <w:w w:val="100"/>
        </w:rPr>
        <w:t>75</w:t>
      </w:r>
    </w:p>
    <w:p>
      <w:pPr>
        <w:pStyle w:val="Heading6"/>
        <w:spacing w:line="240" w:lineRule="auto" w:before="177"/>
        <w:ind w:right="0" w:firstLine="0"/>
        <w:jc w:val="left"/>
      </w:pPr>
      <w:r>
        <w:rPr/>
        <w:t>万股预留限制性股票解锁。</w:t>
      </w:r>
      <w:r>
        <w:rPr>
          <w:rFonts w:ascii="Times New Roman" w:hAnsi="Times New Roman" w:cs="Times New Roman" w:eastAsia="Times New Roman" w:hint="default"/>
        </w:rPr>
        <w:t>2017</w:t>
      </w:r>
      <w:r>
        <w:rPr>
          <w:rFonts w:ascii="Times New Roman" w:hAnsi="Times New Roman" w:cs="Times New Roman" w:eastAsia="Times New Roman" w:hint="default"/>
          <w:spacing w:val="5"/>
        </w:rPr>
        <w:t> </w:t>
      </w:r>
      <w:r>
        <w:rPr/>
        <w:t>年</w:t>
      </w:r>
      <w:r>
        <w:rPr>
          <w:spacing w:val="-48"/>
        </w:rPr>
        <w:t> </w:t>
      </w:r>
      <w:r>
        <w:rPr>
          <w:rFonts w:ascii="Times New Roman" w:hAnsi="Times New Roman" w:cs="Times New Roman" w:eastAsia="Times New Roman" w:hint="default"/>
        </w:rPr>
        <w:t>6</w:t>
      </w:r>
      <w:r>
        <w:rPr>
          <w:rFonts w:ascii="Times New Roman" w:hAnsi="Times New Roman" w:cs="Times New Roman" w:eastAsia="Times New Roman" w:hint="default"/>
          <w:spacing w:val="5"/>
        </w:rPr>
        <w:t> </w:t>
      </w:r>
      <w:r>
        <w:rPr/>
        <w:t>月</w:t>
      </w:r>
      <w:r>
        <w:rPr>
          <w:spacing w:val="-48"/>
        </w:rPr>
        <w:t> </w:t>
      </w:r>
      <w:r>
        <w:rPr>
          <w:rFonts w:ascii="Times New Roman" w:hAnsi="Times New Roman" w:cs="Times New Roman" w:eastAsia="Times New Roman" w:hint="default"/>
        </w:rPr>
        <w:t>19</w:t>
      </w:r>
      <w:r>
        <w:rPr>
          <w:rFonts w:ascii="Times New Roman" w:hAnsi="Times New Roman" w:cs="Times New Roman" w:eastAsia="Times New Roman" w:hint="default"/>
          <w:spacing w:val="2"/>
        </w:rPr>
        <w:t> </w:t>
      </w:r>
      <w:r>
        <w:rPr/>
        <w:t>日，公司披露《关于预留限制性股票第一期解锁股份上市流通</w:t>
      </w:r>
    </w:p>
    <w:p>
      <w:pPr>
        <w:pStyle w:val="Heading6"/>
        <w:spacing w:line="240" w:lineRule="auto" w:before="177"/>
        <w:ind w:right="0" w:firstLine="0"/>
        <w:jc w:val="left"/>
      </w:pPr>
      <w:r>
        <w:rPr>
          <w:w w:val="100"/>
        </w:rPr>
        <w:t>的提</w:t>
      </w:r>
      <w:r>
        <w:rPr>
          <w:spacing w:val="-3"/>
          <w:w w:val="100"/>
        </w:rPr>
        <w:t>示</w:t>
      </w:r>
      <w:r>
        <w:rPr>
          <w:w w:val="100"/>
        </w:rPr>
        <w:t>性</w:t>
      </w:r>
      <w:r>
        <w:rPr>
          <w:spacing w:val="-3"/>
          <w:w w:val="100"/>
        </w:rPr>
        <w:t>公</w:t>
      </w:r>
      <w:r>
        <w:rPr>
          <w:w w:val="100"/>
        </w:rPr>
        <w:t>告</w:t>
      </w:r>
      <w:r>
        <w:rPr>
          <w:spacing w:val="-108"/>
          <w:w w:val="100"/>
        </w:rPr>
        <w:t>》</w:t>
      </w:r>
      <w:r>
        <w:rPr>
          <w:w w:val="100"/>
        </w:rPr>
        <w:t>，</w:t>
      </w:r>
      <w:r>
        <w:rPr>
          <w:spacing w:val="-3"/>
          <w:w w:val="100"/>
        </w:rPr>
        <w:t>本</w:t>
      </w:r>
      <w:r>
        <w:rPr>
          <w:w w:val="100"/>
        </w:rPr>
        <w:t>次</w:t>
      </w:r>
      <w:r>
        <w:rPr>
          <w:spacing w:val="-3"/>
          <w:w w:val="100"/>
        </w:rPr>
        <w:t>解锁</w:t>
      </w:r>
      <w:r>
        <w:rPr>
          <w:w w:val="100"/>
        </w:rPr>
        <w:t>股份</w:t>
      </w:r>
      <w:r>
        <w:rPr>
          <w:spacing w:val="-3"/>
          <w:w w:val="100"/>
        </w:rPr>
        <w:t>可</w:t>
      </w:r>
      <w:r>
        <w:rPr>
          <w:w w:val="100"/>
        </w:rPr>
        <w:t>上</w:t>
      </w:r>
      <w:r>
        <w:rPr>
          <w:spacing w:val="-3"/>
          <w:w w:val="100"/>
        </w:rPr>
        <w:t>市</w:t>
      </w:r>
      <w:r>
        <w:rPr>
          <w:w w:val="100"/>
        </w:rPr>
        <w:t>流</w:t>
      </w:r>
      <w:r>
        <w:rPr>
          <w:spacing w:val="-3"/>
          <w:w w:val="100"/>
        </w:rPr>
        <w:t>通</w:t>
      </w:r>
      <w:r>
        <w:rPr>
          <w:w w:val="100"/>
        </w:rPr>
        <w:t>日为</w:t>
      </w:r>
      <w:r>
        <w:rPr>
          <w:spacing w:val="-2"/>
        </w:rPr>
        <w:t> </w:t>
      </w:r>
      <w:r>
        <w:rPr>
          <w:rFonts w:ascii="Times New Roman" w:hAnsi="Times New Roman" w:cs="Times New Roman" w:eastAsia="Times New Roman" w:hint="default"/>
          <w:w w:val="100"/>
        </w:rPr>
        <w:t>20</w:t>
      </w:r>
      <w:r>
        <w:rPr>
          <w:rFonts w:ascii="Times New Roman" w:hAnsi="Times New Roman" w:cs="Times New Roman" w:eastAsia="Times New Roman" w:hint="default"/>
          <w:spacing w:val="-3"/>
          <w:w w:val="100"/>
        </w:rPr>
        <w:t>1</w:t>
      </w:r>
      <w:r>
        <w:rPr>
          <w:rFonts w:ascii="Times New Roman" w:hAnsi="Times New Roman" w:cs="Times New Roman" w:eastAsia="Times New Roman" w:hint="default"/>
          <w:w w:val="100"/>
        </w:rPr>
        <w:t>7</w:t>
      </w:r>
      <w:r>
        <w:rPr>
          <w:rFonts w:ascii="Times New Roman" w:hAnsi="Times New Roman" w:cs="Times New Roman" w:eastAsia="Times New Roman" w:hint="default"/>
        </w:rPr>
        <w:t> </w:t>
      </w:r>
      <w:r>
        <w:rPr>
          <w:w w:val="100"/>
        </w:rPr>
        <w:t>年</w:t>
      </w:r>
      <w:r>
        <w:rPr>
          <w:spacing w:val="-53"/>
        </w:rPr>
        <w:t> </w:t>
      </w:r>
      <w:r>
        <w:rPr>
          <w:rFonts w:ascii="Times New Roman" w:hAnsi="Times New Roman" w:cs="Times New Roman" w:eastAsia="Times New Roman" w:hint="default"/>
          <w:w w:val="100"/>
        </w:rPr>
        <w:t>6</w:t>
      </w:r>
      <w:r>
        <w:rPr>
          <w:rFonts w:ascii="Times New Roman" w:hAnsi="Times New Roman" w:cs="Times New Roman" w:eastAsia="Times New Roman" w:hint="default"/>
          <w:spacing w:val="-3"/>
        </w:rPr>
        <w:t> </w:t>
      </w:r>
      <w:r>
        <w:rPr>
          <w:w w:val="100"/>
        </w:rPr>
        <w:t>月</w:t>
      </w:r>
      <w:r>
        <w:rPr>
          <w:spacing w:val="-52"/>
        </w:rPr>
        <w:t> </w:t>
      </w:r>
      <w:r>
        <w:rPr>
          <w:rFonts w:ascii="Times New Roman" w:hAnsi="Times New Roman" w:cs="Times New Roman" w:eastAsia="Times New Roman" w:hint="default"/>
          <w:spacing w:val="-3"/>
          <w:w w:val="100"/>
        </w:rPr>
        <w:t>2</w:t>
      </w:r>
      <w:r>
        <w:rPr>
          <w:rFonts w:ascii="Times New Roman" w:hAnsi="Times New Roman" w:cs="Times New Roman" w:eastAsia="Times New Roman" w:hint="default"/>
          <w:w w:val="100"/>
        </w:rPr>
        <w:t>1</w:t>
      </w:r>
      <w:r>
        <w:rPr>
          <w:rFonts w:ascii="Times New Roman" w:hAnsi="Times New Roman" w:cs="Times New Roman" w:eastAsia="Times New Roman" w:hint="default"/>
        </w:rPr>
        <w:t> </w:t>
      </w:r>
      <w:r>
        <w:rPr>
          <w:spacing w:val="-3"/>
          <w:w w:val="100"/>
        </w:rPr>
        <w:t>日。</w:t>
      </w:r>
      <w:r>
        <w:rPr>
          <w:w w:val="100"/>
        </w:rPr>
      </w:r>
    </w:p>
    <w:p>
      <w:pPr>
        <w:spacing w:line="240" w:lineRule="auto" w:before="6"/>
        <w:rPr>
          <w:rFonts w:ascii="宋体" w:hAnsi="宋体" w:cs="宋体" w:eastAsia="宋体" w:hint="default"/>
          <w:sz w:val="16"/>
          <w:szCs w:val="16"/>
        </w:rPr>
      </w:pPr>
    </w:p>
    <w:p>
      <w:pPr>
        <w:pStyle w:val="Heading6"/>
        <w:spacing w:line="240" w:lineRule="auto" w:before="0"/>
        <w:ind w:left="573" w:right="0" w:firstLine="0"/>
        <w:jc w:val="left"/>
      </w:pPr>
      <w:r>
        <w:rPr/>
        <w:t>公司于</w:t>
      </w:r>
      <w:r>
        <w:rPr>
          <w:spacing w:val="-4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3"/>
        </w:rPr>
        <w:t> </w:t>
      </w:r>
      <w:r>
        <w:rPr/>
        <w:t>年</w:t>
      </w:r>
      <w:r>
        <w:rPr>
          <w:spacing w:val="-43"/>
        </w:rPr>
        <w:t> </w:t>
      </w:r>
      <w:r>
        <w:rPr>
          <w:rFonts w:ascii="Times New Roman" w:hAnsi="Times New Roman" w:cs="Times New Roman" w:eastAsia="Times New Roman" w:hint="default"/>
        </w:rPr>
        <w:t>8</w:t>
      </w:r>
      <w:r>
        <w:rPr>
          <w:rFonts w:ascii="Times New Roman" w:hAnsi="Times New Roman" w:cs="Times New Roman" w:eastAsia="Times New Roman" w:hint="default"/>
          <w:spacing w:val="13"/>
        </w:rPr>
        <w:t> </w:t>
      </w:r>
      <w:r>
        <w:rPr/>
        <w:t>月</w:t>
      </w:r>
      <w:r>
        <w:rPr>
          <w:spacing w:val="-43"/>
        </w:rPr>
        <w:t> </w:t>
      </w:r>
      <w:r>
        <w:rPr>
          <w:rFonts w:ascii="Times New Roman" w:hAnsi="Times New Roman" w:cs="Times New Roman" w:eastAsia="Times New Roman" w:hint="default"/>
        </w:rPr>
        <w:t>25</w:t>
      </w:r>
      <w:r>
        <w:rPr>
          <w:rFonts w:ascii="Times New Roman" w:hAnsi="Times New Roman" w:cs="Times New Roman" w:eastAsia="Times New Roman" w:hint="default"/>
          <w:spacing w:val="13"/>
        </w:rPr>
        <w:t> </w:t>
      </w:r>
      <w:r>
        <w:rPr>
          <w:spacing w:val="-3"/>
        </w:rPr>
        <w:t>日召开第四届董事会第三次会议，审议通过《关于首次授予限制性股票第二期</w:t>
      </w:r>
    </w:p>
    <w:p>
      <w:pPr>
        <w:pStyle w:val="Heading6"/>
        <w:spacing w:line="240" w:lineRule="auto" w:before="178"/>
        <w:ind w:right="0" w:firstLine="0"/>
        <w:jc w:val="left"/>
      </w:pPr>
      <w:r>
        <w:rPr>
          <w:spacing w:val="9"/>
          <w:w w:val="100"/>
        </w:rPr>
        <w:t>解</w:t>
      </w:r>
      <w:r>
        <w:rPr>
          <w:spacing w:val="6"/>
          <w:w w:val="100"/>
        </w:rPr>
        <w:t>锁的</w:t>
      </w:r>
      <w:r>
        <w:rPr>
          <w:spacing w:val="9"/>
          <w:w w:val="100"/>
        </w:rPr>
        <w:t>议</w:t>
      </w:r>
      <w:r>
        <w:rPr>
          <w:spacing w:val="6"/>
          <w:w w:val="100"/>
        </w:rPr>
        <w:t>案</w:t>
      </w:r>
      <w:r>
        <w:rPr>
          <w:spacing w:val="-97"/>
          <w:w w:val="100"/>
        </w:rPr>
        <w:t>》</w:t>
      </w:r>
      <w:r>
        <w:rPr>
          <w:spacing w:val="6"/>
          <w:w w:val="100"/>
        </w:rPr>
        <w:t>，</w:t>
      </w:r>
      <w:r>
        <w:rPr>
          <w:spacing w:val="9"/>
          <w:w w:val="100"/>
        </w:rPr>
        <w:t>公</w:t>
      </w:r>
      <w:r>
        <w:rPr>
          <w:spacing w:val="6"/>
          <w:w w:val="100"/>
        </w:rPr>
        <w:t>司首次</w:t>
      </w:r>
      <w:r>
        <w:rPr>
          <w:spacing w:val="9"/>
          <w:w w:val="100"/>
        </w:rPr>
        <w:t>授</w:t>
      </w:r>
      <w:r>
        <w:rPr>
          <w:spacing w:val="6"/>
          <w:w w:val="100"/>
        </w:rPr>
        <w:t>予的</w:t>
      </w:r>
      <w:r>
        <w:rPr>
          <w:spacing w:val="9"/>
          <w:w w:val="100"/>
        </w:rPr>
        <w:t>限</w:t>
      </w:r>
      <w:r>
        <w:rPr>
          <w:spacing w:val="6"/>
          <w:w w:val="100"/>
        </w:rPr>
        <w:t>制</w:t>
      </w:r>
      <w:r>
        <w:rPr>
          <w:spacing w:val="9"/>
          <w:w w:val="100"/>
        </w:rPr>
        <w:t>性</w:t>
      </w:r>
      <w:r>
        <w:rPr>
          <w:spacing w:val="6"/>
          <w:w w:val="100"/>
        </w:rPr>
        <w:t>股票</w:t>
      </w:r>
      <w:r>
        <w:rPr>
          <w:spacing w:val="9"/>
          <w:w w:val="100"/>
        </w:rPr>
        <w:t>第</w:t>
      </w:r>
      <w:r>
        <w:rPr>
          <w:spacing w:val="6"/>
          <w:w w:val="100"/>
        </w:rPr>
        <w:t>二期</w:t>
      </w:r>
      <w:r>
        <w:rPr>
          <w:spacing w:val="9"/>
          <w:w w:val="100"/>
        </w:rPr>
        <w:t>解</w:t>
      </w:r>
      <w:r>
        <w:rPr>
          <w:spacing w:val="6"/>
          <w:w w:val="100"/>
        </w:rPr>
        <w:t>锁条</w:t>
      </w:r>
      <w:r>
        <w:rPr>
          <w:spacing w:val="9"/>
          <w:w w:val="100"/>
        </w:rPr>
        <w:t>件</w:t>
      </w:r>
      <w:r>
        <w:rPr>
          <w:spacing w:val="6"/>
          <w:w w:val="100"/>
        </w:rPr>
        <w:t>已</w:t>
      </w:r>
      <w:r>
        <w:rPr>
          <w:spacing w:val="9"/>
          <w:w w:val="100"/>
        </w:rPr>
        <w:t>全</w:t>
      </w:r>
      <w:r>
        <w:rPr>
          <w:spacing w:val="6"/>
          <w:w w:val="100"/>
        </w:rPr>
        <w:t>部成</w:t>
      </w:r>
      <w:r>
        <w:rPr>
          <w:spacing w:val="9"/>
          <w:w w:val="100"/>
        </w:rPr>
        <w:t>就</w:t>
      </w:r>
      <w:r>
        <w:rPr>
          <w:spacing w:val="6"/>
          <w:w w:val="100"/>
        </w:rPr>
        <w:t>，同</w:t>
      </w:r>
      <w:r>
        <w:rPr>
          <w:w w:val="100"/>
        </w:rPr>
        <w:t>意</w:t>
      </w:r>
      <w:r>
        <w:rPr>
          <w:spacing w:val="29"/>
        </w:rPr>
        <w:t> </w:t>
      </w:r>
      <w:r>
        <w:rPr>
          <w:rFonts w:ascii="Times New Roman" w:hAnsi="Times New Roman" w:cs="Times New Roman" w:eastAsia="Times New Roman" w:hint="default"/>
          <w:spacing w:val="-3"/>
          <w:w w:val="100"/>
        </w:rPr>
        <w:t>4</w:t>
      </w:r>
      <w:r>
        <w:rPr>
          <w:rFonts w:ascii="Times New Roman" w:hAnsi="Times New Roman" w:cs="Times New Roman" w:eastAsia="Times New Roman" w:hint="default"/>
          <w:w w:val="100"/>
        </w:rPr>
        <w:t>59</w:t>
      </w:r>
      <w:r>
        <w:rPr>
          <w:rFonts w:ascii="Times New Roman" w:hAnsi="Times New Roman" w:cs="Times New Roman" w:eastAsia="Times New Roman" w:hint="default"/>
        </w:rPr>
        <w:t> </w:t>
      </w:r>
      <w:r>
        <w:rPr>
          <w:rFonts w:ascii="Times New Roman" w:hAnsi="Times New Roman" w:cs="Times New Roman" w:eastAsia="Times New Roman" w:hint="default"/>
          <w:spacing w:val="7"/>
        </w:rPr>
        <w:t> </w:t>
      </w:r>
      <w:r>
        <w:rPr>
          <w:spacing w:val="9"/>
          <w:w w:val="100"/>
        </w:rPr>
        <w:t>名</w:t>
      </w:r>
      <w:r>
        <w:rPr>
          <w:spacing w:val="6"/>
          <w:w w:val="100"/>
        </w:rPr>
        <w:t>激励</w:t>
      </w:r>
      <w:r>
        <w:rPr>
          <w:spacing w:val="9"/>
          <w:w w:val="100"/>
        </w:rPr>
        <w:t>对</w:t>
      </w:r>
      <w:r>
        <w:rPr>
          <w:spacing w:val="6"/>
          <w:w w:val="100"/>
        </w:rPr>
        <w:t>象获授</w:t>
      </w:r>
      <w:r>
        <w:rPr>
          <w:w w:val="100"/>
        </w:rPr>
        <w:t>的</w:t>
      </w:r>
    </w:p>
    <w:p>
      <w:pPr>
        <w:pStyle w:val="Heading6"/>
        <w:spacing w:line="240" w:lineRule="auto" w:before="177"/>
        <w:ind w:right="0" w:firstLine="0"/>
        <w:jc w:val="left"/>
      </w:pPr>
      <w:r>
        <w:rPr>
          <w:rFonts w:ascii="Times New Roman" w:hAnsi="Times New Roman" w:cs="Times New Roman" w:eastAsia="Times New Roman" w:hint="default"/>
        </w:rPr>
        <w:t>851.29 </w:t>
      </w:r>
      <w:r>
        <w:rPr/>
        <w:t>万股限制性股票解锁。</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9 </w:t>
      </w:r>
      <w:r>
        <w:rPr/>
        <w:t>月 </w:t>
      </w:r>
      <w:r>
        <w:rPr>
          <w:rFonts w:ascii="Times New Roman" w:hAnsi="Times New Roman" w:cs="Times New Roman" w:eastAsia="Times New Roman" w:hint="default"/>
        </w:rPr>
        <w:t>5</w:t>
      </w:r>
      <w:r>
        <w:rPr>
          <w:rFonts w:ascii="Times New Roman" w:hAnsi="Times New Roman" w:cs="Times New Roman" w:eastAsia="Times New Roman" w:hint="default"/>
          <w:spacing w:val="19"/>
        </w:rPr>
        <w:t> </w:t>
      </w:r>
      <w:r>
        <w:rPr/>
        <w:t>日，公司披露《关于首次授予限制性股票第二期解锁股份上</w:t>
      </w:r>
    </w:p>
    <w:p>
      <w:pPr>
        <w:pStyle w:val="Heading6"/>
        <w:spacing w:line="420" w:lineRule="auto" w:before="177"/>
        <w:ind w:left="573" w:right="205" w:hanging="421"/>
        <w:jc w:val="left"/>
      </w:pPr>
      <w:r>
        <w:rPr>
          <w:spacing w:val="-6"/>
          <w:w w:val="100"/>
        </w:rPr>
        <w:t>市流通的提示性公告》，本次解锁股份可上市流通日为</w:t>
      </w:r>
      <w:r>
        <w:rPr>
          <w:spacing w:val="-1"/>
          <w:w w:val="100"/>
        </w:rPr>
        <w:t> </w:t>
      </w:r>
      <w:r>
        <w:rPr>
          <w:rFonts w:ascii="Times New Roman" w:hAnsi="Times New Roman" w:cs="Times New Roman" w:eastAsia="Times New Roman" w:hint="default"/>
          <w:spacing w:val="-1"/>
          <w:w w:val="100"/>
        </w:rPr>
        <w:t>2017 </w:t>
      </w:r>
      <w:r>
        <w:rPr>
          <w:w w:val="100"/>
        </w:rPr>
        <w:t>年</w:t>
      </w:r>
      <w:r>
        <w:rPr>
          <w:spacing w:val="-56"/>
          <w:w w:val="100"/>
        </w:rPr>
        <w:t> </w:t>
      </w:r>
      <w:r>
        <w:rPr>
          <w:rFonts w:ascii="Times New Roman" w:hAnsi="Times New Roman" w:cs="Times New Roman" w:eastAsia="Times New Roman" w:hint="default"/>
          <w:w w:val="100"/>
        </w:rPr>
        <w:t>9</w:t>
      </w:r>
      <w:r>
        <w:rPr>
          <w:rFonts w:ascii="Times New Roman" w:hAnsi="Times New Roman" w:cs="Times New Roman" w:eastAsia="Times New Roman" w:hint="default"/>
          <w:spacing w:val="-1"/>
          <w:w w:val="100"/>
        </w:rPr>
        <w:t> </w:t>
      </w:r>
      <w:r>
        <w:rPr>
          <w:w w:val="100"/>
        </w:rPr>
        <w:t>月</w:t>
      </w:r>
      <w:r>
        <w:rPr>
          <w:spacing w:val="-56"/>
          <w:w w:val="100"/>
        </w:rPr>
        <w:t> </w:t>
      </w:r>
      <w:r>
        <w:rPr>
          <w:rFonts w:ascii="Times New Roman" w:hAnsi="Times New Roman" w:cs="Times New Roman" w:eastAsia="Times New Roman" w:hint="default"/>
          <w:w w:val="100"/>
        </w:rPr>
        <w:t>8</w:t>
      </w:r>
      <w:r>
        <w:rPr>
          <w:rFonts w:ascii="Times New Roman" w:hAnsi="Times New Roman" w:cs="Times New Roman" w:eastAsia="Times New Roman" w:hint="default"/>
          <w:spacing w:val="-1"/>
          <w:w w:val="100"/>
        </w:rPr>
        <w:t> </w:t>
      </w:r>
      <w:r>
        <w:rPr>
          <w:spacing w:val="-3"/>
          <w:w w:val="100"/>
        </w:rPr>
        <w:t>日。</w:t>
      </w:r>
      <w:r>
        <w:rPr>
          <w:spacing w:val="-101"/>
          <w:w w:val="100"/>
        </w:rPr>
        <w:t> </w:t>
      </w:r>
      <w:r>
        <w:rPr/>
        <w:t>上述内容详见公司披露的相关公告：</w:t>
      </w:r>
      <w:hyperlink r:id="rId14">
        <w:r>
          <w:rPr>
            <w:rFonts w:ascii="Times New Roman" w:hAnsi="Times New Roman" w:cs="Times New Roman" w:eastAsia="Times New Roman" w:hint="default"/>
          </w:rPr>
          <w:t>http://www.cninfo.com.cn</w:t>
        </w:r>
      </w:hyperlink>
      <w:r>
        <w:rPr/>
        <w:t>。</w:t>
      </w:r>
      <w:r>
        <w:rPr>
          <w:w w:val="100"/>
        </w:rPr>
        <w:t> </w:t>
      </w:r>
      <w:r>
        <w:rPr>
          <w:rFonts w:ascii="Times New Roman" w:hAnsi="Times New Roman" w:cs="Times New Roman" w:eastAsia="Times New Roman" w:hint="default"/>
          <w:spacing w:val="-2"/>
        </w:rPr>
        <w:t>2</w:t>
      </w:r>
      <w:r>
        <w:rPr>
          <w:spacing w:val="-2"/>
        </w:rPr>
        <w:t>、公司以发行股份及支付现金相结合方式收购合肥杰发科技有限公司</w:t>
      </w:r>
      <w:r>
        <w:rPr>
          <w:spacing w:val="5"/>
        </w:rPr>
        <w:t> </w:t>
      </w:r>
      <w:r>
        <w:rPr>
          <w:rFonts w:ascii="Times New Roman" w:hAnsi="Times New Roman" w:cs="Times New Roman" w:eastAsia="Times New Roman" w:hint="default"/>
          <w:spacing w:val="-3"/>
        </w:rPr>
        <w:t>100%</w:t>
      </w:r>
      <w:r>
        <w:rPr>
          <w:spacing w:val="-3"/>
        </w:rPr>
        <w:t>股权的重大重组事项，其</w:t>
      </w:r>
    </w:p>
    <w:p>
      <w:pPr>
        <w:pStyle w:val="Heading6"/>
        <w:spacing w:line="408" w:lineRule="auto" w:before="3"/>
        <w:ind w:right="206" w:firstLine="0"/>
        <w:jc w:val="both"/>
      </w:pPr>
      <w:r>
        <w:rPr>
          <w:spacing w:val="-2"/>
        </w:rPr>
        <w:t>中通过非公开发行股份方式募集配套资金的对象包括腾讯产业基金、芯动能基金、天安财险、中信建投证</w:t>
      </w:r>
      <w:r>
        <w:rPr>
          <w:spacing w:val="-44"/>
        </w:rPr>
        <w:t> </w:t>
      </w:r>
      <w:r>
        <w:rPr>
          <w:spacing w:val="-44"/>
        </w:rPr>
      </w:r>
      <w:r>
        <w:rPr>
          <w:spacing w:val="-2"/>
        </w:rPr>
        <w:t>券、华泰资产、林芝锦华、华泰瑞联、安鹏资本、龙华启富和员工持股计划。本员工持股计划的参加对象</w:t>
      </w:r>
      <w:r>
        <w:rPr>
          <w:spacing w:val="-42"/>
        </w:rPr>
        <w:t> </w:t>
      </w:r>
      <w:r>
        <w:rPr>
          <w:spacing w:val="-42"/>
        </w:rPr>
      </w:r>
      <w:r>
        <w:rPr>
          <w:spacing w:val="-2"/>
          <w:w w:val="100"/>
        </w:rPr>
        <w:t>包括公司董事（不含独立董事）、监事、高级管理人员及其他人员，公司及其全资、控股子公司以及杰发</w:t>
      </w:r>
      <w:r>
        <w:rPr>
          <w:spacing w:val="-94"/>
          <w:w w:val="100"/>
        </w:rPr>
        <w:t> </w:t>
      </w:r>
      <w:r>
        <w:rPr>
          <w:spacing w:val="-94"/>
          <w:w w:val="100"/>
        </w:rPr>
      </w:r>
      <w:r>
        <w:rPr/>
        <w:t>科技符合认购条件的员工，每单位份额的认购价格为人民币</w:t>
      </w:r>
      <w:r>
        <w:rPr>
          <w:spacing w:val="-35"/>
        </w:rPr>
        <w:t> </w:t>
      </w:r>
      <w:r>
        <w:rPr>
          <w:rFonts w:ascii="Times New Roman" w:hAnsi="Times New Roman" w:cs="Times New Roman" w:eastAsia="Times New Roman" w:hint="default"/>
        </w:rPr>
        <w:t>1.00</w:t>
      </w:r>
      <w:r>
        <w:rPr>
          <w:rFonts w:ascii="Times New Roman" w:hAnsi="Times New Roman" w:cs="Times New Roman" w:eastAsia="Times New Roman" w:hint="default"/>
          <w:spacing w:val="19"/>
        </w:rPr>
        <w:t> </w:t>
      </w:r>
      <w:r>
        <w:rPr/>
        <w:t>元，设立时的份额合计不超过</w:t>
      </w:r>
      <w:r>
        <w:rPr>
          <w:spacing w:val="-35"/>
        </w:rPr>
        <w:t> </w:t>
      </w:r>
      <w:r>
        <w:rPr>
          <w:rFonts w:ascii="Times New Roman" w:hAnsi="Times New Roman" w:cs="Times New Roman" w:eastAsia="Times New Roman" w:hint="default"/>
        </w:rPr>
        <w:t>40,000</w:t>
      </w:r>
      <w:r>
        <w:rPr>
          <w:rFonts w:ascii="Times New Roman" w:hAnsi="Times New Roman" w:cs="Times New Roman" w:eastAsia="Times New Roman" w:hint="default"/>
          <w:spacing w:val="17"/>
        </w:rPr>
        <w:t> </w:t>
      </w:r>
      <w:r>
        <w:rPr/>
        <w:t>万</w:t>
      </w:r>
    </w:p>
    <w:p>
      <w:pPr>
        <w:pStyle w:val="Heading6"/>
        <w:spacing w:line="240" w:lineRule="auto" w:before="14"/>
        <w:ind w:right="0" w:firstLine="0"/>
        <w:jc w:val="left"/>
      </w:pPr>
      <w:r>
        <w:rPr>
          <w:spacing w:val="-4"/>
        </w:rPr>
        <w:t>份，对应资金总额上限人民币</w:t>
      </w:r>
      <w:r>
        <w:rPr>
          <w:spacing w:val="-46"/>
        </w:rPr>
        <w:t> </w:t>
      </w:r>
      <w:r>
        <w:rPr>
          <w:rFonts w:ascii="Times New Roman" w:hAnsi="Times New Roman" w:cs="Times New Roman" w:eastAsia="Times New Roman" w:hint="default"/>
        </w:rPr>
        <w:t>40,000</w:t>
      </w:r>
      <w:r>
        <w:rPr>
          <w:rFonts w:ascii="Times New Roman" w:hAnsi="Times New Roman" w:cs="Times New Roman" w:eastAsia="Times New Roman" w:hint="default"/>
          <w:spacing w:val="7"/>
        </w:rPr>
        <w:t> </w:t>
      </w:r>
      <w:r>
        <w:rPr>
          <w:spacing w:val="-7"/>
        </w:rPr>
        <w:t>万元。截至</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7"/>
        </w:rPr>
        <w:t> </w:t>
      </w:r>
      <w:r>
        <w:rPr/>
        <w:t>年</w:t>
      </w:r>
      <w:r>
        <w:rPr>
          <w:spacing w:val="-49"/>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t>月</w:t>
      </w:r>
      <w:r>
        <w:rPr>
          <w:spacing w:val="-45"/>
        </w:rPr>
        <w:t> </w:t>
      </w:r>
      <w:r>
        <w:rPr>
          <w:rFonts w:ascii="Times New Roman" w:hAnsi="Times New Roman" w:cs="Times New Roman" w:eastAsia="Times New Roman" w:hint="default"/>
        </w:rPr>
        <w:t>10</w:t>
      </w:r>
      <w:r>
        <w:rPr>
          <w:rFonts w:ascii="Times New Roman" w:hAnsi="Times New Roman" w:cs="Times New Roman" w:eastAsia="Times New Roman" w:hint="default"/>
          <w:spacing w:val="7"/>
        </w:rPr>
        <w:t> </w:t>
      </w:r>
      <w:r>
        <w:rPr>
          <w:spacing w:val="-3"/>
        </w:rPr>
        <w:t>日，公司第一期员工持股计划最终的认购</w:t>
      </w:r>
    </w:p>
    <w:p>
      <w:pPr>
        <w:pStyle w:val="Heading6"/>
        <w:spacing w:line="240" w:lineRule="auto" w:before="177"/>
        <w:ind w:right="0" w:firstLine="0"/>
        <w:jc w:val="left"/>
      </w:pPr>
      <w:r>
        <w:rPr/>
        <w:t>总额为</w:t>
      </w:r>
      <w:r>
        <w:rPr>
          <w:spacing w:val="-55"/>
        </w:rPr>
        <w:t> </w:t>
      </w:r>
      <w:r>
        <w:rPr>
          <w:rFonts w:ascii="Times New Roman" w:hAnsi="Times New Roman" w:cs="Times New Roman" w:eastAsia="Times New Roman" w:hint="default"/>
        </w:rPr>
        <w:t>35,863.00</w:t>
      </w:r>
      <w:r>
        <w:rPr>
          <w:rFonts w:ascii="Times New Roman" w:hAnsi="Times New Roman" w:cs="Times New Roman" w:eastAsia="Times New Roman" w:hint="default"/>
          <w:spacing w:val="47"/>
        </w:rPr>
        <w:t> </w:t>
      </w:r>
      <w:r>
        <w:rPr>
          <w:spacing w:val="-4"/>
        </w:rPr>
        <w:t>万元。</w:t>
      </w:r>
      <w:r>
        <w:rPr>
          <w:rFonts w:ascii="Times New Roman" w:hAnsi="Times New Roman" w:cs="Times New Roman" w:eastAsia="Times New Roman" w:hint="default"/>
          <w:spacing w:val="-4"/>
        </w:rPr>
        <w:t>3</w:t>
      </w:r>
      <w:r>
        <w:rPr>
          <w:rFonts w:ascii="Times New Roman" w:hAnsi="Times New Roman" w:cs="Times New Roman" w:eastAsia="Times New Roman" w:hint="default"/>
          <w:spacing w:val="-6"/>
        </w:rPr>
        <w:t> </w:t>
      </w:r>
      <w:r>
        <w:rPr/>
        <w:t>月</w:t>
      </w:r>
      <w:r>
        <w:rPr>
          <w:spacing w:val="-56"/>
        </w:rPr>
        <w:t> </w:t>
      </w:r>
      <w:r>
        <w:rPr>
          <w:rFonts w:ascii="Times New Roman" w:hAnsi="Times New Roman" w:cs="Times New Roman" w:eastAsia="Times New Roman" w:hint="default"/>
        </w:rPr>
        <w:t>15</w:t>
      </w:r>
      <w:r>
        <w:rPr>
          <w:rFonts w:ascii="Times New Roman" w:hAnsi="Times New Roman" w:cs="Times New Roman" w:eastAsia="Times New Roman" w:hint="default"/>
          <w:spacing w:val="-5"/>
        </w:rPr>
        <w:t> </w:t>
      </w:r>
      <w:r>
        <w:rPr/>
        <w:t>日，公司本次发行新增股份取得了中国证券登记结算有限责任公司出具的</w:t>
      </w:r>
    </w:p>
    <w:p>
      <w:pPr>
        <w:pStyle w:val="Heading6"/>
        <w:spacing w:line="417" w:lineRule="auto" w:before="177"/>
        <w:ind w:left="573" w:right="3438" w:hanging="421"/>
        <w:jc w:val="left"/>
      </w:pPr>
      <w:r>
        <w:rPr>
          <w:spacing w:val="-6"/>
          <w:w w:val="100"/>
        </w:rPr>
        <w:t>《股份登记申请受理确认书》，新增股份上市日为</w:t>
      </w:r>
      <w:r>
        <w:rPr>
          <w:spacing w:val="-56"/>
          <w:w w:val="100"/>
        </w:rPr>
        <w:t> </w:t>
      </w:r>
      <w:r>
        <w:rPr>
          <w:rFonts w:ascii="Times New Roman" w:hAnsi="Times New Roman" w:cs="Times New Roman" w:eastAsia="Times New Roman" w:hint="default"/>
          <w:spacing w:val="-1"/>
          <w:w w:val="100"/>
        </w:rPr>
        <w:t>2017 </w:t>
      </w:r>
      <w:r>
        <w:rPr>
          <w:w w:val="100"/>
        </w:rPr>
        <w:t>年</w:t>
      </w:r>
      <w:r>
        <w:rPr>
          <w:spacing w:val="-56"/>
          <w:w w:val="100"/>
        </w:rPr>
        <w:t> </w:t>
      </w:r>
      <w:r>
        <w:rPr>
          <w:rFonts w:ascii="Times New Roman" w:hAnsi="Times New Roman" w:cs="Times New Roman" w:eastAsia="Times New Roman" w:hint="default"/>
          <w:w w:val="100"/>
        </w:rPr>
        <w:t>3</w:t>
      </w:r>
      <w:r>
        <w:rPr>
          <w:rFonts w:ascii="Times New Roman" w:hAnsi="Times New Roman" w:cs="Times New Roman" w:eastAsia="Times New Roman" w:hint="default"/>
          <w:spacing w:val="-1"/>
          <w:w w:val="100"/>
        </w:rPr>
        <w:t> </w:t>
      </w:r>
      <w:r>
        <w:rPr>
          <w:w w:val="100"/>
        </w:rPr>
        <w:t>月</w:t>
      </w:r>
      <w:r>
        <w:rPr>
          <w:spacing w:val="-56"/>
          <w:w w:val="100"/>
        </w:rPr>
        <w:t> </w:t>
      </w:r>
      <w:r>
        <w:rPr>
          <w:rFonts w:ascii="Times New Roman" w:hAnsi="Times New Roman" w:cs="Times New Roman" w:eastAsia="Times New Roman" w:hint="default"/>
          <w:w w:val="100"/>
        </w:rPr>
        <w:t>23</w:t>
      </w:r>
      <w:r>
        <w:rPr>
          <w:rFonts w:ascii="Times New Roman" w:hAnsi="Times New Roman" w:cs="Times New Roman" w:eastAsia="Times New Roman" w:hint="default"/>
          <w:spacing w:val="-4"/>
          <w:w w:val="100"/>
        </w:rPr>
        <w:t> </w:t>
      </w:r>
      <w:r>
        <w:rPr>
          <w:w w:val="100"/>
        </w:rPr>
        <w:t>日。 </w:t>
      </w:r>
      <w:r>
        <w:rPr/>
        <w:t>上述内容详见公司披露的相关公告：</w:t>
      </w:r>
      <w:hyperlink r:id="rId14">
        <w:r>
          <w:rPr>
            <w:rFonts w:ascii="Times New Roman" w:hAnsi="Times New Roman" w:cs="Times New Roman" w:eastAsia="Times New Roman" w:hint="default"/>
          </w:rPr>
          <w:t>http://www.cninfo.com.cn</w:t>
        </w:r>
      </w:hyperlink>
      <w:r>
        <w:rPr/>
        <w:t>。</w:t>
      </w:r>
    </w:p>
    <w:p>
      <w:pPr>
        <w:spacing w:line="240" w:lineRule="auto" w:before="7"/>
        <w:rPr>
          <w:rFonts w:ascii="宋体" w:hAnsi="宋体" w:cs="宋体" w:eastAsia="宋体" w:hint="default"/>
          <w:sz w:val="15"/>
          <w:szCs w:val="15"/>
        </w:rPr>
      </w:pPr>
    </w:p>
    <w:p>
      <w:pPr>
        <w:pStyle w:val="Heading3"/>
        <w:spacing w:line="240" w:lineRule="auto"/>
        <w:ind w:right="0"/>
        <w:jc w:val="left"/>
        <w:rPr>
          <w:b w:val="0"/>
          <w:bCs w:val="0"/>
        </w:rPr>
      </w:pPr>
      <w:r>
        <w:rPr/>
        <w:t>十六、重大关联交易</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、与日常经营相关的关联交易</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55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公司报告期未发生与日常经营相关的关联交易。</w:t>
      </w:r>
    </w:p>
    <w:p>
      <w:pPr>
        <w:spacing w:line="240" w:lineRule="auto" w:before="5"/>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55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公司报告期未发生资产或股权收购、出售的关联交易。</w:t>
      </w:r>
    </w:p>
    <w:p>
      <w:pPr>
        <w:spacing w:after="0" w:line="338" w:lineRule="auto"/>
        <w:jc w:val="left"/>
        <w:sectPr>
          <w:pgSz w:w="11910" w:h="16840"/>
          <w:pgMar w:header="745" w:footer="979" w:top="1060" w:bottom="1160" w:left="980" w:right="92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3</w:t>
      </w:r>
      <w:r>
        <w:rPr/>
        <w:t>、共同对外投资的关联交易</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61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公司报告期未发生共同对外投资的关联交易。</w:t>
      </w:r>
    </w:p>
    <w:p>
      <w:pPr>
        <w:spacing w:line="240" w:lineRule="auto" w:before="7"/>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4</w:t>
      </w:r>
      <w:r>
        <w:rPr/>
        <w:t>、关联债权债务往来</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67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公司报告期不存在关联债权债务往来。</w:t>
      </w:r>
    </w:p>
    <w:p>
      <w:pPr>
        <w:spacing w:line="240" w:lineRule="auto" w:before="7"/>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5</w:t>
      </w:r>
      <w:r>
        <w:rPr/>
        <w:t>、其他重大关联交易</w:t>
      </w:r>
      <w:r>
        <w:rPr>
          <w:b w:val="0"/>
          <w:bCs w:val="0"/>
        </w:rPr>
      </w:r>
    </w:p>
    <w:p>
      <w:pPr>
        <w:spacing w:line="240" w:lineRule="auto" w:before="5"/>
        <w:rPr>
          <w:rFonts w:ascii="宋体" w:hAnsi="宋体" w:cs="宋体" w:eastAsia="宋体" w:hint="default"/>
          <w:b/>
          <w:bCs/>
          <w:sz w:val="26"/>
          <w:szCs w:val="26"/>
        </w:rPr>
      </w:pPr>
    </w:p>
    <w:p>
      <w:pPr>
        <w:pStyle w:val="BodyText"/>
        <w:spacing w:line="340" w:lineRule="auto"/>
        <w:ind w:right="70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公司报告期无其他重大关联交易。</w:t>
      </w:r>
    </w:p>
    <w:p>
      <w:pPr>
        <w:spacing w:line="240" w:lineRule="auto" w:before="4"/>
        <w:rPr>
          <w:rFonts w:ascii="宋体" w:hAnsi="宋体" w:cs="宋体" w:eastAsia="宋体" w:hint="default"/>
          <w:sz w:val="19"/>
          <w:szCs w:val="19"/>
        </w:rPr>
      </w:pPr>
    </w:p>
    <w:p>
      <w:pPr>
        <w:pStyle w:val="Heading3"/>
        <w:spacing w:line="240" w:lineRule="auto"/>
        <w:ind w:right="0"/>
        <w:jc w:val="left"/>
        <w:rPr>
          <w:b w:val="0"/>
          <w:bCs w:val="0"/>
        </w:rPr>
      </w:pPr>
      <w:r>
        <w:rPr/>
        <w:t>十七、重大合同及其履行情况</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、托管、承包、租赁事项情况</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）托管情况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7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公司报告期不存在托管情况。</w:t>
      </w:r>
    </w:p>
    <w:p>
      <w:pPr>
        <w:spacing w:line="240" w:lineRule="auto" w:before="6"/>
        <w:rPr>
          <w:rFonts w:ascii="宋体" w:hAnsi="宋体" w:cs="宋体" w:eastAsia="宋体" w:hint="default"/>
          <w:sz w:val="21"/>
          <w:szCs w:val="21"/>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）承包情况</w:t>
      </w:r>
      <w:r>
        <w:rPr>
          <w:b w:val="0"/>
          <w:bCs w:val="0"/>
        </w:rPr>
      </w:r>
    </w:p>
    <w:p>
      <w:pPr>
        <w:spacing w:line="240" w:lineRule="auto" w:before="2"/>
        <w:rPr>
          <w:rFonts w:ascii="宋体" w:hAnsi="宋体" w:cs="宋体" w:eastAsia="宋体" w:hint="default"/>
          <w:b/>
          <w:bCs/>
          <w:sz w:val="26"/>
          <w:szCs w:val="26"/>
        </w:rPr>
      </w:pPr>
    </w:p>
    <w:p>
      <w:pPr>
        <w:pStyle w:val="BodyText"/>
        <w:spacing w:line="340" w:lineRule="auto"/>
        <w:ind w:right="7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公司报告期不存在承包情况。</w:t>
      </w:r>
    </w:p>
    <w:p>
      <w:pPr>
        <w:spacing w:line="240" w:lineRule="auto" w:before="5"/>
        <w:rPr>
          <w:rFonts w:ascii="宋体" w:hAnsi="宋体" w:cs="宋体" w:eastAsia="宋体" w:hint="default"/>
          <w:sz w:val="21"/>
          <w:szCs w:val="21"/>
        </w:rPr>
      </w:pPr>
    </w:p>
    <w:p>
      <w:pPr>
        <w:pStyle w:val="Heading5"/>
        <w:spacing w:line="240" w:lineRule="auto"/>
        <w:ind w:right="0"/>
        <w:jc w:val="left"/>
        <w:rPr>
          <w:b w:val="0"/>
          <w:bCs w:val="0"/>
        </w:rPr>
      </w:pPr>
      <w:r>
        <w:rPr/>
        <w:t>（</w:t>
      </w:r>
      <w:r>
        <w:rPr>
          <w:rFonts w:ascii="Times New Roman" w:hAnsi="Times New Roman" w:cs="Times New Roman" w:eastAsia="Times New Roman" w:hint="default"/>
        </w:rPr>
        <w:t>3</w:t>
      </w:r>
      <w:r>
        <w:rPr/>
        <w:t>）租赁情况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7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公司报告期不存在租赁情况。</w:t>
      </w:r>
    </w:p>
    <w:p>
      <w:pPr>
        <w:spacing w:line="240" w:lineRule="auto" w:before="8"/>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2</w:t>
      </w:r>
      <w:r>
        <w:rPr/>
        <w:t>、重大担保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）担保情况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单位：万元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708"/>
        <w:gridCol w:w="931"/>
        <w:gridCol w:w="920"/>
        <w:gridCol w:w="1296"/>
        <w:gridCol w:w="1064"/>
        <w:gridCol w:w="1034"/>
        <w:gridCol w:w="1051"/>
        <w:gridCol w:w="790"/>
        <w:gridCol w:w="780"/>
      </w:tblGrid>
      <w:tr>
        <w:trPr>
          <w:trHeight w:val="403" w:hRule="exact"/>
        </w:trPr>
        <w:tc>
          <w:tcPr>
            <w:tcW w:w="9574"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31"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401" w:hRule="exact"/>
        </w:trPr>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08" w:right="0"/>
              <w:jc w:val="left"/>
              <w:rPr>
                <w:rFonts w:ascii="宋体" w:hAnsi="宋体" w:cs="宋体" w:eastAsia="宋体" w:hint="default"/>
                <w:sz w:val="18"/>
                <w:szCs w:val="18"/>
              </w:rPr>
            </w:pPr>
            <w:r>
              <w:rPr>
                <w:rFonts w:ascii="宋体" w:hAnsi="宋体" w:cs="宋体" w:eastAsia="宋体" w:hint="default"/>
                <w:sz w:val="18"/>
                <w:szCs w:val="18"/>
              </w:rPr>
              <w:t>担保对象名称</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00"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5"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2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103"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76" w:right="0"/>
              <w:jc w:val="left"/>
              <w:rPr>
                <w:rFonts w:ascii="宋体" w:hAnsi="宋体" w:cs="宋体" w:eastAsia="宋体" w:hint="default"/>
                <w:sz w:val="18"/>
                <w:szCs w:val="18"/>
              </w:rPr>
            </w:pPr>
            <w:r>
              <w:rPr>
                <w:rFonts w:ascii="宋体" w:hAnsi="宋体" w:cs="宋体" w:eastAsia="宋体" w:hint="default"/>
                <w:sz w:val="18"/>
                <w:szCs w:val="18"/>
              </w:rPr>
              <w:t>实际担保金</w:t>
            </w:r>
          </w:p>
        </w:tc>
        <w:tc>
          <w:tcPr>
            <w:tcW w:w="10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3"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1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1" w:right="0"/>
              <w:jc w:val="left"/>
              <w:rPr>
                <w:rFonts w:ascii="宋体" w:hAnsi="宋体" w:cs="宋体" w:eastAsia="宋体" w:hint="default"/>
                <w:sz w:val="18"/>
                <w:szCs w:val="18"/>
              </w:rPr>
            </w:pPr>
            <w:r>
              <w:rPr>
                <w:rFonts w:ascii="宋体" w:hAnsi="宋体" w:cs="宋体" w:eastAsia="宋体" w:hint="default"/>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31" w:right="0"/>
              <w:jc w:val="left"/>
              <w:rPr>
                <w:rFonts w:ascii="宋体" w:hAnsi="宋体" w:cs="宋体" w:eastAsia="宋体" w:hint="default"/>
                <w:sz w:val="18"/>
                <w:szCs w:val="18"/>
              </w:rPr>
            </w:pPr>
            <w:r>
              <w:rPr>
                <w:rFonts w:ascii="宋体" w:hAnsi="宋体" w:cs="宋体" w:eastAsia="宋体" w:hint="default"/>
                <w:sz w:val="18"/>
                <w:szCs w:val="18"/>
              </w:rPr>
              <w:t>是否履行</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3" w:right="0"/>
              <w:jc w:val="left"/>
              <w:rPr>
                <w:rFonts w:ascii="宋体" w:hAnsi="宋体" w:cs="宋体" w:eastAsia="宋体" w:hint="default"/>
                <w:sz w:val="18"/>
                <w:szCs w:val="18"/>
              </w:rPr>
            </w:pPr>
            <w:r>
              <w:rPr>
                <w:rFonts w:ascii="宋体" w:hAnsi="宋体" w:cs="宋体" w:eastAsia="宋体" w:hint="default"/>
                <w:sz w:val="18"/>
                <w:szCs w:val="18"/>
              </w:rPr>
              <w:t>是否为关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09"/>
        <w:gridCol w:w="919"/>
        <w:gridCol w:w="926"/>
        <w:gridCol w:w="1302"/>
        <w:gridCol w:w="1057"/>
        <w:gridCol w:w="1041"/>
        <w:gridCol w:w="1046"/>
        <w:gridCol w:w="792"/>
        <w:gridCol w:w="783"/>
      </w:tblGrid>
      <w:tr>
        <w:trPr>
          <w:trHeight w:val="675"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919"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319" w:lineRule="auto" w:before="8"/>
              <w:ind w:left="100" w:right="85"/>
              <w:jc w:val="left"/>
              <w:rPr>
                <w:rFonts w:ascii="宋体" w:hAnsi="宋体" w:cs="宋体" w:eastAsia="宋体" w:hint="default"/>
                <w:sz w:val="18"/>
                <w:szCs w:val="18"/>
              </w:rPr>
            </w:pPr>
            <w:r>
              <w:rPr>
                <w:rFonts w:ascii="宋体" w:hAnsi="宋体" w:cs="宋体" w:eastAsia="宋体" w:hint="default"/>
                <w:sz w:val="18"/>
                <w:szCs w:val="18"/>
              </w:rPr>
              <w:t>相关公告 披露日期</w:t>
            </w:r>
          </w:p>
        </w:tc>
        <w:tc>
          <w:tcPr>
            <w:tcW w:w="926" w:type="dxa"/>
            <w:tcBorders>
              <w:top w:val="single" w:sz="4" w:space="0" w:color="000000"/>
              <w:left w:val="single" w:sz="5" w:space="0" w:color="000000"/>
              <w:bottom w:val="single" w:sz="4" w:space="0" w:color="000000"/>
              <w:right w:val="single" w:sz="4" w:space="0" w:color="000000"/>
            </w:tcBorders>
            <w:shd w:val="clear" w:color="auto" w:fill="D2D2D2"/>
          </w:tcPr>
          <w:p>
            <w:pP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9"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6"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16" w:right="0"/>
              <w:jc w:val="left"/>
              <w:rPr>
                <w:rFonts w:ascii="宋体" w:hAnsi="宋体" w:cs="宋体" w:eastAsia="宋体" w:hint="default"/>
                <w:sz w:val="18"/>
                <w:szCs w:val="18"/>
              </w:rPr>
            </w:pPr>
            <w:r>
              <w:rPr>
                <w:rFonts w:ascii="宋体" w:hAnsi="宋体" w:cs="宋体" w:eastAsia="宋体" w:hint="default"/>
                <w:sz w:val="18"/>
                <w:szCs w:val="18"/>
              </w:rPr>
              <w:t>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7" w:right="0"/>
              <w:jc w:val="left"/>
              <w:rPr>
                <w:rFonts w:ascii="宋体" w:hAnsi="宋体" w:cs="宋体" w:eastAsia="宋体" w:hint="default"/>
                <w:sz w:val="18"/>
                <w:szCs w:val="18"/>
              </w:rPr>
            </w:pPr>
            <w:r>
              <w:rPr>
                <w:rFonts w:ascii="宋体" w:hAnsi="宋体" w:cs="宋体" w:eastAsia="宋体" w:hint="default"/>
                <w:sz w:val="18"/>
                <w:szCs w:val="18"/>
              </w:rPr>
              <w:t>联方担保</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53"/>
              <w:jc w:val="left"/>
              <w:rPr>
                <w:rFonts w:ascii="宋体" w:hAnsi="宋体" w:cs="宋体" w:eastAsia="宋体" w:hint="default"/>
                <w:sz w:val="18"/>
                <w:szCs w:val="18"/>
              </w:rPr>
            </w:pPr>
            <w:r>
              <w:rPr>
                <w:rFonts w:ascii="宋体" w:hAnsi="宋体" w:cs="宋体" w:eastAsia="宋体" w:hint="default"/>
                <w:sz w:val="18"/>
                <w:szCs w:val="18"/>
              </w:rPr>
              <w:t>深圳市红塔资产管理 有限公司</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90,000.00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25</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23,621.96</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30" w:right="0"/>
              <w:jc w:val="left"/>
              <w:rPr>
                <w:rFonts w:ascii="宋体" w:hAnsi="宋体" w:cs="宋体" w:eastAsia="宋体" w:hint="default"/>
                <w:sz w:val="18"/>
                <w:szCs w:val="18"/>
              </w:rPr>
            </w:pPr>
            <w:r>
              <w:rPr>
                <w:rFonts w:ascii="宋体" w:hAnsi="宋体" w:cs="宋体" w:eastAsia="宋体" w:hint="default"/>
                <w:sz w:val="18"/>
                <w:szCs w:val="18"/>
              </w:rPr>
              <w:t>一般保证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25 </w:t>
            </w:r>
            <w:r>
              <w:rPr>
                <w:rFonts w:ascii="宋体" w:hAnsi="宋体" w:cs="宋体" w:eastAsia="宋体" w:hint="default"/>
                <w:sz w:val="18"/>
                <w:szCs w:val="18"/>
              </w:rPr>
              <w:t>日至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2022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4" w:right="53"/>
              <w:jc w:val="left"/>
              <w:rPr>
                <w:rFonts w:ascii="宋体" w:hAnsi="宋体" w:cs="宋体" w:eastAsia="宋体" w:hint="default"/>
                <w:sz w:val="18"/>
                <w:szCs w:val="18"/>
              </w:rPr>
            </w:pPr>
            <w:r>
              <w:rPr>
                <w:rFonts w:ascii="宋体" w:hAnsi="宋体" w:cs="宋体" w:eastAsia="宋体" w:hint="default"/>
                <w:sz w:val="18"/>
                <w:szCs w:val="18"/>
              </w:rPr>
              <w:t>北京金盛博基资产管 理有限公司</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z w:val="18"/>
              </w:rPr>
              <w:t>10,000.00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w w:val="95"/>
                <w:sz w:val="18"/>
              </w:rPr>
              <w:t>2,003.31</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30" w:right="0"/>
              <w:jc w:val="left"/>
              <w:rPr>
                <w:rFonts w:ascii="宋体" w:hAnsi="宋体" w:cs="宋体" w:eastAsia="宋体" w:hint="default"/>
                <w:sz w:val="18"/>
                <w:szCs w:val="18"/>
              </w:rPr>
            </w:pPr>
            <w:r>
              <w:rPr>
                <w:rFonts w:ascii="宋体" w:hAnsi="宋体" w:cs="宋体" w:eastAsia="宋体" w:hint="default"/>
                <w:sz w:val="18"/>
                <w:szCs w:val="18"/>
              </w:rPr>
              <w:t>一般保证</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w:t>
            </w:r>
            <w:r>
              <w:rPr>
                <w:rFonts w:ascii="宋体" w:hAnsi="宋体" w:cs="宋体" w:eastAsia="宋体" w:hint="default"/>
                <w:spacing w:val="-6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21 </w:t>
            </w:r>
            <w:r>
              <w:rPr>
                <w:rFonts w:ascii="宋体" w:hAnsi="宋体" w:cs="宋体" w:eastAsia="宋体" w:hint="default"/>
                <w:sz w:val="18"/>
                <w:szCs w:val="18"/>
              </w:rPr>
              <w:t>日至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2022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日</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报告期内审批的对外担保额度合 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2228" w:type="dxa"/>
            <w:gridSpan w:val="2"/>
            <w:tcBorders>
              <w:top w:val="single" w:sz="4" w:space="0" w:color="000000"/>
              <w:left w:val="single" w:sz="13"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73" w:right="0"/>
              <w:jc w:val="left"/>
              <w:rPr>
                <w:rFonts w:ascii="Times New Roman" w:hAnsi="Times New Roman" w:cs="Times New Roman" w:eastAsia="Times New Roman" w:hint="default"/>
                <w:sz w:val="18"/>
                <w:szCs w:val="18"/>
              </w:rPr>
            </w:pPr>
            <w:r>
              <w:rPr>
                <w:rFonts w:ascii="Times New Roman"/>
                <w:sz w:val="18"/>
              </w:rPr>
              <w:t>100,000.00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4" w:right="82"/>
              <w:jc w:val="left"/>
              <w:rPr>
                <w:rFonts w:ascii="宋体" w:hAnsi="宋体" w:cs="宋体" w:eastAsia="宋体" w:hint="default"/>
                <w:sz w:val="18"/>
                <w:szCs w:val="18"/>
              </w:rPr>
            </w:pPr>
            <w:r>
              <w:rPr>
                <w:rFonts w:ascii="宋体" w:hAnsi="宋体" w:cs="宋体" w:eastAsia="宋体" w:hint="default"/>
                <w:sz w:val="18"/>
                <w:szCs w:val="18"/>
              </w:rPr>
              <w:t>报告期内对外担保实际发 生额合计（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25,625.27</w:t>
            </w:r>
          </w:p>
        </w:tc>
      </w:tr>
      <w:tr>
        <w:trPr>
          <w:trHeight w:val="721"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报告期末已审批的对外担保额度 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2228" w:type="dxa"/>
            <w:gridSpan w:val="2"/>
            <w:tcBorders>
              <w:top w:val="single" w:sz="4" w:space="0" w:color="000000"/>
              <w:left w:val="single" w:sz="13"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73" w:right="0"/>
              <w:jc w:val="left"/>
              <w:rPr>
                <w:rFonts w:ascii="Times New Roman" w:hAnsi="Times New Roman" w:cs="Times New Roman" w:eastAsia="Times New Roman" w:hint="default"/>
                <w:sz w:val="18"/>
                <w:szCs w:val="18"/>
              </w:rPr>
            </w:pPr>
            <w:r>
              <w:rPr>
                <w:rFonts w:ascii="Times New Roman"/>
                <w:sz w:val="18"/>
              </w:rPr>
              <w:t>100,000.00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24" w:right="82"/>
              <w:jc w:val="left"/>
              <w:rPr>
                <w:rFonts w:ascii="宋体" w:hAnsi="宋体" w:cs="宋体" w:eastAsia="宋体" w:hint="default"/>
                <w:sz w:val="18"/>
                <w:szCs w:val="18"/>
              </w:rPr>
            </w:pPr>
            <w:r>
              <w:rPr>
                <w:rFonts w:ascii="宋体" w:hAnsi="宋体" w:cs="宋体" w:eastAsia="宋体" w:hint="default"/>
                <w:sz w:val="18"/>
                <w:szCs w:val="18"/>
              </w:rPr>
              <w:t>报告期末实际对外担保余 额合计（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25,625.27</w:t>
            </w:r>
          </w:p>
        </w:tc>
      </w:tr>
      <w:tr>
        <w:trPr>
          <w:trHeight w:val="396"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07"/>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5" w:right="91"/>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103"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29"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436" w:right="68"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49"/>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14" w:right="26" w:hanging="181"/>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7" w:right="24"/>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1025"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pacing w:val="-3"/>
                <w:sz w:val="18"/>
              </w:rPr>
              <w:t>MapscapeB.V.</w:t>
            </w:r>
          </w:p>
        </w:tc>
        <w:tc>
          <w:tcPr>
            <w:tcW w:w="919" w:type="dxa"/>
            <w:tcBorders>
              <w:top w:val="single" w:sz="4" w:space="0" w:color="000000"/>
              <w:left w:val="single" w:sz="4" w:space="0" w:color="000000"/>
              <w:bottom w:val="single" w:sz="4" w:space="0" w:color="000000"/>
              <w:right w:val="single" w:sz="4" w:space="0" w:color="000000"/>
            </w:tcBorders>
          </w:tcPr>
          <w:p>
            <w:pP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11,000.00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2,600.00</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3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号</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028"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9" w:lineRule="auto"/>
              <w:ind w:left="24" w:right="53"/>
              <w:jc w:val="left"/>
              <w:rPr>
                <w:rFonts w:ascii="宋体" w:hAnsi="宋体" w:cs="宋体" w:eastAsia="宋体" w:hint="default"/>
                <w:sz w:val="18"/>
                <w:szCs w:val="18"/>
              </w:rPr>
            </w:pPr>
            <w:r>
              <w:rPr>
                <w:rFonts w:ascii="宋体" w:hAnsi="宋体" w:cs="宋体" w:eastAsia="宋体" w:hint="default"/>
                <w:sz w:val="18"/>
                <w:szCs w:val="18"/>
              </w:rPr>
              <w:t>图新投资（香港）科 技有限公司</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84,030.10</w:t>
            </w:r>
            <w:r>
              <w:rPr>
                <w:rFonts w:ascii="Times New Roman"/>
                <w:sz w:val="18"/>
              </w:rPr>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9"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26</w:t>
            </w:r>
          </w:p>
          <w:p>
            <w:pPr>
              <w:pStyle w:val="TableParagraph"/>
              <w:spacing w:line="240" w:lineRule="auto" w:before="63"/>
              <w:ind w:left="29"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z w:val="18"/>
              </w:rPr>
              <w:t>0.00</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30"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26 </w:t>
            </w:r>
            <w:r>
              <w:rPr>
                <w:rFonts w:ascii="宋体" w:hAnsi="宋体" w:cs="宋体" w:eastAsia="宋体" w:hint="default"/>
                <w:sz w:val="18"/>
                <w:szCs w:val="18"/>
              </w:rPr>
              <w:t>号至</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2022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号</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 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8"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4" w:right="0"/>
              <w:jc w:val="left"/>
              <w:rPr>
                <w:rFonts w:ascii="Times New Roman" w:hAnsi="Times New Roman" w:cs="Times New Roman" w:eastAsia="Times New Roman" w:hint="default"/>
                <w:sz w:val="18"/>
                <w:szCs w:val="18"/>
              </w:rPr>
            </w:pPr>
            <w:r>
              <w:rPr>
                <w:rFonts w:ascii="Times New Roman"/>
                <w:sz w:val="18"/>
              </w:rPr>
              <w:t>95,030.10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2"/>
              <w:jc w:val="left"/>
              <w:rPr>
                <w:rFonts w:ascii="宋体" w:hAnsi="宋体" w:cs="宋体" w:eastAsia="宋体" w:hint="default"/>
                <w:sz w:val="18"/>
                <w:szCs w:val="18"/>
              </w:rPr>
            </w:pPr>
            <w:r>
              <w:rPr>
                <w:rFonts w:ascii="宋体" w:hAnsi="宋体" w:cs="宋体" w:eastAsia="宋体" w:hint="default"/>
                <w:sz w:val="18"/>
                <w:szCs w:val="18"/>
              </w:rPr>
              <w:t>报告期内对子公司担保实 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2,600.00</w:t>
            </w:r>
          </w:p>
        </w:tc>
      </w:tr>
      <w:tr>
        <w:trPr>
          <w:trHeight w:val="720"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 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28"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4" w:right="0"/>
              <w:jc w:val="left"/>
              <w:rPr>
                <w:rFonts w:ascii="Times New Roman" w:hAnsi="Times New Roman" w:cs="Times New Roman" w:eastAsia="Times New Roman" w:hint="default"/>
                <w:sz w:val="18"/>
                <w:szCs w:val="18"/>
              </w:rPr>
            </w:pPr>
            <w:r>
              <w:rPr>
                <w:rFonts w:ascii="Times New Roman"/>
                <w:sz w:val="18"/>
              </w:rPr>
              <w:t>95,030.10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2"/>
              <w:jc w:val="left"/>
              <w:rPr>
                <w:rFonts w:ascii="宋体" w:hAnsi="宋体" w:cs="宋体" w:eastAsia="宋体" w:hint="default"/>
                <w:sz w:val="18"/>
                <w:szCs w:val="18"/>
              </w:rPr>
            </w:pPr>
            <w:r>
              <w:rPr>
                <w:rFonts w:ascii="宋体" w:hAnsi="宋体" w:cs="宋体" w:eastAsia="宋体" w:hint="default"/>
                <w:sz w:val="18"/>
                <w:szCs w:val="18"/>
              </w:rPr>
              <w:t>报告期末对子公司实际担 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r>
      <w:tr>
        <w:trPr>
          <w:trHeight w:val="396"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027"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07"/>
              <w:jc w:val="right"/>
              <w:rPr>
                <w:rFonts w:ascii="宋体" w:hAnsi="宋体" w:cs="宋体" w:eastAsia="宋体" w:hint="default"/>
                <w:sz w:val="18"/>
                <w:szCs w:val="18"/>
              </w:rPr>
            </w:pPr>
            <w:r>
              <w:rPr>
                <w:rFonts w:ascii="宋体" w:hAnsi="宋体" w:cs="宋体" w:eastAsia="宋体" w:hint="default"/>
                <w:sz w:val="18"/>
                <w:szCs w:val="18"/>
              </w:rPr>
              <w:t>担保对象名称</w:t>
            </w:r>
          </w:p>
        </w:tc>
        <w:tc>
          <w:tcPr>
            <w:tcW w:w="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3" w:right="95"/>
              <w:jc w:val="both"/>
              <w:rPr>
                <w:rFonts w:ascii="宋体" w:hAnsi="宋体" w:cs="宋体" w:eastAsia="宋体" w:hint="default"/>
                <w:sz w:val="18"/>
                <w:szCs w:val="18"/>
              </w:rPr>
            </w:pPr>
            <w:r>
              <w:rPr>
                <w:rFonts w:ascii="宋体" w:hAnsi="宋体" w:cs="宋体" w:eastAsia="宋体" w:hint="default"/>
                <w:sz w:val="18"/>
                <w:szCs w:val="18"/>
              </w:rPr>
              <w:t>担保额度 相关公告 披露日期</w:t>
            </w:r>
          </w:p>
        </w:tc>
        <w:tc>
          <w:tcPr>
            <w:tcW w:w="9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91" w:right="0"/>
              <w:jc w:val="left"/>
              <w:rPr>
                <w:rFonts w:ascii="宋体" w:hAnsi="宋体" w:cs="宋体" w:eastAsia="宋体" w:hint="default"/>
                <w:sz w:val="18"/>
                <w:szCs w:val="18"/>
              </w:rPr>
            </w:pPr>
            <w:r>
              <w:rPr>
                <w:rFonts w:ascii="宋体" w:hAnsi="宋体" w:cs="宋体" w:eastAsia="宋体" w:hint="default"/>
                <w:sz w:val="18"/>
                <w:szCs w:val="18"/>
              </w:rPr>
              <w:t>担保额度</w:t>
            </w: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before="76"/>
              <w:ind w:left="12" w:right="0"/>
              <w:jc w:val="left"/>
              <w:rPr>
                <w:rFonts w:ascii="宋体" w:hAnsi="宋体" w:cs="宋体" w:eastAsia="宋体" w:hint="default"/>
                <w:sz w:val="18"/>
                <w:szCs w:val="18"/>
              </w:rPr>
            </w:pPr>
            <w:r>
              <w:rPr>
                <w:rFonts w:ascii="宋体" w:hAnsi="宋体" w:cs="宋体" w:eastAsia="宋体" w:hint="default"/>
                <w:sz w:val="18"/>
                <w:szCs w:val="18"/>
              </w:rPr>
              <w:t>（协议签署日）</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427" w:right="78" w:hanging="360"/>
              <w:jc w:val="left"/>
              <w:rPr>
                <w:rFonts w:ascii="宋体" w:hAnsi="宋体" w:cs="宋体" w:eastAsia="宋体" w:hint="default"/>
                <w:sz w:val="18"/>
                <w:szCs w:val="18"/>
              </w:rPr>
            </w:pPr>
            <w:r>
              <w:rPr>
                <w:rFonts w:ascii="宋体" w:hAnsi="宋体" w:cs="宋体" w:eastAsia="宋体" w:hint="default"/>
                <w:sz w:val="18"/>
                <w:szCs w:val="18"/>
              </w:rPr>
              <w:t>实际担保金 额</w:t>
            </w:r>
          </w:p>
        </w:tc>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158"/>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0"/>
              <w:jc w:val="center"/>
              <w:rPr>
                <w:rFonts w:ascii="宋体" w:hAnsi="宋体" w:cs="宋体" w:eastAsia="宋体" w:hint="default"/>
                <w:sz w:val="18"/>
                <w:szCs w:val="18"/>
              </w:rPr>
            </w:pPr>
            <w:r>
              <w:rPr>
                <w:rFonts w:ascii="宋体" w:hAnsi="宋体" w:cs="宋体" w:eastAsia="宋体" w:hint="default"/>
                <w:sz w:val="18"/>
                <w:szCs w:val="18"/>
              </w:rPr>
              <w:t>担保期</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09" w:right="31" w:hanging="181"/>
              <w:jc w:val="left"/>
              <w:rPr>
                <w:rFonts w:ascii="宋体" w:hAnsi="宋体" w:cs="宋体" w:eastAsia="宋体" w:hint="default"/>
                <w:sz w:val="18"/>
                <w:szCs w:val="18"/>
              </w:rPr>
            </w:pPr>
            <w:r>
              <w:rPr>
                <w:rFonts w:ascii="宋体" w:hAnsi="宋体" w:cs="宋体" w:eastAsia="宋体" w:hint="default"/>
                <w:sz w:val="18"/>
                <w:szCs w:val="18"/>
              </w:rPr>
              <w:t>是否履行 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29"/>
              <w:jc w:val="left"/>
              <w:rPr>
                <w:rFonts w:ascii="宋体" w:hAnsi="宋体" w:cs="宋体" w:eastAsia="宋体" w:hint="default"/>
                <w:sz w:val="18"/>
                <w:szCs w:val="18"/>
              </w:rPr>
            </w:pPr>
            <w:r>
              <w:rPr>
                <w:rFonts w:ascii="宋体" w:hAnsi="宋体" w:cs="宋体" w:eastAsia="宋体" w:hint="default"/>
                <w:sz w:val="18"/>
                <w:szCs w:val="18"/>
              </w:rPr>
              <w:t>是否为关 联方担保</w:t>
            </w:r>
          </w:p>
        </w:tc>
      </w:tr>
      <w:tr>
        <w:trPr>
          <w:trHeight w:val="397"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20"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28"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1373" w:right="0"/>
              <w:jc w:val="left"/>
              <w:rPr>
                <w:rFonts w:ascii="Times New Roman" w:hAnsi="Times New Roman" w:cs="Times New Roman" w:eastAsia="Times New Roman" w:hint="default"/>
                <w:sz w:val="18"/>
                <w:szCs w:val="18"/>
              </w:rPr>
            </w:pPr>
            <w:r>
              <w:rPr>
                <w:rFonts w:ascii="Times New Roman"/>
                <w:sz w:val="18"/>
              </w:rPr>
              <w:t>195,030.10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4" w:right="82"/>
              <w:jc w:val="left"/>
              <w:rPr>
                <w:rFonts w:ascii="宋体" w:hAnsi="宋体" w:cs="宋体" w:eastAsia="宋体" w:hint="default"/>
                <w:sz w:val="18"/>
                <w:szCs w:val="18"/>
              </w:rPr>
            </w:pPr>
            <w:r>
              <w:rPr>
                <w:rFonts w:ascii="宋体" w:hAnsi="宋体" w:cs="宋体" w:eastAsia="宋体" w:hint="default"/>
                <w:sz w:val="18"/>
                <w:szCs w:val="18"/>
              </w:rPr>
              <w:t>报告期内担保实际发生额 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28,225.27</w:t>
            </w:r>
          </w:p>
        </w:tc>
      </w:tr>
      <w:tr>
        <w:trPr>
          <w:trHeight w:val="713" w:hRule="exact"/>
        </w:trPr>
        <w:tc>
          <w:tcPr>
            <w:tcW w:w="26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28"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73" w:right="0"/>
              <w:jc w:val="left"/>
              <w:rPr>
                <w:rFonts w:ascii="Times New Roman" w:hAnsi="Times New Roman" w:cs="Times New Roman" w:eastAsia="Times New Roman" w:hint="default"/>
                <w:sz w:val="18"/>
                <w:szCs w:val="18"/>
              </w:rPr>
            </w:pPr>
            <w:r>
              <w:rPr>
                <w:rFonts w:ascii="Times New Roman"/>
                <w:sz w:val="18"/>
              </w:rPr>
              <w:t>195,030.10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82"/>
              <w:jc w:val="left"/>
              <w:rPr>
                <w:rFonts w:ascii="宋体" w:hAnsi="宋体" w:cs="宋体" w:eastAsia="宋体" w:hint="default"/>
                <w:sz w:val="18"/>
                <w:szCs w:val="18"/>
              </w:rPr>
            </w:pPr>
            <w:r>
              <w:rPr>
                <w:rFonts w:ascii="宋体" w:hAnsi="宋体" w:cs="宋体" w:eastAsia="宋体" w:hint="default"/>
                <w:sz w:val="18"/>
                <w:szCs w:val="18"/>
              </w:rPr>
              <w:t>报告期末实际担保余额合 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25,625.27</w:t>
            </w:r>
          </w:p>
        </w:tc>
      </w:tr>
      <w:tr>
        <w:trPr>
          <w:trHeight w:val="408"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3.86%</w:t>
            </w:r>
          </w:p>
        </w:tc>
      </w:tr>
      <w:tr>
        <w:trPr>
          <w:trHeight w:val="391"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18"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8"/>
              <w:jc w:val="right"/>
              <w:rPr>
                <w:rFonts w:ascii="Times New Roman" w:hAnsi="Times New Roman" w:cs="Times New Roman" w:eastAsia="Times New Roman" w:hint="default"/>
                <w:sz w:val="18"/>
                <w:szCs w:val="18"/>
              </w:rPr>
            </w:pPr>
            <w:r>
              <w:rPr>
                <w:rFonts w:ascii="Times New Roman"/>
                <w:sz w:val="18"/>
              </w:rPr>
              <w:t>0.00</w:t>
            </w:r>
          </w:p>
        </w:tc>
      </w:tr>
      <w:tr>
        <w:trPr>
          <w:trHeight w:val="38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8"/>
              <w:ind w:left="24"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的被担保对象提供的债务</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81"/>
              <w:ind w:right="18"/>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4855"/>
        <w:gridCol w:w="4719"/>
      </w:tblGrid>
      <w:tr>
        <w:trPr>
          <w:trHeight w:val="363"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719"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r>
      <w:tr>
        <w:trPr>
          <w:trHeight w:val="713"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3"/>
                <w:sz w:val="18"/>
                <w:szCs w:val="18"/>
              </w:rPr>
              <w:t>对未到期担保，报告期内已发生担保责任或可能承担连带清偿</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责任的情况说明（如有）</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403" w:hRule="exact"/>
        </w:trPr>
        <w:tc>
          <w:tcPr>
            <w:tcW w:w="48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违反规定程序对外提供担保的说明（如有）</w:t>
            </w:r>
          </w:p>
        </w:tc>
        <w:tc>
          <w:tcPr>
            <w:tcW w:w="47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9"/>
              <w:jc w:val="righ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10"/>
        <w:rPr>
          <w:rFonts w:ascii="Times New Roman" w:hAnsi="Times New Roman" w:cs="Times New Roman" w:eastAsia="Times New Roman" w:hint="default"/>
          <w:sz w:val="21"/>
          <w:szCs w:val="21"/>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）违规对外担保情况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67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公司报告期无违规对外担保情况。</w:t>
      </w:r>
    </w:p>
    <w:p>
      <w:pPr>
        <w:spacing w:line="240" w:lineRule="auto" w:before="7"/>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）委托理财情况</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980"/>
        </w:sectPr>
      </w:pPr>
    </w:p>
    <w:p>
      <w:pPr>
        <w:pStyle w:val="BodyText"/>
        <w:spacing w:line="340"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单位：万元</w:t>
      </w:r>
    </w:p>
    <w:p>
      <w:pPr>
        <w:spacing w:after="0" w:line="240" w:lineRule="auto"/>
        <w:jc w:val="left"/>
        <w:sectPr>
          <w:type w:val="continuous"/>
          <w:pgSz w:w="11910" w:h="16840"/>
          <w:pgMar w:top="1060" w:bottom="1160" w:left="980" w:right="980"/>
          <w:cols w:num="2" w:equalWidth="0">
            <w:col w:w="1953" w:space="6787"/>
            <w:col w:w="1210"/>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868"/>
        <w:gridCol w:w="1964"/>
        <w:gridCol w:w="1980"/>
        <w:gridCol w:w="1910"/>
        <w:gridCol w:w="1846"/>
      </w:tblGrid>
      <w:tr>
        <w:trPr>
          <w:trHeight w:val="403"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66"/>
              <w:jc w:val="righ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1"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8"/>
              <w:jc w:val="right"/>
              <w:rPr>
                <w:rFonts w:ascii="宋体" w:hAnsi="宋体" w:cs="宋体" w:eastAsia="宋体" w:hint="default"/>
                <w:sz w:val="18"/>
                <w:szCs w:val="18"/>
              </w:rPr>
            </w:pPr>
            <w:r>
              <w:rPr>
                <w:rFonts w:ascii="宋体" w:hAnsi="宋体" w:cs="宋体" w:eastAsia="宋体" w:hint="default"/>
                <w:sz w:val="18"/>
                <w:szCs w:val="18"/>
              </w:rPr>
              <w:t>杰发科技闲置自有资金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40,000.00</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9,500.00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40,000.00</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9,500.00</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0"/>
        <w:jc w:val="left"/>
      </w:pPr>
      <w:r>
        <w:rPr/>
        <w:t>单项金额重大或安全性较低、流动性较差、不保本的高风险委托理财具体情况</w:t>
      </w:r>
    </w:p>
    <w:p>
      <w:pPr>
        <w:pStyle w:val="BodyText"/>
        <w:spacing w:line="340" w:lineRule="auto" w:before="115"/>
        <w:ind w:right="47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委托理财出现预期无法收回本金或存在其他可能导致减值的情形</w:t>
      </w:r>
    </w:p>
    <w:p>
      <w:pPr>
        <w:pStyle w:val="BodyText"/>
        <w:spacing w:line="240" w:lineRule="auto" w:before="41"/>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）委托贷款情况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4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公司报告期不存在委托贷款。</w:t>
      </w:r>
    </w:p>
    <w:p>
      <w:pPr>
        <w:spacing w:line="240" w:lineRule="auto" w:before="4"/>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4</w:t>
      </w:r>
      <w:r>
        <w:rPr/>
        <w:t>、其他重大合同</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70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公司报告期不存在其他重大合同。</w:t>
      </w:r>
    </w:p>
    <w:p>
      <w:pPr>
        <w:spacing w:after="0" w:line="340" w:lineRule="auto"/>
        <w:jc w:val="left"/>
        <w:sectPr>
          <w:type w:val="continuous"/>
          <w:pgSz w:w="11910" w:h="16840"/>
          <w:pgMar w:top="1060" w:bottom="1160" w:left="980" w:right="980"/>
        </w:sectPr>
      </w:pPr>
    </w:p>
    <w:p>
      <w:pPr>
        <w:spacing w:line="240" w:lineRule="auto" w:before="8"/>
        <w:rPr>
          <w:rFonts w:ascii="宋体" w:hAnsi="宋体" w:cs="宋体" w:eastAsia="宋体" w:hint="default"/>
          <w:sz w:val="23"/>
          <w:szCs w:val="23"/>
        </w:rPr>
      </w:pPr>
    </w:p>
    <w:p>
      <w:pPr>
        <w:pStyle w:val="Heading3"/>
        <w:spacing w:line="240" w:lineRule="auto" w:before="26"/>
        <w:ind w:right="0"/>
        <w:jc w:val="left"/>
        <w:rPr>
          <w:b w:val="0"/>
          <w:bCs w:val="0"/>
        </w:rPr>
      </w:pPr>
      <w:r>
        <w:rPr/>
        <w:t>十八、社会责任情况</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、履行社会责任情况</w:t>
      </w:r>
      <w:r>
        <w:rPr>
          <w:b w:val="0"/>
          <w:bCs w:val="0"/>
        </w:rPr>
      </w:r>
    </w:p>
    <w:p>
      <w:pPr>
        <w:spacing w:line="240" w:lineRule="auto" w:before="2"/>
        <w:rPr>
          <w:rFonts w:ascii="宋体" w:hAnsi="宋体" w:cs="宋体" w:eastAsia="宋体" w:hint="default"/>
          <w:b/>
          <w:bCs/>
          <w:sz w:val="26"/>
          <w:szCs w:val="26"/>
        </w:rPr>
      </w:pPr>
    </w:p>
    <w:p>
      <w:pPr>
        <w:pStyle w:val="BodyText"/>
        <w:spacing w:line="300" w:lineRule="auto"/>
        <w:ind w:right="159" w:firstLine="360"/>
        <w:jc w:val="both"/>
      </w:pPr>
      <w:r>
        <w:rPr/>
        <w:t>具体内容详见</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26</w:t>
      </w:r>
      <w:r>
        <w:rPr/>
        <w:t>日发布在《中国证券报》、《证券时报》及巨潮资讯网上的《北京四维图新科技股份有限公 司</w:t>
      </w:r>
      <w:r>
        <w:rPr>
          <w:rFonts w:ascii="Times New Roman" w:hAnsi="Times New Roman" w:cs="Times New Roman" w:eastAsia="Times New Roman" w:hint="default"/>
        </w:rPr>
        <w:t>2017</w:t>
      </w:r>
      <w:r>
        <w:rPr/>
        <w:t>年度社会责任报告》。</w:t>
      </w:r>
    </w:p>
    <w:p>
      <w:pPr>
        <w:spacing w:line="240" w:lineRule="auto" w:before="4"/>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2</w:t>
      </w:r>
      <w:r>
        <w:rPr/>
        <w:t>、履行精准扶贫社会责任情况</w:t>
      </w:r>
      <w:r>
        <w:rPr>
          <w:b w:val="0"/>
          <w:bCs w:val="0"/>
        </w:rPr>
      </w:r>
    </w:p>
    <w:p>
      <w:pPr>
        <w:spacing w:line="240" w:lineRule="auto" w:before="4"/>
        <w:rPr>
          <w:rFonts w:ascii="宋体" w:hAnsi="宋体" w:cs="宋体" w:eastAsia="宋体" w:hint="default"/>
          <w:b/>
          <w:bCs/>
          <w:sz w:val="26"/>
          <w:szCs w:val="26"/>
        </w:rPr>
      </w:pPr>
    </w:p>
    <w:p>
      <w:pPr>
        <w:pStyle w:val="BodyText"/>
        <w:spacing w:line="319" w:lineRule="auto"/>
        <w:ind w:right="148" w:firstLine="360"/>
        <w:jc w:val="both"/>
        <w:rPr>
          <w:rFonts w:ascii="宋体" w:hAnsi="宋体" w:cs="宋体" w:eastAsia="宋体" w:hint="default"/>
        </w:rPr>
      </w:pPr>
      <w:r>
        <w:rPr>
          <w:spacing w:val="-2"/>
        </w:rPr>
        <w:t>四维图新旗下专业大数据公司世纪高通联手贵州省扶贫办，依托四维图新位置大数据平台</w:t>
      </w:r>
      <w:r>
        <w:rPr>
          <w:rFonts w:ascii="宋体" w:hAnsi="宋体" w:cs="宋体" w:eastAsia="宋体" w:hint="default"/>
          <w:spacing w:val="-2"/>
        </w:rPr>
        <w:t>MineData</w:t>
      </w:r>
      <w:r>
        <w:rPr>
          <w:spacing w:val="-2"/>
        </w:rPr>
        <w:t>核心能力，基于“云</w:t>
      </w:r>
      <w:r>
        <w:rPr/>
        <w:t> 上贵州”环境，升级改造了贵州全省“扶贫云”平台，创新性实践了互联网</w:t>
      </w:r>
      <w:r>
        <w:rPr>
          <w:rFonts w:ascii="宋体" w:hAnsi="宋体" w:cs="宋体" w:eastAsia="宋体" w:hint="default"/>
        </w:rPr>
        <w:t>+</w:t>
      </w:r>
      <w:r>
        <w:rPr/>
        <w:t>科学精准扶贫新模式，旨在规划探讨在大数据 </w:t>
      </w:r>
      <w:r>
        <w:rPr>
          <w:spacing w:val="-2"/>
        </w:rPr>
        <w:t>环境下，以大数据加工工具为基础，运用数据比对与数据分析，提升对贫困状况的监测与评估，加强对扶贫资金的科学使用</w:t>
      </w:r>
      <w:r>
        <w:rPr>
          <w:spacing w:val="-65"/>
        </w:rPr>
        <w:t> </w:t>
      </w:r>
      <w:r>
        <w:rPr>
          <w:spacing w:val="-65"/>
        </w:rPr>
      </w:r>
      <w:r>
        <w:rPr>
          <w:spacing w:val="-2"/>
        </w:rPr>
        <w:t>和对扶贫项目的智能监管，为各级决策层和各级扶贫部门提供决策支持与资源协助，运用大数据技术精准帮扶，实现“看真</w:t>
      </w:r>
      <w:r>
        <w:rPr>
          <w:spacing w:val="-61"/>
        </w:rPr>
        <w:t> </w:t>
      </w:r>
      <w:r>
        <w:rPr>
          <w:spacing w:val="-61"/>
        </w:rPr>
      </w:r>
      <w:r>
        <w:rPr/>
        <w:t>贫、扶真贫、真扶贫”。</w:t>
      </w:r>
      <w:r>
        <w:rPr>
          <w:rFonts w:ascii="宋体" w:hAnsi="宋体" w:cs="宋体" w:eastAsia="宋体" w:hint="default"/>
        </w:rPr>
        <w:t> </w:t>
      </w:r>
    </w:p>
    <w:p>
      <w:pPr>
        <w:pStyle w:val="BodyText"/>
        <w:spacing w:line="316" w:lineRule="auto" w:before="17"/>
        <w:ind w:right="149" w:firstLine="360"/>
        <w:jc w:val="right"/>
        <w:rPr>
          <w:rFonts w:ascii="宋体" w:hAnsi="宋体" w:cs="宋体" w:eastAsia="宋体" w:hint="default"/>
        </w:rPr>
      </w:pPr>
      <w:r>
        <w:rPr/>
        <w:t>世纪高通将为贵州“扶贫云”建设扶贫大数据中心，并升级改造两个基础支撑平台（</w:t>
      </w:r>
      <w:r>
        <w:rPr>
          <w:rFonts w:ascii="宋体" w:hAnsi="宋体" w:cs="宋体" w:eastAsia="宋体" w:hint="default"/>
        </w:rPr>
        <w:t>GIS</w:t>
      </w:r>
      <w:r>
        <w:rPr/>
        <w:t>基础支撑平台和扶贫云基础支 </w:t>
      </w:r>
      <w:r>
        <w:rPr>
          <w:spacing w:val="-2"/>
        </w:rPr>
        <w:t>撑平台）及一个“扶贫云”业务系统，依托</w:t>
      </w:r>
      <w:r>
        <w:rPr>
          <w:rFonts w:ascii="宋体" w:hAnsi="宋体" w:cs="宋体" w:eastAsia="宋体" w:hint="default"/>
          <w:spacing w:val="-2"/>
        </w:rPr>
        <w:t>MineData</w:t>
      </w:r>
      <w:r>
        <w:rPr>
          <w:spacing w:val="-2"/>
        </w:rPr>
        <w:t>大数据平台能力，将贫困信息精确到户，并通过精准可视化数据，为贵</w:t>
      </w:r>
      <w:r>
        <w:rPr>
          <w:spacing w:val="-81"/>
        </w:rPr>
        <w:t> </w:t>
      </w:r>
      <w:r>
        <w:rPr>
          <w:spacing w:val="-81"/>
        </w:rPr>
      </w:r>
      <w:r>
        <w:rPr/>
        <w:t>州省扶贫办扶贫工作的精准甄别、精准监测、精准预警、精准决策以及科学管理提供技术支撑，从而最终实现精准帮扶。</w:t>
      </w:r>
      <w:r>
        <w:rPr>
          <w:rFonts w:ascii="宋体" w:hAnsi="宋体" w:cs="宋体" w:eastAsia="宋体" w:hint="default"/>
        </w:rPr>
        <w:t> </w:t>
      </w:r>
      <w:r>
        <w:rPr>
          <w:spacing w:val="-2"/>
        </w:rPr>
        <w:t>本次项目升级改造后，将基本建成结构合理、功能完善、安全稳定、监管有效、服务全面、覆盖全局的“扶贫云”工作</w:t>
      </w:r>
      <w:r>
        <w:rPr/>
        <w:t> </w:t>
      </w:r>
      <w:r>
        <w:rPr>
          <w:spacing w:val="-2"/>
        </w:rPr>
        <w:t>体系，做到连接国家、省、地、县、乡、村扶贫工作机构，融合各方资源，达到“共搭平台、共享资源、广开渠道、精准扶</w:t>
      </w:r>
      <w:r>
        <w:rPr>
          <w:spacing w:val="-85"/>
        </w:rPr>
        <w:t> </w:t>
      </w:r>
      <w:r>
        <w:rPr>
          <w:spacing w:val="-85"/>
        </w:rPr>
      </w:r>
      <w:r>
        <w:rPr>
          <w:spacing w:val="-2"/>
        </w:rPr>
        <w:t>贫”的目标，达到扶贫政务管理、决策支持、公共服务的协同运行，建成贵州省在</w:t>
      </w:r>
      <w:r>
        <w:rPr>
          <w:rFonts w:ascii="宋体" w:hAnsi="宋体" w:cs="宋体" w:eastAsia="宋体" w:hint="default"/>
          <w:spacing w:val="-2"/>
        </w:rPr>
        <w:t>2020</w:t>
      </w:r>
      <w:r>
        <w:rPr>
          <w:spacing w:val="-2"/>
        </w:rPr>
        <w:t>年前基本消除贫困目标的重要信息化</w:t>
      </w:r>
      <w:r>
        <w:rPr>
          <w:spacing w:val="-71"/>
        </w:rPr>
        <w:t> </w:t>
      </w:r>
      <w:r>
        <w:rPr>
          <w:spacing w:val="-71"/>
        </w:rPr>
      </w:r>
      <w:r>
        <w:rPr>
          <w:spacing w:val="-1"/>
        </w:rPr>
        <w:t>支撑平台。这也是继</w:t>
      </w:r>
      <w:r>
        <w:rPr>
          <w:rFonts w:ascii="宋体" w:hAnsi="宋体" w:cs="宋体" w:eastAsia="宋体" w:hint="default"/>
          <w:spacing w:val="-1"/>
        </w:rPr>
        <w:t>MineData</w:t>
      </w:r>
      <w:r>
        <w:rPr>
          <w:spacing w:val="-1"/>
        </w:rPr>
        <w:t>落地于交警、交通、公安、物流、运营商等众多行业后，在国家扶贫领域的又一重要进展。</w:t>
      </w:r>
      <w:r>
        <w:rPr>
          <w:rFonts w:ascii="宋体" w:hAnsi="宋体" w:cs="宋体" w:eastAsia="宋体" w:hint="default"/>
        </w:rPr>
        <w:t> </w:t>
      </w:r>
    </w:p>
    <w:p>
      <w:pPr>
        <w:spacing w:line="240" w:lineRule="auto" w:before="10"/>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3</w:t>
      </w:r>
      <w:r>
        <w:rPr/>
        <w:t>、环境保护相关的情况</w:t>
      </w:r>
      <w:r>
        <w:rPr>
          <w:b w:val="0"/>
          <w:bCs w:val="0"/>
        </w:rPr>
      </w:r>
    </w:p>
    <w:p>
      <w:pPr>
        <w:spacing w:line="240" w:lineRule="auto" w:before="2"/>
        <w:rPr>
          <w:rFonts w:ascii="宋体" w:hAnsi="宋体" w:cs="宋体" w:eastAsia="宋体" w:hint="default"/>
          <w:b/>
          <w:bCs/>
          <w:sz w:val="26"/>
          <w:szCs w:val="26"/>
        </w:rPr>
      </w:pPr>
    </w:p>
    <w:p>
      <w:pPr>
        <w:pStyle w:val="BodyText"/>
        <w:spacing w:line="360" w:lineRule="auto"/>
        <w:ind w:right="4734"/>
        <w:jc w:val="left"/>
      </w:pPr>
      <w:r>
        <w:rPr/>
        <w:t>上市公司及其子公司是否属于环境保护部门公布的重点排污单位 否</w:t>
      </w:r>
    </w:p>
    <w:p>
      <w:pPr>
        <w:pStyle w:val="BodyText"/>
        <w:spacing w:line="300" w:lineRule="auto" w:before="25"/>
        <w:ind w:right="144"/>
        <w:jc w:val="left"/>
      </w:pPr>
      <w:r>
        <w:rPr>
          <w:spacing w:val="-3"/>
        </w:rPr>
        <w:t>具体内容详见</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4</w:t>
      </w:r>
      <w:r>
        <w:rPr>
          <w:spacing w:val="-3"/>
        </w:rPr>
        <w:t>月</w:t>
      </w:r>
      <w:r>
        <w:rPr>
          <w:rFonts w:ascii="Times New Roman" w:hAnsi="Times New Roman" w:cs="Times New Roman" w:eastAsia="Times New Roman" w:hint="default"/>
          <w:spacing w:val="-3"/>
        </w:rPr>
        <w:t>26</w:t>
      </w:r>
      <w:r>
        <w:rPr>
          <w:spacing w:val="-3"/>
        </w:rPr>
        <w:t>日发布在《中国证券报》、《证券时报》及巨潮资讯网上的《北京四维图新科技股份有限公司</w:t>
      </w:r>
      <w:r>
        <w:rPr>
          <w:rFonts w:ascii="Times New Roman" w:hAnsi="Times New Roman" w:cs="Times New Roman" w:eastAsia="Times New Roman" w:hint="default"/>
          <w:spacing w:val="-3"/>
        </w:rPr>
        <w:t>2017</w:t>
      </w:r>
      <w:r>
        <w:rPr>
          <w:rFonts w:ascii="Times New Roman" w:hAnsi="Times New Roman" w:cs="Times New Roman" w:eastAsia="Times New Roman" w:hint="default"/>
          <w:spacing w:val="-40"/>
        </w:rPr>
        <w:t> </w:t>
      </w:r>
      <w:r>
        <w:rPr>
          <w:rFonts w:ascii="Times New Roman" w:hAnsi="Times New Roman" w:cs="Times New Roman" w:eastAsia="Times New Roman" w:hint="default"/>
          <w:spacing w:val="-40"/>
        </w:rPr>
      </w:r>
      <w:r>
        <w:rPr/>
        <w:t>年度社会责任报告》。</w:t>
      </w:r>
    </w:p>
    <w:p>
      <w:pPr>
        <w:spacing w:line="240" w:lineRule="auto" w:before="11"/>
        <w:rPr>
          <w:rFonts w:ascii="宋体" w:hAnsi="宋体" w:cs="宋体" w:eastAsia="宋体" w:hint="default"/>
          <w:sz w:val="21"/>
          <w:szCs w:val="21"/>
        </w:rPr>
      </w:pPr>
    </w:p>
    <w:p>
      <w:pPr>
        <w:pStyle w:val="Heading3"/>
        <w:spacing w:line="240" w:lineRule="auto"/>
        <w:ind w:right="0"/>
        <w:jc w:val="left"/>
        <w:rPr>
          <w:b w:val="0"/>
          <w:bCs w:val="0"/>
        </w:rPr>
      </w:pPr>
      <w:r>
        <w:rPr/>
        <w:t>十九、其他重大事项的说明</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61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公司报告期不存在需要说明的其他重大事项。</w:t>
      </w:r>
    </w:p>
    <w:p>
      <w:pPr>
        <w:spacing w:line="240" w:lineRule="auto" w:before="4"/>
        <w:rPr>
          <w:rFonts w:ascii="宋体" w:hAnsi="宋体" w:cs="宋体" w:eastAsia="宋体" w:hint="default"/>
          <w:sz w:val="19"/>
          <w:szCs w:val="19"/>
        </w:rPr>
      </w:pPr>
    </w:p>
    <w:p>
      <w:pPr>
        <w:pStyle w:val="Heading3"/>
        <w:spacing w:line="240" w:lineRule="auto"/>
        <w:ind w:right="0"/>
        <w:jc w:val="left"/>
        <w:rPr>
          <w:b w:val="0"/>
          <w:bCs w:val="0"/>
        </w:rPr>
      </w:pPr>
      <w:r>
        <w:rPr/>
        <w:t>二十、公司子公司重大事项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2964" w:right="0"/>
        <w:jc w:val="left"/>
        <w:rPr>
          <w:b w:val="0"/>
          <w:bCs w:val="0"/>
        </w:rPr>
      </w:pPr>
      <w:bookmarkStart w:name="_bookmark5" w:id="6"/>
      <w:bookmarkEnd w:id="6"/>
      <w:r>
        <w:rPr>
          <w:b w:val="0"/>
          <w:bCs w:val="0"/>
        </w:rPr>
      </w:r>
      <w:r>
        <w:rPr/>
        <w:t>第六节</w:t>
      </w:r>
      <w:r>
        <w:rPr>
          <w:spacing w:val="-6"/>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3"/>
        <w:spacing w:line="240" w:lineRule="auto" w:before="26"/>
        <w:ind w:right="0"/>
        <w:jc w:val="left"/>
        <w:rPr>
          <w:b w:val="0"/>
          <w:bCs w:val="0"/>
        </w:rPr>
      </w:pPr>
      <w:r>
        <w:rPr/>
        <w:t>一、股份变动情况</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、股份变动情况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291"/>
        <w:jc w:val="right"/>
      </w:pPr>
      <w:r>
        <w:rPr/>
        <w:t>单位：股</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85"/>
        <w:gridCol w:w="1136"/>
        <w:gridCol w:w="754"/>
        <w:gridCol w:w="1090"/>
        <w:gridCol w:w="567"/>
        <w:gridCol w:w="708"/>
        <w:gridCol w:w="924"/>
        <w:gridCol w:w="823"/>
        <w:gridCol w:w="795"/>
        <w:gridCol w:w="792"/>
      </w:tblGrid>
      <w:tr>
        <w:trPr>
          <w:trHeight w:val="403" w:hRule="exact"/>
        </w:trPr>
        <w:tc>
          <w:tcPr>
            <w:tcW w:w="1985" w:type="dxa"/>
            <w:vMerge w:val="restart"/>
            <w:tcBorders>
              <w:top w:val="single" w:sz="4" w:space="0" w:color="000000"/>
              <w:left w:val="single" w:sz="4" w:space="0" w:color="000000"/>
              <w:right w:val="single" w:sz="4" w:space="0" w:color="000000"/>
            </w:tcBorders>
            <w:shd w:val="clear" w:color="auto" w:fill="D2D2D2"/>
          </w:tcPr>
          <w:p>
            <w:pPr/>
          </w:p>
        </w:tc>
        <w:tc>
          <w:tcPr>
            <w:tcW w:w="18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9"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60"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3" w:hRule="exact"/>
        </w:trPr>
        <w:tc>
          <w:tcPr>
            <w:tcW w:w="1985" w:type="dxa"/>
            <w:vMerge/>
            <w:tcBorders>
              <w:left w:val="single" w:sz="4" w:space="0" w:color="000000"/>
              <w:bottom w:val="single" w:sz="4" w:space="0" w:color="000000"/>
              <w:right w:val="single" w:sz="4" w:space="0" w:color="000000"/>
            </w:tcBorders>
            <w:shd w:val="clear" w:color="auto" w:fill="D2D2D2"/>
          </w:tcPr>
          <w:p>
            <w:pP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数量</w:t>
            </w:r>
          </w:p>
        </w:tc>
        <w:tc>
          <w:tcPr>
            <w:tcW w:w="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70" w:right="77"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7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55,050,781</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5.16%</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216,341,748</w:t>
            </w: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-18,870,94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197,470,8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01</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252,521,5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82</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19.69%</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25,012,069</w:t>
            </w: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25,012,06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25,012,06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1.95%</w:t>
            </w: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55,050,781</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5.16%</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191,329,679</w:t>
            </w: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-18,870,94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172,458,7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32</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227,509,5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13</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17.74%</w:t>
            </w:r>
          </w:p>
        </w:tc>
      </w:tr>
      <w:tr>
        <w:trPr>
          <w:trHeight w:val="716"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171,176,919</w:t>
            </w: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171,176,9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19</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171,176,9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19</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13.35%</w:t>
            </w: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境内自然人持股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55,050,781</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5.16%</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20,152,760</w:t>
            </w: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-18,870,94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1,281,813</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56,332,59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4.39%</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境外自然人持股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71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1,011,476,484</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94.84%</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18,616,947</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18,616,94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1,030,093</w:t>
            </w:r>
          </w:p>
          <w:p>
            <w:pPr>
              <w:pStyle w:val="TableParagraph"/>
              <w:spacing w:line="240" w:lineRule="auto" w:before="105"/>
              <w:ind w:left="446" w:right="0"/>
              <w:jc w:val="left"/>
              <w:rPr>
                <w:rFonts w:ascii="Times New Roman" w:hAnsi="Times New Roman" w:cs="Times New Roman" w:eastAsia="Times New Roman" w:hint="default"/>
                <w:sz w:val="18"/>
                <w:szCs w:val="18"/>
              </w:rPr>
            </w:pPr>
            <w:r>
              <w:rPr>
                <w:rFonts w:ascii="Times New Roman"/>
                <w:sz w:val="18"/>
              </w:rPr>
              <w:t>,431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80.31%</w:t>
            </w:r>
          </w:p>
        </w:tc>
      </w:tr>
      <w:tr>
        <w:trPr>
          <w:trHeight w:val="716"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1,011,476,484</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94.84%</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18,616,947</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18,616,94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1,030,093</w:t>
            </w:r>
          </w:p>
          <w:p>
            <w:pPr>
              <w:pStyle w:val="TableParagraph"/>
              <w:spacing w:line="240" w:lineRule="auto" w:before="105"/>
              <w:ind w:left="446" w:right="0"/>
              <w:jc w:val="left"/>
              <w:rPr>
                <w:rFonts w:ascii="Times New Roman" w:hAnsi="Times New Roman" w:cs="Times New Roman" w:eastAsia="Times New Roman" w:hint="default"/>
                <w:sz w:val="18"/>
                <w:szCs w:val="18"/>
              </w:rPr>
            </w:pPr>
            <w:r>
              <w:rPr>
                <w:rFonts w:ascii="Times New Roman"/>
                <w:sz w:val="18"/>
              </w:rPr>
              <w:t>,431</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80.31%</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090" w:type="dxa"/>
            <w:tcBorders>
              <w:top w:val="single" w:sz="4" w:space="0" w:color="000000"/>
              <w:left w:val="single" w:sz="4" w:space="0" w:color="000000"/>
              <w:bottom w:val="single" w:sz="4" w:space="0" w:color="000000"/>
              <w:right w:val="single" w:sz="4" w:space="0" w:color="000000"/>
            </w:tcBorders>
          </w:tcPr>
          <w:p>
            <w:pP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c>
          <w:tcPr>
            <w:tcW w:w="823" w:type="dxa"/>
            <w:tcBorders>
              <w:top w:val="single" w:sz="4" w:space="0" w:color="000000"/>
              <w:left w:val="single" w:sz="4" w:space="0" w:color="000000"/>
              <w:bottom w:val="single" w:sz="4" w:space="0" w:color="000000"/>
              <w:right w:val="single" w:sz="4" w:space="0" w:color="000000"/>
            </w:tcBorders>
          </w:tcPr>
          <w:p>
            <w:pP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1,066,527,265</w:t>
            </w:r>
          </w:p>
        </w:tc>
        <w:tc>
          <w:tcPr>
            <w:tcW w:w="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216,341,748</w:t>
            </w:r>
          </w:p>
        </w:tc>
        <w:tc>
          <w:tcPr>
            <w:tcW w:w="56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-254,000</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216,087,7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48</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1,282,615</w:t>
            </w:r>
          </w:p>
          <w:p>
            <w:pPr>
              <w:pStyle w:val="TableParagraph"/>
              <w:spacing w:line="240" w:lineRule="auto" w:before="105"/>
              <w:ind w:left="446" w:right="0"/>
              <w:jc w:val="left"/>
              <w:rPr>
                <w:rFonts w:ascii="Times New Roman" w:hAnsi="Times New Roman" w:cs="Times New Roman" w:eastAsia="Times New Roman" w:hint="default"/>
                <w:sz w:val="18"/>
                <w:szCs w:val="18"/>
              </w:rPr>
            </w:pPr>
            <w:r>
              <w:rPr>
                <w:rFonts w:ascii="Times New Roman"/>
                <w:sz w:val="18"/>
              </w:rPr>
              <w:t>,013</w:t>
            </w:r>
          </w:p>
        </w:tc>
        <w:tc>
          <w:tcPr>
            <w:tcW w:w="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240" w:lineRule="auto" w:before="49"/>
        <w:ind w:right="0"/>
        <w:jc w:val="left"/>
      </w:pPr>
      <w:r>
        <w:rPr/>
        <w:t>股份变动的原因</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300" w:lineRule="auto" w:before="103"/>
        <w:ind w:right="0" w:firstLine="360"/>
        <w:jc w:val="left"/>
      </w:pPr>
      <w:r>
        <w:rPr>
          <w:rFonts w:ascii="Times New Roman" w:hAnsi="Times New Roman" w:cs="Times New Roman" w:eastAsia="Times New Roman" w:hint="default"/>
          <w:spacing w:val="-3"/>
        </w:rPr>
        <w:t>1</w:t>
      </w:r>
      <w:r>
        <w:rPr>
          <w:spacing w:val="-3"/>
        </w:rPr>
        <w:t>、公司以发行股份及支付现金相结合的方式收购杰发科技</w:t>
      </w:r>
      <w:r>
        <w:rPr>
          <w:rFonts w:ascii="Times New Roman" w:hAnsi="Times New Roman" w:cs="Times New Roman" w:eastAsia="Times New Roman" w:hint="default"/>
          <w:spacing w:val="-3"/>
        </w:rPr>
        <w:t>100%</w:t>
      </w:r>
      <w:r>
        <w:rPr>
          <w:spacing w:val="-3"/>
        </w:rPr>
        <w:t>股权的重大资产重组事项，合计发行股份</w:t>
      </w:r>
      <w:r>
        <w:rPr>
          <w:rFonts w:ascii="Times New Roman" w:hAnsi="Times New Roman" w:cs="Times New Roman" w:eastAsia="Times New Roman" w:hint="default"/>
          <w:spacing w:val="-3"/>
        </w:rPr>
        <w:t>216,341,748</w:t>
      </w:r>
      <w:r>
        <w:rPr>
          <w:rFonts w:ascii="Times New Roman" w:hAnsi="Times New Roman" w:cs="Times New Roman" w:eastAsia="Times New Roman" w:hint="default"/>
          <w:spacing w:val="29"/>
        </w:rPr>
        <w:t> </w:t>
      </w:r>
      <w:r>
        <w:rPr>
          <w:spacing w:val="-3"/>
        </w:rPr>
        <w:t>股， </w:t>
      </w:r>
      <w:r>
        <w:rPr/>
        <w:t>新增股份上市日为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23</w:t>
      </w:r>
      <w:r>
        <w:rPr/>
        <w:t>日。</w:t>
      </w:r>
    </w:p>
    <w:p>
      <w:pPr>
        <w:spacing w:after="0" w:line="300" w:lineRule="auto"/>
        <w:jc w:val="left"/>
        <w:sectPr>
          <w:pgSz w:w="11910" w:h="16840"/>
          <w:pgMar w:header="745" w:footer="979" w:top="1060" w:bottom="1160" w:left="980" w:right="840"/>
        </w:sectPr>
      </w:pPr>
    </w:p>
    <w:p>
      <w:pPr>
        <w:spacing w:line="240" w:lineRule="auto" w:before="9"/>
        <w:rPr>
          <w:rFonts w:ascii="宋体" w:hAnsi="宋体" w:cs="宋体" w:eastAsia="宋体" w:hint="default"/>
          <w:sz w:val="25"/>
          <w:szCs w:val="25"/>
        </w:rPr>
      </w:pPr>
    </w:p>
    <w:p>
      <w:pPr>
        <w:pStyle w:val="BodyText"/>
        <w:spacing w:line="240" w:lineRule="auto" w:before="44"/>
        <w:ind w:left="513" w:right="94"/>
        <w:jc w:val="left"/>
      </w:pPr>
      <w:r>
        <w:rPr>
          <w:rFonts w:ascii="Times New Roman" w:hAnsi="Times New Roman" w:cs="Times New Roman" w:eastAsia="Times New Roman" w:hint="default"/>
        </w:rPr>
        <w:t>2</w:t>
      </w:r>
      <w:r>
        <w:rPr/>
        <w:t>、公司限制性股票激励计划预留限制性股票第一期解锁并于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21</w:t>
      </w:r>
      <w:r>
        <w:rPr/>
        <w:t>日上市。</w:t>
      </w:r>
    </w:p>
    <w:p>
      <w:pPr>
        <w:pStyle w:val="BodyText"/>
        <w:spacing w:line="240" w:lineRule="auto" w:before="104"/>
        <w:ind w:left="513" w:right="94"/>
        <w:jc w:val="left"/>
      </w:pPr>
      <w:r>
        <w:rPr>
          <w:rFonts w:ascii="Times New Roman" w:hAnsi="Times New Roman" w:cs="Times New Roman" w:eastAsia="Times New Roman" w:hint="default"/>
        </w:rPr>
        <w:t>3</w:t>
      </w:r>
      <w:r>
        <w:rPr/>
        <w:t>、公司限制性股票激励计划首次授予限制性股票第二期解锁并于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8</w:t>
      </w:r>
      <w:r>
        <w:rPr/>
        <w:t>日上市。</w:t>
      </w:r>
    </w:p>
    <w:p>
      <w:pPr>
        <w:pStyle w:val="BodyText"/>
        <w:spacing w:line="240" w:lineRule="auto" w:before="101"/>
        <w:ind w:left="513" w:right="94"/>
        <w:jc w:val="left"/>
      </w:pPr>
      <w:r>
        <w:rPr>
          <w:rFonts w:ascii="Times New Roman" w:hAnsi="Times New Roman" w:cs="Times New Roman" w:eastAsia="Times New Roman" w:hint="default"/>
        </w:rPr>
        <w:t>4</w:t>
      </w:r>
      <w:r>
        <w:rPr/>
        <w:t>、公司回购了已离职激励对象所持有的未解锁限制性股票。</w:t>
      </w:r>
    </w:p>
    <w:p>
      <w:pPr>
        <w:pStyle w:val="BodyText"/>
        <w:spacing w:line="240" w:lineRule="auto" w:before="103"/>
        <w:ind w:left="513" w:right="94"/>
        <w:jc w:val="left"/>
      </w:pPr>
      <w:r>
        <w:rPr>
          <w:rFonts w:ascii="Times New Roman" w:hAnsi="Times New Roman" w:cs="Times New Roman" w:eastAsia="Times New Roman" w:hint="default"/>
        </w:rPr>
        <w:t>5</w:t>
      </w:r>
      <w:r>
        <w:rPr/>
        <w:t>、公司已离职部分高管所持公司股份</w:t>
      </w:r>
      <w:r>
        <w:rPr>
          <w:rFonts w:ascii="Times New Roman" w:hAnsi="Times New Roman" w:cs="Times New Roman" w:eastAsia="Times New Roman" w:hint="default"/>
        </w:rPr>
        <w:t>100%</w:t>
      </w:r>
      <w:r>
        <w:rPr/>
        <w:t>解除限售，公司已离职部分中层管理人员所持公司股份</w:t>
      </w:r>
      <w:r>
        <w:rPr>
          <w:rFonts w:ascii="Times New Roman" w:hAnsi="Times New Roman" w:cs="Times New Roman" w:eastAsia="Times New Roman" w:hint="default"/>
        </w:rPr>
        <w:t>100%</w:t>
      </w:r>
      <w:r>
        <w:rPr/>
        <w:t>解除限售。</w:t>
      </w:r>
    </w:p>
    <w:p>
      <w:pPr>
        <w:pStyle w:val="BodyText"/>
        <w:spacing w:line="240" w:lineRule="auto" w:before="103"/>
        <w:ind w:left="513" w:right="94"/>
        <w:jc w:val="left"/>
        <w:rPr>
          <w:rFonts w:ascii="宋体" w:hAnsi="宋体" w:cs="宋体" w:eastAsia="宋体" w:hint="default"/>
        </w:rPr>
      </w:pPr>
      <w:r>
        <w:rPr>
          <w:rFonts w:ascii="Times New Roman" w:hAnsi="Times New Roman" w:cs="Times New Roman" w:eastAsia="Times New Roman" w:hint="default"/>
        </w:rPr>
        <w:t>6</w:t>
      </w:r>
      <w:r>
        <w:rPr/>
        <w:t>、公司新任高管股份</w:t>
      </w:r>
      <w:r>
        <w:rPr>
          <w:rFonts w:ascii="Times New Roman" w:hAnsi="Times New Roman" w:cs="Times New Roman" w:eastAsia="Times New Roman" w:hint="default"/>
        </w:rPr>
        <w:t>75%</w:t>
      </w:r>
      <w:r>
        <w:rPr/>
        <w:t>被锁定。</w:t>
      </w:r>
      <w:r>
        <w:rPr>
          <w:rFonts w:ascii="宋体" w:hAnsi="宋体" w:cs="宋体" w:eastAsia="宋体" w:hint="default"/>
        </w:rPr>
        <w:t> </w:t>
      </w:r>
    </w:p>
    <w:p>
      <w:pPr>
        <w:spacing w:line="240" w:lineRule="auto" w:before="13"/>
        <w:rPr>
          <w:rFonts w:ascii="宋体" w:hAnsi="宋体" w:cs="宋体" w:eastAsia="宋体" w:hint="default"/>
          <w:sz w:val="22"/>
          <w:szCs w:val="22"/>
        </w:rPr>
      </w:pPr>
    </w:p>
    <w:p>
      <w:pPr>
        <w:pStyle w:val="BodyText"/>
        <w:spacing w:line="240" w:lineRule="auto"/>
        <w:ind w:right="94"/>
        <w:jc w:val="left"/>
      </w:pPr>
      <w:r>
        <w:rPr/>
        <w:t>股份变动的批准情况</w:t>
      </w:r>
    </w:p>
    <w:p>
      <w:pPr>
        <w:pStyle w:val="BodyText"/>
        <w:spacing w:line="240" w:lineRule="auto" w:before="117"/>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658" w:right="287"/>
        <w:jc w:val="center"/>
        <w:rPr>
          <w:rFonts w:ascii="宋体" w:hAnsi="宋体" w:cs="宋体" w:eastAsia="宋体" w:hint="default"/>
        </w:rPr>
      </w:pPr>
      <w:r>
        <w:rPr>
          <w:rFonts w:ascii="宋体" w:hAnsi="宋体" w:cs="宋体" w:eastAsia="宋体" w:hint="default"/>
        </w:rPr>
        <w:t>1</w:t>
      </w:r>
      <w:r>
        <w:rPr/>
        <w:t>、公司于</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15</w:t>
      </w:r>
      <w:r>
        <w:rPr/>
        <w:t>日取得了中国证券登记结算有限责任公司深圳分公司出具的《股份登记申请受理确认书》。</w:t>
      </w:r>
      <w:r>
        <w:rPr>
          <w:rFonts w:ascii="宋体" w:hAnsi="宋体" w:cs="宋体" w:eastAsia="宋体" w:hint="default"/>
        </w:rPr>
        <w:t> </w:t>
      </w:r>
    </w:p>
    <w:p>
      <w:pPr>
        <w:pStyle w:val="BodyText"/>
        <w:spacing w:line="240" w:lineRule="auto" w:before="76"/>
        <w:ind w:left="633" w:right="94"/>
        <w:jc w:val="left"/>
      </w:pPr>
      <w:r>
        <w:rPr>
          <w:rFonts w:ascii="宋体" w:hAnsi="宋体" w:cs="宋体" w:eastAsia="宋体" w:hint="default"/>
        </w:rPr>
        <w:t>2</w:t>
      </w:r>
      <w:r>
        <w:rPr/>
        <w:t>、公司于</w:t>
      </w:r>
      <w:r>
        <w:rPr>
          <w:rFonts w:ascii="宋体" w:hAnsi="宋体" w:cs="宋体" w:eastAsia="宋体" w:hint="default"/>
        </w:rPr>
        <w:t>2017</w:t>
      </w:r>
      <w:r>
        <w:rPr/>
        <w:t>年</w:t>
      </w:r>
      <w:r>
        <w:rPr>
          <w:rFonts w:ascii="宋体" w:hAnsi="宋体" w:cs="宋体" w:eastAsia="宋体" w:hint="default"/>
        </w:rPr>
        <w:t>4</w:t>
      </w:r>
      <w:r>
        <w:rPr/>
        <w:t>月</w:t>
      </w:r>
      <w:r>
        <w:rPr>
          <w:rFonts w:ascii="宋体" w:hAnsi="宋体" w:cs="宋体" w:eastAsia="宋体" w:hint="default"/>
        </w:rPr>
        <w:t>24</w:t>
      </w:r>
      <w:r>
        <w:rPr/>
        <w:t>日召开第三届董事会第二十八次会议，审议通过《关于预留限制性股票第一期解锁的议案》、</w:t>
      </w:r>
    </w:p>
    <w:p>
      <w:pPr>
        <w:pStyle w:val="BodyText"/>
        <w:spacing w:line="319" w:lineRule="auto" w:before="76"/>
        <w:ind w:left="633" w:right="94" w:hanging="481"/>
        <w:jc w:val="left"/>
        <w:rPr>
          <w:rFonts w:ascii="宋体" w:hAnsi="宋体" w:cs="宋体" w:eastAsia="宋体" w:hint="default"/>
        </w:rPr>
      </w:pPr>
      <w:r>
        <w:rPr/>
        <w:t>《关于回购注销部分限制性股票的议案》。</w:t>
      </w:r>
      <w:r>
        <w:rPr>
          <w:rFonts w:ascii="宋体" w:hAnsi="宋体" w:cs="宋体" w:eastAsia="宋体" w:hint="default"/>
        </w:rPr>
        <w:t> </w:t>
      </w:r>
      <w:r>
        <w:rPr>
          <w:rFonts w:ascii="宋体" w:hAnsi="宋体" w:cs="宋体" w:eastAsia="宋体" w:hint="default"/>
          <w:spacing w:val="-1"/>
        </w:rPr>
        <w:t>3</w:t>
      </w:r>
      <w:r>
        <w:rPr>
          <w:spacing w:val="-1"/>
        </w:rPr>
        <w:t>、公司于</w:t>
      </w:r>
      <w:r>
        <w:rPr>
          <w:rFonts w:ascii="宋体" w:hAnsi="宋体" w:cs="宋体" w:eastAsia="宋体" w:hint="default"/>
          <w:spacing w:val="-1"/>
        </w:rPr>
        <w:t>2017</w:t>
      </w:r>
      <w:r>
        <w:rPr>
          <w:spacing w:val="-1"/>
        </w:rPr>
        <w:t>年</w:t>
      </w:r>
      <w:r>
        <w:rPr>
          <w:rFonts w:ascii="宋体" w:hAnsi="宋体" w:cs="宋体" w:eastAsia="宋体" w:hint="default"/>
          <w:spacing w:val="-1"/>
        </w:rPr>
        <w:t>8</w:t>
      </w:r>
      <w:r>
        <w:rPr>
          <w:spacing w:val="-1"/>
        </w:rPr>
        <w:t>月</w:t>
      </w:r>
      <w:r>
        <w:rPr>
          <w:rFonts w:ascii="宋体" w:hAnsi="宋体" w:cs="宋体" w:eastAsia="宋体" w:hint="default"/>
          <w:spacing w:val="-1"/>
        </w:rPr>
        <w:t>25</w:t>
      </w:r>
      <w:r>
        <w:rPr>
          <w:spacing w:val="-1"/>
        </w:rPr>
        <w:t>日召开第四届董事会第三次会议，审议通过《关于首次授予限制性股票第二期解锁的议案》。</w:t>
      </w:r>
      <w:r>
        <w:rPr>
          <w:rFonts w:ascii="宋体" w:hAnsi="宋体" w:cs="宋体" w:eastAsia="宋体" w:hint="default"/>
        </w:rPr>
        <w:t> </w:t>
      </w:r>
    </w:p>
    <w:p>
      <w:pPr>
        <w:spacing w:line="240" w:lineRule="auto" w:before="8"/>
        <w:rPr>
          <w:rFonts w:ascii="宋体" w:hAnsi="宋体" w:cs="宋体" w:eastAsia="宋体" w:hint="default"/>
          <w:sz w:val="19"/>
          <w:szCs w:val="19"/>
        </w:rPr>
      </w:pPr>
    </w:p>
    <w:p>
      <w:pPr>
        <w:pStyle w:val="BodyText"/>
        <w:spacing w:line="240" w:lineRule="auto"/>
        <w:ind w:right="94"/>
        <w:jc w:val="left"/>
      </w:pPr>
      <w:r>
        <w:rPr/>
        <w:t>股份变动的过户情况</w:t>
      </w:r>
    </w:p>
    <w:p>
      <w:pPr>
        <w:pStyle w:val="BodyText"/>
        <w:spacing w:line="240" w:lineRule="auto" w:before="117"/>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300" w:lineRule="auto" w:before="101"/>
        <w:ind w:right="94" w:firstLine="360"/>
        <w:jc w:val="left"/>
      </w:pP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15</w:t>
      </w:r>
      <w:r>
        <w:rPr>
          <w:spacing w:val="-2"/>
        </w:rPr>
        <w:t>日，公司取得中国证券登记结算有限责任公司深圳分公司出具的《股份登记申请受理确认书》，公司已</w:t>
      </w:r>
      <w:r>
        <w:rPr/>
        <w:t> 完成本次发行股份购买资产新增股份的登记申请手续。</w:t>
      </w:r>
    </w:p>
    <w:p>
      <w:pPr>
        <w:pStyle w:val="BodyText"/>
        <w:spacing w:line="240" w:lineRule="auto" w:before="72"/>
        <w:ind w:left="513" w:right="94"/>
        <w:jc w:val="left"/>
        <w:rPr>
          <w:rFonts w:ascii="Times New Roman" w:hAnsi="Times New Roman" w:cs="Times New Roman" w:eastAsia="Times New Roman" w:hint="default"/>
        </w:rPr>
      </w:pPr>
      <w:r>
        <w:rPr>
          <w:rFonts w:ascii="Times New Roman" w:hAnsi="Times New Roman" w:cs="Times New Roman" w:eastAsia="Times New Roman" w:hint="default"/>
        </w:rPr>
        <w:t>2</w:t>
      </w:r>
      <w:r>
        <w:rPr/>
        <w:t>、公司于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24</w:t>
      </w:r>
      <w:r>
        <w:rPr/>
        <w:t>日取得了中国证券登记结算有限责任公司深圳分公司出具的《证券过户登记确认书》，</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p>
    <w:p>
      <w:pPr>
        <w:pStyle w:val="BodyText"/>
        <w:spacing w:line="240" w:lineRule="auto" w:before="63"/>
        <w:ind w:right="94"/>
        <w:jc w:val="left"/>
      </w:pPr>
      <w:r>
        <w:rPr/>
        <w:t>月</w:t>
      </w:r>
      <w:r>
        <w:rPr>
          <w:rFonts w:ascii="Times New Roman" w:hAnsi="Times New Roman" w:cs="Times New Roman" w:eastAsia="Times New Roman" w:hint="default"/>
        </w:rPr>
        <w:t>26</w:t>
      </w:r>
      <w:r>
        <w:rPr/>
        <w:t>日完成已离职激励对象未解锁限制性股票的注销工作。</w:t>
      </w:r>
    </w:p>
    <w:p>
      <w:pPr>
        <w:spacing w:line="240" w:lineRule="auto" w:before="2"/>
        <w:rPr>
          <w:rFonts w:ascii="宋体" w:hAnsi="宋体" w:cs="宋体" w:eastAsia="宋体" w:hint="default"/>
          <w:sz w:val="23"/>
          <w:szCs w:val="23"/>
        </w:rPr>
      </w:pPr>
    </w:p>
    <w:p>
      <w:pPr>
        <w:pStyle w:val="BodyText"/>
        <w:spacing w:line="240" w:lineRule="auto"/>
        <w:ind w:right="94"/>
        <w:jc w:val="left"/>
      </w:pPr>
      <w:r>
        <w:rPr/>
        <w:t>股份变动对最近一年和最近一期基本每股收益和稀释每股收益、归属于公司普通股股东的每股净资产等财务指标的影响</w:t>
      </w:r>
    </w:p>
    <w:p>
      <w:pPr>
        <w:pStyle w:val="BodyText"/>
        <w:spacing w:line="338" w:lineRule="auto" w:before="117"/>
        <w:ind w:left="513" w:right="94" w:hanging="3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w:t>
      </w:r>
      <w:r>
        <w:rPr>
          <w:spacing w:val="-1"/>
        </w:rPr>
        <w:t>非公开发行完成后，按新股本</w:t>
      </w:r>
      <w:r>
        <w:rPr>
          <w:rFonts w:ascii="Times New Roman" w:hAnsi="Times New Roman" w:cs="Times New Roman" w:eastAsia="Times New Roman" w:hint="default"/>
          <w:spacing w:val="-1"/>
        </w:rPr>
        <w:t>1,282,615,013</w:t>
      </w:r>
      <w:r>
        <w:rPr>
          <w:spacing w:val="-1"/>
        </w:rPr>
        <w:t>股摊薄计算，公司</w:t>
      </w:r>
      <w:r>
        <w:rPr>
          <w:rFonts w:ascii="Times New Roman" w:hAnsi="Times New Roman" w:cs="Times New Roman" w:eastAsia="Times New Roman" w:hint="default"/>
          <w:spacing w:val="-1"/>
        </w:rPr>
        <w:t>2016</w:t>
      </w:r>
      <w:r>
        <w:rPr>
          <w:spacing w:val="-1"/>
        </w:rPr>
        <w:t>年度全面摊薄每股收益</w:t>
      </w:r>
      <w:r>
        <w:rPr>
          <w:rFonts w:ascii="Times New Roman" w:hAnsi="Times New Roman" w:cs="Times New Roman" w:eastAsia="Times New Roman" w:hint="default"/>
          <w:spacing w:val="-1"/>
        </w:rPr>
        <w:t>0.1221</w:t>
      </w:r>
      <w:r>
        <w:rPr>
          <w:spacing w:val="-1"/>
        </w:rPr>
        <w:t>元</w:t>
      </w:r>
      <w:r>
        <w:rPr>
          <w:rFonts w:ascii="Times New Roman" w:hAnsi="Times New Roman" w:cs="Times New Roman" w:eastAsia="Times New Roman" w:hint="default"/>
          <w:spacing w:val="-1"/>
        </w:rPr>
        <w:t>/</w:t>
      </w:r>
      <w:r>
        <w:rPr>
          <w:spacing w:val="-1"/>
        </w:rPr>
        <w:t>股，归属于公司普通</w:t>
      </w:r>
    </w:p>
    <w:p>
      <w:pPr>
        <w:pStyle w:val="BodyText"/>
        <w:spacing w:line="230" w:lineRule="exact"/>
        <w:ind w:right="94"/>
        <w:jc w:val="left"/>
        <w:rPr>
          <w:rFonts w:ascii="宋体" w:hAnsi="宋体" w:cs="宋体" w:eastAsia="宋体" w:hint="default"/>
        </w:rPr>
      </w:pPr>
      <w:r>
        <w:rPr/>
        <w:t>股股东的每股净资产为</w:t>
      </w:r>
      <w:r>
        <w:rPr>
          <w:rFonts w:ascii="Times New Roman" w:hAnsi="Times New Roman" w:cs="Times New Roman" w:eastAsia="Times New Roman" w:hint="default"/>
        </w:rPr>
        <w:t>2.47</w:t>
      </w:r>
      <w:r>
        <w:rPr/>
        <w:t>元。</w:t>
      </w:r>
      <w:r>
        <w:rPr>
          <w:rFonts w:ascii="宋体" w:hAnsi="宋体" w:cs="宋体" w:eastAsia="宋体" w:hint="default"/>
        </w:rPr>
        <w:t> </w:t>
      </w:r>
    </w:p>
    <w:p>
      <w:pPr>
        <w:spacing w:line="240" w:lineRule="auto" w:before="2"/>
        <w:rPr>
          <w:rFonts w:ascii="宋体" w:hAnsi="宋体" w:cs="宋体" w:eastAsia="宋体" w:hint="default"/>
          <w:sz w:val="23"/>
          <w:szCs w:val="23"/>
        </w:rPr>
      </w:pPr>
    </w:p>
    <w:p>
      <w:pPr>
        <w:pStyle w:val="BodyText"/>
        <w:spacing w:line="240" w:lineRule="auto"/>
        <w:ind w:right="94"/>
        <w:jc w:val="left"/>
      </w:pPr>
      <w:r>
        <w:rPr/>
        <w:t>公司认为必要或证券监管机构要求披露的其他内容</w:t>
      </w:r>
    </w:p>
    <w:p>
      <w:pPr>
        <w:pStyle w:val="BodyText"/>
        <w:spacing w:line="240" w:lineRule="auto" w:before="117"/>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94"/>
        <w:jc w:val="left"/>
        <w:rPr>
          <w:b w:val="0"/>
          <w:bCs w:val="0"/>
        </w:rPr>
      </w:pPr>
      <w:r>
        <w:rPr>
          <w:rFonts w:ascii="Times New Roman" w:hAnsi="Times New Roman" w:cs="Times New Roman" w:eastAsia="Times New Roman" w:hint="default"/>
        </w:rPr>
        <w:t>2</w:t>
      </w:r>
      <w:r>
        <w:rPr/>
        <w:t>、限售股份变动情况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91"/>
        <w:jc w:val="right"/>
      </w:pPr>
      <w:r>
        <w:rPr/>
        <w:t>单位：股</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60"/>
        <w:gridCol w:w="991"/>
        <w:gridCol w:w="1136"/>
        <w:gridCol w:w="1416"/>
        <w:gridCol w:w="1277"/>
        <w:gridCol w:w="1560"/>
        <w:gridCol w:w="1633"/>
      </w:tblGrid>
      <w:tr>
        <w:trPr>
          <w:trHeight w:val="71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00" w:right="38" w:hanging="360"/>
              <w:jc w:val="left"/>
              <w:rPr>
                <w:rFonts w:ascii="宋体" w:hAnsi="宋体" w:cs="宋体" w:eastAsia="宋体" w:hint="default"/>
                <w:sz w:val="18"/>
                <w:szCs w:val="18"/>
              </w:rPr>
            </w:pPr>
            <w:r>
              <w:rPr>
                <w:rFonts w:ascii="宋体" w:hAnsi="宋体" w:cs="宋体" w:eastAsia="宋体" w:hint="default"/>
                <w:sz w:val="18"/>
                <w:szCs w:val="18"/>
              </w:rPr>
              <w:t>期初限售股 数</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93" w:right="111" w:hanging="181"/>
              <w:jc w:val="left"/>
              <w:rPr>
                <w:rFonts w:ascii="宋体" w:hAnsi="宋体" w:cs="宋体" w:eastAsia="宋体" w:hint="default"/>
                <w:sz w:val="18"/>
                <w:szCs w:val="18"/>
              </w:rPr>
            </w:pPr>
            <w:r>
              <w:rPr>
                <w:rFonts w:ascii="宋体" w:hAnsi="宋体" w:cs="宋体" w:eastAsia="宋体" w:hint="default"/>
                <w:sz w:val="18"/>
                <w:szCs w:val="18"/>
              </w:rPr>
              <w:t>本期解除限 售股数</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614" w:right="71" w:hanging="540"/>
              <w:jc w:val="left"/>
              <w:rPr>
                <w:rFonts w:ascii="宋体" w:hAnsi="宋体" w:cs="宋体" w:eastAsia="宋体" w:hint="default"/>
                <w:sz w:val="18"/>
                <w:szCs w:val="18"/>
              </w:rPr>
            </w:pPr>
            <w:r>
              <w:rPr>
                <w:rFonts w:ascii="宋体" w:hAnsi="宋体" w:cs="宋体" w:eastAsia="宋体" w:hint="default"/>
                <w:sz w:val="18"/>
                <w:szCs w:val="18"/>
              </w:rPr>
              <w:t>本期增加限售股 数</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6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1" w:right="0"/>
              <w:jc w:val="left"/>
              <w:rPr>
                <w:rFonts w:ascii="宋体" w:hAnsi="宋体" w:cs="宋体" w:eastAsia="宋体" w:hint="default"/>
                <w:sz w:val="18"/>
                <w:szCs w:val="18"/>
              </w:rPr>
            </w:pPr>
            <w:r>
              <w:rPr>
                <w:rFonts w:ascii="宋体" w:hAnsi="宋体" w:cs="宋体" w:eastAsia="宋体" w:hint="default"/>
                <w:sz w:val="18"/>
                <w:szCs w:val="18"/>
              </w:rPr>
              <w:t>解除限售日期</w:t>
            </w:r>
          </w:p>
        </w:tc>
      </w:tr>
      <w:tr>
        <w:trPr>
          <w:trHeight w:val="357" w:hRule="exact"/>
        </w:trPr>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天安财产保险股份</w:t>
            </w:r>
          </w:p>
        </w:tc>
        <w:tc>
          <w:tcPr>
            <w:tcW w:w="991" w:type="dxa"/>
            <w:tcBorders>
              <w:top w:val="single" w:sz="4" w:space="0" w:color="000000"/>
              <w:left w:val="single" w:sz="4" w:space="0" w:color="000000"/>
              <w:bottom w:val="nil" w:sz="6" w:space="0" w:color="auto"/>
              <w:right w:val="single" w:sz="4" w:space="0" w:color="000000"/>
            </w:tcBorders>
          </w:tcPr>
          <w:p>
            <w:pPr/>
          </w:p>
        </w:tc>
        <w:tc>
          <w:tcPr>
            <w:tcW w:w="1136" w:type="dxa"/>
            <w:tcBorders>
              <w:top w:val="single" w:sz="4" w:space="0" w:color="000000"/>
              <w:left w:val="single" w:sz="4" w:space="0" w:color="000000"/>
              <w:bottom w:val="nil" w:sz="6" w:space="0" w:color="auto"/>
              <w:right w:val="single" w:sz="4" w:space="0" w:color="000000"/>
            </w:tcBorders>
          </w:tcPr>
          <w:p>
            <w:pPr/>
          </w:p>
        </w:tc>
        <w:tc>
          <w:tcPr>
            <w:tcW w:w="1416" w:type="dxa"/>
            <w:tcBorders>
              <w:top w:val="single" w:sz="4" w:space="0" w:color="000000"/>
              <w:left w:val="single" w:sz="4" w:space="0" w:color="000000"/>
              <w:bottom w:val="nil" w:sz="6" w:space="0" w:color="auto"/>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633"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有限公司－保赢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9"/>
              <w:jc w:val="right"/>
              <w:rPr>
                <w:rFonts w:ascii="Times New Roman" w:hAnsi="Times New Roman" w:cs="Times New Roman" w:eastAsia="Times New Roman" w:hint="default"/>
                <w:sz w:val="18"/>
                <w:szCs w:val="18"/>
              </w:rPr>
            </w:pPr>
            <w:r>
              <w:rPr>
                <w:rFonts w:ascii="Times New Roman"/>
                <w:spacing w:val="-1"/>
                <w:sz w:val="18"/>
              </w:rPr>
              <w:t>45,828,437</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1"/>
              <w:jc w:val="right"/>
              <w:rPr>
                <w:rFonts w:ascii="Times New Roman" w:hAnsi="Times New Roman" w:cs="Times New Roman" w:eastAsia="Times New Roman" w:hint="default"/>
                <w:sz w:val="18"/>
                <w:szCs w:val="18"/>
              </w:rPr>
            </w:pPr>
            <w:r>
              <w:rPr>
                <w:rFonts w:ascii="Times New Roman"/>
                <w:spacing w:val="-1"/>
                <w:sz w:val="18"/>
              </w:rPr>
              <w:t>45,828,437</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354" w:hRule="exact"/>
        </w:trPr>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号</w:t>
            </w:r>
          </w:p>
        </w:tc>
        <w:tc>
          <w:tcPr>
            <w:tcW w:w="991" w:type="dxa"/>
            <w:tcBorders>
              <w:top w:val="nil" w:sz="6" w:space="0" w:color="auto"/>
              <w:left w:val="single" w:sz="4" w:space="0" w:color="000000"/>
              <w:bottom w:val="single" w:sz="4" w:space="0" w:color="000000"/>
              <w:right w:val="single" w:sz="4" w:space="0" w:color="000000"/>
            </w:tcBorders>
          </w:tcPr>
          <w:p>
            <w:pPr/>
          </w:p>
        </w:tc>
        <w:tc>
          <w:tcPr>
            <w:tcW w:w="1136" w:type="dxa"/>
            <w:tcBorders>
              <w:top w:val="nil" w:sz="6" w:space="0" w:color="auto"/>
              <w:left w:val="single" w:sz="4" w:space="0" w:color="000000"/>
              <w:bottom w:val="single" w:sz="4" w:space="0" w:color="000000"/>
              <w:right w:val="single" w:sz="4" w:space="0" w:color="000000"/>
            </w:tcBorders>
          </w:tcPr>
          <w:p>
            <w:pPr/>
          </w:p>
        </w:tc>
        <w:tc>
          <w:tcPr>
            <w:tcW w:w="1416" w:type="dxa"/>
            <w:tcBorders>
              <w:top w:val="nil" w:sz="6" w:space="0" w:color="auto"/>
              <w:left w:val="single" w:sz="4" w:space="0" w:color="000000"/>
              <w:bottom w:val="single" w:sz="4" w:space="0" w:color="000000"/>
              <w:right w:val="single" w:sz="4" w:space="0" w:color="000000"/>
            </w:tcBorders>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633" w:type="dxa"/>
            <w:tcBorders>
              <w:top w:val="nil" w:sz="6" w:space="0" w:color="auto"/>
              <w:left w:val="single" w:sz="4" w:space="0" w:color="000000"/>
              <w:bottom w:val="single" w:sz="4" w:space="0" w:color="000000"/>
              <w:right w:val="single" w:sz="4" w:space="0" w:color="000000"/>
            </w:tcBorders>
          </w:tcPr>
          <w:p>
            <w:pP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北京芯动能投资基 金（有限合伙）</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23,501,762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23,501,762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357" w:hRule="exact"/>
        </w:trPr>
        <w:tc>
          <w:tcPr>
            <w:tcW w:w="156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北京四维图新科技</w:t>
            </w:r>
          </w:p>
        </w:tc>
        <w:tc>
          <w:tcPr>
            <w:tcW w:w="991" w:type="dxa"/>
            <w:tcBorders>
              <w:top w:val="single" w:sz="4" w:space="0" w:color="000000"/>
              <w:left w:val="single" w:sz="4" w:space="0" w:color="000000"/>
              <w:bottom w:val="nil" w:sz="6" w:space="0" w:color="auto"/>
              <w:right w:val="single" w:sz="4" w:space="0" w:color="000000"/>
            </w:tcBorders>
          </w:tcPr>
          <w:p>
            <w:pPr/>
          </w:p>
        </w:tc>
        <w:tc>
          <w:tcPr>
            <w:tcW w:w="1136" w:type="dxa"/>
            <w:tcBorders>
              <w:top w:val="single" w:sz="4" w:space="0" w:color="000000"/>
              <w:left w:val="single" w:sz="4" w:space="0" w:color="000000"/>
              <w:bottom w:val="nil" w:sz="6" w:space="0" w:color="auto"/>
              <w:right w:val="single" w:sz="4" w:space="0" w:color="000000"/>
            </w:tcBorders>
          </w:tcPr>
          <w:p>
            <w:pPr/>
          </w:p>
        </w:tc>
        <w:tc>
          <w:tcPr>
            <w:tcW w:w="1416" w:type="dxa"/>
            <w:tcBorders>
              <w:top w:val="single" w:sz="4" w:space="0" w:color="000000"/>
              <w:left w:val="single" w:sz="4" w:space="0" w:color="000000"/>
              <w:bottom w:val="nil" w:sz="6" w:space="0" w:color="auto"/>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633" w:type="dxa"/>
            <w:tcBorders>
              <w:top w:val="single" w:sz="4" w:space="0" w:color="000000"/>
              <w:left w:val="single" w:sz="4" w:space="0" w:color="000000"/>
              <w:bottom w:val="nil" w:sz="6" w:space="0" w:color="auto"/>
              <w:right w:val="single" w:sz="4" w:space="0" w:color="000000"/>
            </w:tcBorders>
          </w:tcPr>
          <w:p>
            <w:pPr/>
          </w:p>
        </w:tc>
      </w:tr>
      <w:tr>
        <w:trPr>
          <w:trHeight w:val="316" w:hRule="exact"/>
        </w:trPr>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股份有限公司－第</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9"/>
              <w:jc w:val="right"/>
              <w:rPr>
                <w:rFonts w:ascii="Times New Roman" w:hAnsi="Times New Roman" w:cs="Times New Roman" w:eastAsia="Times New Roman" w:hint="default"/>
                <w:sz w:val="18"/>
                <w:szCs w:val="18"/>
              </w:rPr>
            </w:pPr>
            <w:r>
              <w:rPr>
                <w:rFonts w:ascii="Times New Roman"/>
                <w:spacing w:val="-1"/>
                <w:sz w:val="18"/>
              </w:rPr>
              <w:t>21,071,092</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pacing w:val="-1"/>
                <w:sz w:val="18"/>
              </w:rPr>
              <w:t>21,071,092</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60"/>
              <w:jc w:val="center"/>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355" w:hRule="exact"/>
        </w:trPr>
        <w:tc>
          <w:tcPr>
            <w:tcW w:w="156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一期员工持股计划</w:t>
            </w:r>
          </w:p>
        </w:tc>
        <w:tc>
          <w:tcPr>
            <w:tcW w:w="991" w:type="dxa"/>
            <w:tcBorders>
              <w:top w:val="nil" w:sz="6" w:space="0" w:color="auto"/>
              <w:left w:val="single" w:sz="4" w:space="0" w:color="000000"/>
              <w:bottom w:val="single" w:sz="4" w:space="0" w:color="000000"/>
              <w:right w:val="single" w:sz="4" w:space="0" w:color="000000"/>
            </w:tcBorders>
          </w:tcPr>
          <w:p>
            <w:pPr/>
          </w:p>
        </w:tc>
        <w:tc>
          <w:tcPr>
            <w:tcW w:w="1136" w:type="dxa"/>
            <w:tcBorders>
              <w:top w:val="nil" w:sz="6" w:space="0" w:color="auto"/>
              <w:left w:val="single" w:sz="4" w:space="0" w:color="000000"/>
              <w:bottom w:val="single" w:sz="4" w:space="0" w:color="000000"/>
              <w:right w:val="single" w:sz="4" w:space="0" w:color="000000"/>
            </w:tcBorders>
          </w:tcPr>
          <w:p>
            <w:pPr/>
          </w:p>
        </w:tc>
        <w:tc>
          <w:tcPr>
            <w:tcW w:w="1416" w:type="dxa"/>
            <w:tcBorders>
              <w:top w:val="nil" w:sz="6" w:space="0" w:color="auto"/>
              <w:left w:val="single" w:sz="4" w:space="0" w:color="000000"/>
              <w:bottom w:val="single" w:sz="4" w:space="0" w:color="000000"/>
              <w:right w:val="single" w:sz="4" w:space="0" w:color="000000"/>
            </w:tcBorders>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63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4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60"/>
        <w:gridCol w:w="991"/>
        <w:gridCol w:w="1136"/>
        <w:gridCol w:w="1416"/>
        <w:gridCol w:w="1277"/>
        <w:gridCol w:w="1560"/>
        <w:gridCol w:w="1633"/>
      </w:tblGrid>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林芝锦华投资管理 有限公司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20,564,042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20,564,042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李龙萍</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18,213,866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18,213,866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133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both"/>
              <w:rPr>
                <w:rFonts w:ascii="宋体" w:hAnsi="宋体" w:cs="宋体" w:eastAsia="宋体" w:hint="default"/>
                <w:sz w:val="18"/>
                <w:szCs w:val="18"/>
              </w:rPr>
            </w:pPr>
            <w:r>
              <w:rPr>
                <w:rFonts w:ascii="宋体" w:hAnsi="宋体" w:cs="宋体" w:eastAsia="宋体" w:hint="default"/>
                <w:sz w:val="18"/>
                <w:szCs w:val="18"/>
              </w:rPr>
              <w:t>华泰瑞联基金管理 有限公司－南京华 泰瑞联并购基金一 号（有限合伙）</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17,626,321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17,626,321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102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4"/>
              <w:jc w:val="both"/>
              <w:rPr>
                <w:rFonts w:ascii="宋体" w:hAnsi="宋体" w:cs="宋体" w:eastAsia="宋体" w:hint="default"/>
                <w:sz w:val="18"/>
                <w:szCs w:val="18"/>
              </w:rPr>
            </w:pPr>
            <w:r>
              <w:rPr>
                <w:rFonts w:ascii="宋体" w:hAnsi="宋体" w:cs="宋体" w:eastAsia="宋体" w:hint="default"/>
                <w:sz w:val="18"/>
                <w:szCs w:val="18"/>
              </w:rPr>
              <w:t>华泰资产管理有限 公司－策略投资产 品</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17,038,777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17,038,777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102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4" w:right="0"/>
              <w:jc w:val="left"/>
              <w:rPr>
                <w:rFonts w:ascii="宋体" w:hAnsi="宋体" w:cs="宋体" w:eastAsia="宋体" w:hint="default"/>
                <w:sz w:val="18"/>
                <w:szCs w:val="18"/>
              </w:rPr>
            </w:pPr>
            <w:r>
              <w:rPr>
                <w:rFonts w:ascii="宋体" w:hAnsi="宋体" w:cs="宋体" w:eastAsia="宋体" w:hint="default"/>
                <w:sz w:val="18"/>
                <w:szCs w:val="18"/>
              </w:rPr>
              <w:t>孙玉国</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14,601,178</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14,601,178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39"/>
              <w:jc w:val="both"/>
              <w:rPr>
                <w:rFonts w:ascii="宋体" w:hAnsi="宋体" w:cs="宋体" w:eastAsia="宋体" w:hint="default"/>
                <w:sz w:val="18"/>
                <w:szCs w:val="18"/>
              </w:rPr>
            </w:pPr>
            <w:r>
              <w:rPr>
                <w:rFonts w:ascii="宋体" w:hAnsi="宋体" w:cs="宋体" w:eastAsia="宋体" w:hint="default"/>
                <w:sz w:val="18"/>
                <w:szCs w:val="18"/>
              </w:rPr>
              <w:t>每年年初高管锁定 股数按高管持股总 数的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75%</w:t>
            </w:r>
            <w:r>
              <w:rPr>
                <w:rFonts w:ascii="宋体" w:hAnsi="宋体" w:cs="宋体" w:eastAsia="宋体" w:hint="default"/>
                <w:sz w:val="18"/>
                <w:szCs w:val="18"/>
              </w:rPr>
              <w:t>重新核定</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合肥高新科技创业 投资有限公司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13,261,188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13,261,188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84"/>
              <w:jc w:val="left"/>
              <w:rPr>
                <w:rFonts w:ascii="宋体" w:hAnsi="宋体" w:cs="宋体" w:eastAsia="宋体" w:hint="default"/>
                <w:sz w:val="18"/>
                <w:szCs w:val="18"/>
              </w:rPr>
            </w:pPr>
            <w:r>
              <w:rPr>
                <w:rFonts w:ascii="宋体" w:hAnsi="宋体" w:cs="宋体" w:eastAsia="宋体" w:hint="default"/>
                <w:sz w:val="18"/>
                <w:szCs w:val="18"/>
              </w:rPr>
              <w:t>深圳安鹏资本创新 有限公司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11,750,881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11,750,881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非公开发行限售股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290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2"/>
              <w:ind w:left="24" w:right="0"/>
              <w:jc w:val="left"/>
              <w:rPr>
                <w:rFonts w:ascii="宋体" w:hAnsi="宋体" w:cs="宋体" w:eastAsia="宋体" w:hint="default"/>
                <w:sz w:val="18"/>
                <w:szCs w:val="18"/>
              </w:rPr>
            </w:pPr>
            <w:r>
              <w:rPr>
                <w:rFonts w:ascii="宋体" w:hAnsi="宋体" w:cs="宋体" w:eastAsia="宋体" w:hint="default"/>
                <w:sz w:val="18"/>
                <w:szCs w:val="18"/>
              </w:rPr>
              <w:t>其他限售股</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40,449,603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18,870,947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27,485,382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49,064,038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23" w:right="84"/>
              <w:jc w:val="both"/>
              <w:rPr>
                <w:rFonts w:ascii="宋体" w:hAnsi="宋体" w:cs="宋体" w:eastAsia="宋体" w:hint="default"/>
                <w:sz w:val="18"/>
                <w:szCs w:val="18"/>
              </w:rPr>
            </w:pPr>
            <w:r>
              <w:rPr>
                <w:rFonts w:ascii="宋体" w:hAnsi="宋体" w:cs="宋体" w:eastAsia="宋体" w:hint="default"/>
                <w:sz w:val="18"/>
                <w:szCs w:val="18"/>
              </w:rPr>
              <w:t>高管锁定股、股权 激励限售股、非公 开发行限售股</w:t>
            </w:r>
          </w:p>
        </w:tc>
        <w:tc>
          <w:tcPr>
            <w:tcW w:w="163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139"/>
              <w:jc w:val="left"/>
              <w:rPr>
                <w:rFonts w:ascii="宋体" w:hAnsi="宋体" w:cs="宋体" w:eastAsia="宋体" w:hint="default"/>
                <w:sz w:val="18"/>
                <w:szCs w:val="18"/>
              </w:rPr>
            </w:pPr>
            <w:r>
              <w:rPr>
                <w:rFonts w:ascii="宋体" w:hAnsi="宋体" w:cs="宋体" w:eastAsia="宋体" w:hint="default"/>
                <w:sz w:val="18"/>
                <w:szCs w:val="18"/>
              </w:rPr>
              <w:t>高管锁定股每年年 初按高管持股总数 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75%</w:t>
            </w:r>
            <w:r>
              <w:rPr>
                <w:rFonts w:ascii="宋体" w:hAnsi="宋体" w:cs="宋体" w:eastAsia="宋体" w:hint="default"/>
                <w:sz w:val="18"/>
                <w:szCs w:val="18"/>
              </w:rPr>
              <w:t>重新核定； 股权激励限售股按 照公司限制性股票 激励计划管理； 非公开发行限售股 解除限售日期为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55,050,781</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18,870,947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216,341,748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252,521,582</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
        <w:rPr>
          <w:rFonts w:ascii="宋体" w:hAnsi="宋体" w:cs="宋体" w:eastAsia="宋体" w:hint="default"/>
          <w:sz w:val="18"/>
          <w:szCs w:val="18"/>
        </w:rPr>
      </w:pPr>
    </w:p>
    <w:p>
      <w:pPr>
        <w:pStyle w:val="Heading3"/>
        <w:spacing w:line="240" w:lineRule="auto" w:before="26"/>
        <w:ind w:right="0"/>
        <w:jc w:val="left"/>
        <w:rPr>
          <w:b w:val="0"/>
          <w:bCs w:val="0"/>
        </w:rPr>
      </w:pPr>
      <w:r>
        <w:rPr/>
        <w:t>二、证券发行与上市情况</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3"/>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412"/>
        <w:gridCol w:w="1294"/>
        <w:gridCol w:w="1407"/>
        <w:gridCol w:w="1183"/>
        <w:gridCol w:w="1652"/>
        <w:gridCol w:w="1277"/>
        <w:gridCol w:w="1346"/>
      </w:tblGrid>
      <w:tr>
        <w:trPr>
          <w:trHeight w:val="714" w:hRule="exact"/>
        </w:trPr>
        <w:tc>
          <w:tcPr>
            <w:tcW w:w="14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432" w:right="69" w:hanging="361"/>
              <w:jc w:val="left"/>
              <w:rPr>
                <w:rFonts w:ascii="宋体" w:hAnsi="宋体" w:cs="宋体" w:eastAsia="宋体" w:hint="default"/>
                <w:sz w:val="18"/>
                <w:szCs w:val="18"/>
              </w:rPr>
            </w:pPr>
            <w:r>
              <w:rPr>
                <w:rFonts w:ascii="宋体" w:hAnsi="宋体" w:cs="宋体" w:eastAsia="宋体" w:hint="default"/>
                <w:sz w:val="18"/>
                <w:szCs w:val="18"/>
              </w:rPr>
              <w:t>股票及其衍生证 券名称</w:t>
            </w:r>
          </w:p>
        </w:tc>
        <w:tc>
          <w:tcPr>
            <w:tcW w:w="1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发行日期</w:t>
            </w:r>
          </w:p>
        </w:tc>
        <w:tc>
          <w:tcPr>
            <w:tcW w:w="14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519" w:right="65" w:hanging="450"/>
              <w:jc w:val="left"/>
              <w:rPr>
                <w:rFonts w:ascii="宋体" w:hAnsi="宋体" w:cs="宋体" w:eastAsia="宋体" w:hint="default"/>
                <w:sz w:val="18"/>
                <w:szCs w:val="18"/>
              </w:rPr>
            </w:pPr>
            <w:r>
              <w:rPr>
                <w:rFonts w:ascii="宋体" w:hAnsi="宋体" w:cs="宋体" w:eastAsia="宋体" w:hint="default"/>
                <w:sz w:val="18"/>
                <w:szCs w:val="18"/>
              </w:rPr>
              <w:t>发行价格（或利 率）</w:t>
            </w:r>
          </w:p>
        </w:tc>
        <w:tc>
          <w:tcPr>
            <w:tcW w:w="11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发行数量</w:t>
            </w:r>
          </w:p>
        </w:tc>
        <w:tc>
          <w:tcPr>
            <w:tcW w:w="1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上市日期</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453" w:right="92" w:hanging="360"/>
              <w:jc w:val="left"/>
              <w:rPr>
                <w:rFonts w:ascii="宋体" w:hAnsi="宋体" w:cs="宋体" w:eastAsia="宋体" w:hint="default"/>
                <w:sz w:val="18"/>
                <w:szCs w:val="18"/>
              </w:rPr>
            </w:pPr>
            <w:r>
              <w:rPr>
                <w:rFonts w:ascii="宋体" w:hAnsi="宋体" w:cs="宋体" w:eastAsia="宋体" w:hint="default"/>
                <w:sz w:val="18"/>
                <w:szCs w:val="18"/>
              </w:rPr>
              <w:t>获准上市交易 数量</w:t>
            </w:r>
          </w:p>
        </w:tc>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交易终止日期</w:t>
            </w:r>
          </w:p>
        </w:tc>
      </w:tr>
      <w:tr>
        <w:trPr>
          <w:trHeight w:val="401"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股票类</w:t>
            </w:r>
          </w:p>
        </w:tc>
      </w:tr>
      <w:tr>
        <w:trPr>
          <w:trHeight w:val="715" w:hRule="exac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1"/>
              <w:ind w:left="24" w:right="19"/>
              <w:jc w:val="left"/>
              <w:rPr>
                <w:rFonts w:ascii="宋体" w:hAnsi="宋体" w:cs="宋体" w:eastAsia="宋体" w:hint="default"/>
                <w:sz w:val="18"/>
                <w:szCs w:val="18"/>
              </w:rPr>
            </w:pPr>
            <w:r>
              <w:rPr>
                <w:rFonts w:ascii="宋体" w:hAnsi="宋体" w:cs="宋体" w:eastAsia="宋体" w:hint="default"/>
                <w:spacing w:val="-5"/>
                <w:sz w:val="18"/>
                <w:szCs w:val="18"/>
              </w:rPr>
              <w:t>人民币普通股（</w:t>
            </w:r>
            <w:r>
              <w:rPr>
                <w:rFonts w:ascii="Times New Roman" w:hAnsi="Times New Roman" w:cs="Times New Roman" w:eastAsia="Times New Roman" w:hint="default"/>
                <w:spacing w:val="-5"/>
                <w:sz w:val="18"/>
                <w:szCs w:val="18"/>
              </w:rPr>
              <w:t>A</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股）</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17.02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19,418,723</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0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19,418,723</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715" w:hRule="exac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pacing w:val="-5"/>
                <w:sz w:val="18"/>
                <w:szCs w:val="18"/>
              </w:rPr>
              <w:t>人民币普通股（</w:t>
            </w:r>
            <w:r>
              <w:rPr>
                <w:rFonts w:ascii="Times New Roman" w:hAnsi="Times New Roman" w:cs="Times New Roman" w:eastAsia="Times New Roman" w:hint="default"/>
                <w:spacing w:val="-5"/>
                <w:sz w:val="18"/>
                <w:szCs w:val="18"/>
              </w:rPr>
              <w:t>A</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股）</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15</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17.02 </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196,923,025</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223,266,740</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412"/>
        <w:gridCol w:w="1294"/>
        <w:gridCol w:w="1407"/>
        <w:gridCol w:w="1183"/>
        <w:gridCol w:w="1652"/>
        <w:gridCol w:w="1277"/>
        <w:gridCol w:w="1346"/>
      </w:tblGrid>
      <w:tr>
        <w:trPr>
          <w:trHeight w:val="401"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可转换公司债券、分离交易的可转换公司债券、公司债类</w:t>
            </w:r>
          </w:p>
        </w:tc>
      </w:tr>
      <w:tr>
        <w:trPr>
          <w:trHeight w:val="715" w:hRule="exact"/>
        </w:trPr>
        <w:tc>
          <w:tcPr>
            <w:tcW w:w="1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  </w:t>
            </w:r>
            <w:r>
              <w:rPr>
                <w:rFonts w:ascii="宋体" w:hAnsi="宋体" w:cs="宋体" w:eastAsia="宋体" w:hint="default"/>
                <w:sz w:val="18"/>
                <w:szCs w:val="18"/>
              </w:rPr>
              <w:t>四维</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01</w:t>
            </w:r>
          </w:p>
        </w:tc>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23</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张，票面</w:t>
            </w:r>
          </w:p>
          <w:p>
            <w:pPr>
              <w:pStyle w:val="TableParagraph"/>
              <w:spacing w:line="240" w:lineRule="auto" w:before="6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利率为</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6.00%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66" w:right="0"/>
              <w:jc w:val="left"/>
              <w:rPr>
                <w:rFonts w:ascii="Times New Roman" w:hAnsi="Times New Roman" w:cs="Times New Roman" w:eastAsia="Times New Roman" w:hint="default"/>
                <w:sz w:val="18"/>
                <w:szCs w:val="18"/>
              </w:rPr>
            </w:pPr>
            <w:r>
              <w:rPr>
                <w:rFonts w:ascii="Times New Roman"/>
                <w:sz w:val="18"/>
              </w:rPr>
              <w:t>500,000</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57" w:right="0"/>
              <w:jc w:val="left"/>
              <w:rPr>
                <w:rFonts w:ascii="Times New Roman" w:hAnsi="Times New Roman" w:cs="Times New Roman" w:eastAsia="Times New Roman" w:hint="default"/>
                <w:sz w:val="18"/>
                <w:szCs w:val="18"/>
              </w:rPr>
            </w:pPr>
            <w:r>
              <w:rPr>
                <w:rFonts w:ascii="Times New Roman"/>
                <w:sz w:val="18"/>
              </w:rPr>
              <w:t>500,000</w:t>
            </w:r>
          </w:p>
        </w:tc>
        <w:tc>
          <w:tcPr>
            <w:tcW w:w="13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402" w:hRule="exact"/>
        </w:trPr>
        <w:tc>
          <w:tcPr>
            <w:tcW w:w="9571"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其他衍生证券类</w:t>
            </w:r>
          </w:p>
        </w:tc>
      </w:tr>
    </w:tbl>
    <w:p>
      <w:pPr>
        <w:pStyle w:val="BodyText"/>
        <w:spacing w:line="357" w:lineRule="auto" w:before="50"/>
        <w:ind w:left="633" w:right="0" w:hanging="481"/>
        <w:jc w:val="left"/>
      </w:pPr>
      <w:r>
        <w:rPr/>
        <w:t>报告期内证券发行（不含优先股）情况的说明 </w:t>
      </w:r>
      <w:r>
        <w:rPr>
          <w:spacing w:val="-1"/>
        </w:rPr>
        <w:t>公司以发行股份及支付现金相结合的方式收购杰发科技</w:t>
      </w:r>
      <w:r>
        <w:rPr>
          <w:rFonts w:ascii="宋体" w:hAnsi="宋体" w:cs="宋体" w:eastAsia="宋体" w:hint="default"/>
          <w:spacing w:val="-1"/>
        </w:rPr>
        <w:t>100%</w:t>
      </w:r>
      <w:r>
        <w:rPr>
          <w:spacing w:val="-1"/>
        </w:rPr>
        <w:t>股权的重大资产重组事项，其中公司向高新创投、杰康投</w:t>
      </w:r>
    </w:p>
    <w:p>
      <w:pPr>
        <w:pStyle w:val="BodyText"/>
        <w:spacing w:line="224" w:lineRule="exact"/>
        <w:ind w:right="0"/>
        <w:jc w:val="both"/>
      </w:pPr>
      <w:r>
        <w:rPr/>
        <w:t>资、杰浩投资、杰朗投资和杰晟投资合计支付股份对价人民币</w:t>
      </w:r>
      <w:r>
        <w:rPr>
          <w:rFonts w:ascii="宋体" w:hAnsi="宋体" w:cs="宋体" w:eastAsia="宋体" w:hint="default"/>
        </w:rPr>
        <w:t>330,506,700.00</w:t>
      </w:r>
      <w:r>
        <w:rPr/>
        <w:t>元，合计发行股份的数量为</w:t>
      </w:r>
      <w:r>
        <w:rPr>
          <w:rFonts w:ascii="宋体" w:hAnsi="宋体" w:cs="宋体" w:eastAsia="宋体" w:hint="default"/>
        </w:rPr>
        <w:t>19,418,723</w:t>
      </w:r>
      <w:r>
        <w:rPr/>
        <w:t>股，每</w:t>
      </w:r>
    </w:p>
    <w:p>
      <w:pPr>
        <w:pStyle w:val="BodyText"/>
        <w:spacing w:line="316" w:lineRule="auto" w:before="76"/>
        <w:ind w:right="151"/>
        <w:jc w:val="both"/>
        <w:rPr>
          <w:rFonts w:ascii="宋体" w:hAnsi="宋体" w:cs="宋体" w:eastAsia="宋体" w:hint="default"/>
        </w:rPr>
      </w:pPr>
      <w:r>
        <w:rPr/>
        <w:t>股发行价格为</w:t>
      </w:r>
      <w:r>
        <w:rPr>
          <w:rFonts w:ascii="宋体" w:hAnsi="宋体" w:cs="宋体" w:eastAsia="宋体" w:hint="default"/>
        </w:rPr>
        <w:t>17.02</w:t>
      </w:r>
      <w:r>
        <w:rPr/>
        <w:t>元；公司向腾讯产业基金、芯动能基金、天安财险、中信建投证券、华泰资产、林芝锦华、华泰瑞联、 </w:t>
      </w:r>
      <w:r>
        <w:rPr>
          <w:spacing w:val="-2"/>
        </w:rPr>
        <w:t>安鹏资本、龙华启富和员工持股计划发行股份募集配套资金，合计发行</w:t>
      </w:r>
      <w:r>
        <w:rPr>
          <w:rFonts w:ascii="宋体" w:hAnsi="宋体" w:cs="宋体" w:eastAsia="宋体" w:hint="default"/>
          <w:spacing w:val="-2"/>
        </w:rPr>
        <w:t>196,923,025</w:t>
      </w:r>
      <w:r>
        <w:rPr>
          <w:spacing w:val="-2"/>
        </w:rPr>
        <w:t>股，每股发行价格为</w:t>
      </w:r>
      <w:r>
        <w:rPr>
          <w:rFonts w:ascii="宋体" w:hAnsi="宋体" w:cs="宋体" w:eastAsia="宋体" w:hint="default"/>
          <w:spacing w:val="-2"/>
        </w:rPr>
        <w:t>17.02</w:t>
      </w:r>
      <w:r>
        <w:rPr>
          <w:spacing w:val="-2"/>
        </w:rPr>
        <w:t>元。本次交易</w:t>
      </w:r>
      <w:r>
        <w:rPr>
          <w:spacing w:val="-55"/>
        </w:rPr>
        <w:t> </w:t>
      </w:r>
      <w:r>
        <w:rPr>
          <w:spacing w:val="-55"/>
        </w:rPr>
      </w:r>
      <w:r>
        <w:rPr/>
        <w:t>合计发行股份</w:t>
      </w:r>
      <w:r>
        <w:rPr>
          <w:rFonts w:ascii="宋体" w:hAnsi="宋体" w:cs="宋体" w:eastAsia="宋体" w:hint="default"/>
        </w:rPr>
        <w:t>216,341,748</w:t>
      </w:r>
      <w:r>
        <w:rPr/>
        <w:t>股，新增股份上市日为</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23</w:t>
      </w:r>
      <w:r>
        <w:rPr/>
        <w:t>日。</w:t>
      </w:r>
      <w:r>
        <w:rPr>
          <w:rFonts w:ascii="宋体" w:hAnsi="宋体" w:cs="宋体" w:eastAsia="宋体" w:hint="default"/>
          <w:spacing w:val="1"/>
        </w:rPr>
        <w:t>  </w:t>
      </w:r>
      <w:r>
        <w:rPr>
          <w:rFonts w:ascii="宋体" w:hAnsi="宋体" w:cs="宋体" w:eastAsia="宋体" w:hint="default"/>
          <w:spacing w:val="-1"/>
        </w:rPr>
        <w:t> </w:t>
      </w:r>
      <w:r>
        <w:rPr>
          <w:rFonts w:ascii="宋体" w:hAnsi="宋体" w:cs="宋体" w:eastAsia="宋体" w:hint="default"/>
        </w:rPr>
        <w:t> </w:t>
      </w:r>
    </w:p>
    <w:p>
      <w:pPr>
        <w:pStyle w:val="BodyText"/>
        <w:spacing w:line="319" w:lineRule="auto" w:before="19"/>
        <w:ind w:right="151" w:firstLine="480"/>
        <w:jc w:val="both"/>
        <w:rPr>
          <w:rFonts w:ascii="宋体" w:hAnsi="宋体" w:cs="宋体" w:eastAsia="宋体" w:hint="default"/>
        </w:rPr>
      </w:pPr>
      <w:r>
        <w:rPr>
          <w:spacing w:val="-1"/>
        </w:rPr>
        <w:t>公司面向合格投资者公开发行面值总额不超过</w:t>
      </w:r>
      <w:r>
        <w:rPr>
          <w:rFonts w:ascii="宋体" w:hAnsi="宋体" w:cs="宋体" w:eastAsia="宋体" w:hint="default"/>
          <w:spacing w:val="-1"/>
        </w:rPr>
        <w:t>12</w:t>
      </w:r>
      <w:r>
        <w:rPr>
          <w:spacing w:val="-1"/>
        </w:rPr>
        <w:t>亿元的公司债券已获中国证券监督管理委员会核准。报告期内，公司</w:t>
      </w:r>
      <w:r>
        <w:rPr/>
        <w:t> </w:t>
      </w:r>
      <w:r>
        <w:rPr>
          <w:spacing w:val="-2"/>
        </w:rPr>
        <w:t>采用分期发行方式面向合格投资者公开发行公司债券（第一期），本期债券发行总额为</w:t>
      </w:r>
      <w:r>
        <w:rPr>
          <w:rFonts w:ascii="宋体" w:hAnsi="宋体" w:cs="宋体" w:eastAsia="宋体" w:hint="default"/>
          <w:spacing w:val="-2"/>
        </w:rPr>
        <w:t>5,000</w:t>
      </w:r>
      <w:r>
        <w:rPr>
          <w:spacing w:val="-2"/>
        </w:rPr>
        <w:t>万元，面值</w:t>
      </w:r>
      <w:r>
        <w:rPr>
          <w:rFonts w:ascii="宋体" w:hAnsi="宋体" w:cs="宋体" w:eastAsia="宋体" w:hint="default"/>
          <w:spacing w:val="-2"/>
        </w:rPr>
        <w:t>100</w:t>
      </w:r>
      <w:r>
        <w:rPr>
          <w:spacing w:val="-2"/>
        </w:rPr>
        <w:t>元，票面利率为</w:t>
      </w:r>
      <w:r>
        <w:rPr>
          <w:spacing w:val="-59"/>
        </w:rPr>
        <w:t> </w:t>
      </w:r>
      <w:r>
        <w:rPr>
          <w:spacing w:val="-59"/>
        </w:rPr>
      </w:r>
      <w:r>
        <w:rPr>
          <w:rFonts w:ascii="宋体" w:hAnsi="宋体" w:cs="宋体" w:eastAsia="宋体" w:hint="default"/>
        </w:rPr>
        <w:t>6.00%</w:t>
      </w:r>
      <w:r>
        <w:rPr/>
        <w:t>，上市日为</w:t>
      </w: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12</w:t>
      </w:r>
      <w:r>
        <w:rPr/>
        <w:t>日。</w:t>
      </w:r>
      <w:r>
        <w:rPr>
          <w:rFonts w:ascii="宋体" w:hAnsi="宋体" w:cs="宋体" w:eastAsia="宋体" w:hint="default"/>
        </w:rPr>
        <w:t> </w:t>
      </w:r>
    </w:p>
    <w:p>
      <w:pPr>
        <w:spacing w:line="240" w:lineRule="auto" w:before="9"/>
        <w:rPr>
          <w:rFonts w:ascii="宋体" w:hAnsi="宋体" w:cs="宋体" w:eastAsia="宋体" w:hint="default"/>
          <w:sz w:val="22"/>
          <w:szCs w:val="22"/>
        </w:rPr>
      </w:pPr>
    </w:p>
    <w:p>
      <w:pPr>
        <w:pStyle w:val="Heading5"/>
        <w:spacing w:line="240" w:lineRule="auto"/>
        <w:ind w:right="0"/>
        <w:jc w:val="both"/>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495" w:right="681"/>
        <w:jc w:val="center"/>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23</w:t>
      </w:r>
      <w:r>
        <w:rPr/>
        <w:t>日，公司完成发行股份购买资产并募集配套资金的非公开发行及新增股份上市工作，共计发行股份</w:t>
      </w:r>
    </w:p>
    <w:p>
      <w:pPr>
        <w:pStyle w:val="BodyText"/>
        <w:spacing w:line="300" w:lineRule="auto" w:before="63"/>
        <w:ind w:right="0"/>
        <w:jc w:val="left"/>
      </w:pPr>
      <w:r>
        <w:rPr>
          <w:rFonts w:ascii="Times New Roman" w:hAnsi="Times New Roman" w:cs="Times New Roman" w:eastAsia="Times New Roman" w:hint="default"/>
        </w:rPr>
        <w:t>216,341,748 </w:t>
      </w:r>
      <w:r>
        <w:rPr/>
        <w:t>股。公司股份总数由</w:t>
      </w:r>
      <w:r>
        <w:rPr>
          <w:rFonts w:ascii="Times New Roman" w:hAnsi="Times New Roman" w:cs="Times New Roman" w:eastAsia="Times New Roman" w:hint="default"/>
        </w:rPr>
        <w:t>1,066,527,265</w:t>
      </w:r>
      <w:r>
        <w:rPr/>
        <w:t>股变更为</w:t>
      </w:r>
      <w:r>
        <w:rPr>
          <w:rFonts w:ascii="Times New Roman" w:hAnsi="Times New Roman" w:cs="Times New Roman" w:eastAsia="Times New Roman" w:hint="default"/>
        </w:rPr>
        <w:t>1,282,869,013 </w:t>
      </w:r>
      <w:r>
        <w:rPr/>
        <w:t>股；公司净资产相应增加了</w:t>
      </w:r>
      <w:r>
        <w:rPr>
          <w:rFonts w:ascii="Times New Roman" w:hAnsi="Times New Roman" w:cs="Times New Roman" w:eastAsia="Times New Roman" w:hint="default"/>
        </w:rPr>
        <w:t>365,775.67</w:t>
      </w:r>
      <w:r>
        <w:rPr/>
        <w:t>万元</w:t>
      </w:r>
      <w:r>
        <w:rPr>
          <w:spacing w:val="-67"/>
        </w:rPr>
        <w:t> </w:t>
      </w:r>
      <w:r>
        <w:rPr/>
        <w:t>；公司负</w:t>
      </w:r>
      <w:r>
        <w:rPr/>
        <w:t> 债相应增加了</w:t>
      </w:r>
      <w:r>
        <w:rPr>
          <w:rFonts w:ascii="Times New Roman" w:hAnsi="Times New Roman" w:cs="Times New Roman" w:eastAsia="Times New Roman" w:hint="default"/>
        </w:rPr>
        <w:t>354,459.33</w:t>
      </w:r>
      <w:r>
        <w:rPr/>
        <w:t>万元。</w:t>
      </w:r>
    </w:p>
    <w:p>
      <w:pPr>
        <w:pStyle w:val="BodyText"/>
        <w:spacing w:line="300" w:lineRule="auto" w:before="53"/>
        <w:ind w:right="152" w:firstLine="288"/>
        <w:jc w:val="both"/>
      </w:pP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26</w:t>
      </w:r>
      <w:r>
        <w:rPr>
          <w:spacing w:val="-1"/>
        </w:rPr>
        <w:t>日，公司完成对</w:t>
      </w:r>
      <w:r>
        <w:rPr>
          <w:rFonts w:ascii="Times New Roman" w:hAnsi="Times New Roman" w:cs="Times New Roman" w:eastAsia="Times New Roman" w:hint="default"/>
          <w:spacing w:val="-1"/>
        </w:rPr>
        <w:t>2015</w:t>
      </w:r>
      <w:r>
        <w:rPr>
          <w:spacing w:val="-1"/>
        </w:rPr>
        <w:t>年限制性股票激励计划的</w:t>
      </w:r>
      <w:r>
        <w:rPr>
          <w:rFonts w:ascii="Times New Roman" w:hAnsi="Times New Roman" w:cs="Times New Roman" w:eastAsia="Times New Roman" w:hint="default"/>
          <w:spacing w:val="-1"/>
        </w:rPr>
        <w:t>7</w:t>
      </w:r>
      <w:r>
        <w:rPr>
          <w:spacing w:val="-1"/>
        </w:rPr>
        <w:t>名已离职激励对象已获授但尚未解锁的限制性股票回购注销</w:t>
      </w:r>
      <w:r>
        <w:rPr/>
        <w:t> 工作，回购数量为</w:t>
      </w:r>
      <w:r>
        <w:rPr>
          <w:rFonts w:ascii="Times New Roman" w:hAnsi="Times New Roman" w:cs="Times New Roman" w:eastAsia="Times New Roman" w:hint="default"/>
        </w:rPr>
        <w:t>254,000</w:t>
      </w:r>
      <w:r>
        <w:rPr/>
        <w:t>股，公司股份总数相应减少</w:t>
      </w:r>
      <w:r>
        <w:rPr>
          <w:rFonts w:ascii="Times New Roman" w:hAnsi="Times New Roman" w:cs="Times New Roman" w:eastAsia="Times New Roman" w:hint="default"/>
        </w:rPr>
        <w:t>254,000</w:t>
      </w:r>
      <w:r>
        <w:rPr/>
        <w:t>股，总股本由</w:t>
      </w:r>
      <w:r>
        <w:rPr>
          <w:rFonts w:ascii="Times New Roman" w:hAnsi="Times New Roman" w:cs="Times New Roman" w:eastAsia="Times New Roman" w:hint="default"/>
        </w:rPr>
        <w:t>1,282,869,013</w:t>
      </w:r>
      <w:r>
        <w:rPr/>
        <w:t>股变更为</w:t>
      </w:r>
      <w:r>
        <w:rPr>
          <w:rFonts w:ascii="Times New Roman" w:hAnsi="Times New Roman" w:cs="Times New Roman" w:eastAsia="Times New Roman" w:hint="default"/>
        </w:rPr>
        <w:t>1,282,615,013</w:t>
      </w:r>
      <w:r>
        <w:rPr>
          <w:rFonts w:ascii="Times New Roman" w:hAnsi="Times New Roman" w:cs="Times New Roman" w:eastAsia="Times New Roman" w:hint="default"/>
          <w:spacing w:val="18"/>
        </w:rPr>
        <w:t> </w:t>
      </w:r>
      <w:r>
        <w:rPr/>
        <w:t>股；公司资 产和负债相应减少了</w:t>
      </w:r>
      <w:r>
        <w:rPr>
          <w:rFonts w:ascii="Times New Roman" w:hAnsi="Times New Roman" w:cs="Times New Roman" w:eastAsia="Times New Roman" w:hint="default"/>
        </w:rPr>
        <w:t>1,900,605.8</w:t>
      </w:r>
      <w:r>
        <w:rPr/>
        <w:t>元；公司净资产未发生变化。</w:t>
      </w:r>
    </w:p>
    <w:p>
      <w:pPr>
        <w:spacing w:line="240" w:lineRule="auto" w:before="4"/>
        <w:rPr>
          <w:rFonts w:ascii="宋体" w:hAnsi="宋体" w:cs="宋体" w:eastAsia="宋体" w:hint="default"/>
          <w:sz w:val="22"/>
          <w:szCs w:val="22"/>
        </w:rPr>
      </w:pPr>
    </w:p>
    <w:p>
      <w:pPr>
        <w:pStyle w:val="Heading5"/>
        <w:spacing w:line="240" w:lineRule="auto"/>
        <w:ind w:right="0"/>
        <w:jc w:val="both"/>
        <w:rPr>
          <w:b w:val="0"/>
          <w:bCs w:val="0"/>
        </w:rPr>
      </w:pPr>
      <w:r>
        <w:rPr>
          <w:rFonts w:ascii="Times New Roman" w:hAnsi="Times New Roman" w:cs="Times New Roman" w:eastAsia="Times New Roman" w:hint="default"/>
        </w:rPr>
        <w:t>3</w:t>
      </w:r>
      <w:r>
        <w:rPr/>
        <w:t>、现存的内部职工股情况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3"/>
        <w:spacing w:line="240" w:lineRule="auto"/>
        <w:ind w:right="0"/>
        <w:jc w:val="both"/>
        <w:rPr>
          <w:b w:val="0"/>
          <w:bCs w:val="0"/>
        </w:rPr>
      </w:pPr>
      <w:r>
        <w:rPr/>
        <w:t>三、股东和实际控制人情况</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both"/>
        <w:rPr>
          <w:b w:val="0"/>
          <w:bCs w:val="0"/>
        </w:rPr>
      </w:pPr>
      <w:r>
        <w:rPr>
          <w:rFonts w:ascii="Times New Roman" w:hAnsi="Times New Roman" w:cs="Times New Roman" w:eastAsia="Times New Roman" w:hint="default"/>
        </w:rPr>
        <w:t>1</w:t>
      </w:r>
      <w:r>
        <w:rPr/>
        <w:t>、公司股东数量及持股情况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51"/>
        <w:jc w:val="right"/>
      </w:pPr>
      <w:r>
        <w:rPr/>
        <w:t>单位：股</w:t>
      </w:r>
    </w:p>
    <w:p>
      <w:pPr>
        <w:spacing w:line="240" w:lineRule="auto" w:before="5"/>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4"/>
        <w:gridCol w:w="506"/>
        <w:gridCol w:w="690"/>
        <w:gridCol w:w="489"/>
        <w:gridCol w:w="749"/>
        <w:gridCol w:w="1049"/>
        <w:gridCol w:w="106"/>
        <w:gridCol w:w="1030"/>
        <w:gridCol w:w="166"/>
        <w:gridCol w:w="1154"/>
        <w:gridCol w:w="949"/>
        <w:gridCol w:w="290"/>
        <w:gridCol w:w="276"/>
        <w:gridCol w:w="922"/>
      </w:tblGrid>
      <w:tr>
        <w:trPr>
          <w:trHeight w:val="1968" w:hRule="exact"/>
        </w:trPr>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22" w:right="81"/>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11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85" w:right="0"/>
              <w:jc w:val="left"/>
              <w:rPr>
                <w:rFonts w:ascii="Times New Roman" w:hAnsi="Times New Roman" w:cs="Times New Roman" w:eastAsia="Times New Roman" w:hint="default"/>
                <w:sz w:val="18"/>
                <w:szCs w:val="18"/>
              </w:rPr>
            </w:pPr>
            <w:r>
              <w:rPr>
                <w:rFonts w:ascii="Times New Roman"/>
                <w:sz w:val="18"/>
              </w:rPr>
              <w:t>129,911</w:t>
            </w:r>
          </w:p>
        </w:tc>
        <w:tc>
          <w:tcPr>
            <w:tcW w:w="123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2" w:right="123"/>
              <w:jc w:val="both"/>
              <w:rPr>
                <w:rFonts w:ascii="宋体" w:hAnsi="宋体" w:cs="宋体" w:eastAsia="宋体" w:hint="default"/>
                <w:sz w:val="18"/>
                <w:szCs w:val="18"/>
              </w:rPr>
            </w:pPr>
            <w:r>
              <w:rPr>
                <w:rFonts w:ascii="宋体" w:hAnsi="宋体" w:cs="宋体" w:eastAsia="宋体" w:hint="default"/>
                <w:sz w:val="18"/>
                <w:szCs w:val="18"/>
              </w:rPr>
              <w:t>年度报告披露 日前上一月末 普通股股东总 数</w:t>
            </w:r>
          </w:p>
        </w:tc>
        <w:tc>
          <w:tcPr>
            <w:tcW w:w="11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37" w:right="0"/>
              <w:jc w:val="left"/>
              <w:rPr>
                <w:rFonts w:ascii="Times New Roman" w:hAnsi="Times New Roman" w:cs="Times New Roman" w:eastAsia="Times New Roman" w:hint="default"/>
                <w:sz w:val="18"/>
                <w:szCs w:val="18"/>
              </w:rPr>
            </w:pPr>
            <w:r>
              <w:rPr>
                <w:rFonts w:ascii="Times New Roman"/>
                <w:sz w:val="18"/>
              </w:rPr>
              <w:t>130,145</w:t>
            </w:r>
          </w:p>
        </w:tc>
        <w:tc>
          <w:tcPr>
            <w:tcW w:w="11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81"/>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p>
            <w:pPr>
              <w:pStyle w:val="TableParagraph"/>
              <w:spacing w:line="316" w:lineRule="auto" w:before="19"/>
              <w:ind w:left="23" w:right="22"/>
              <w:jc w:val="both"/>
              <w:rPr>
                <w:rFonts w:ascii="宋体" w:hAnsi="宋体" w:cs="宋体" w:eastAsia="宋体" w:hint="default"/>
                <w:sz w:val="18"/>
                <w:szCs w:val="18"/>
              </w:rPr>
            </w:pPr>
            <w:r>
              <w:rPr>
                <w:rFonts w:ascii="宋体" w:hAnsi="宋体" w:cs="宋体" w:eastAsia="宋体" w:hint="default"/>
                <w:spacing w:val="-18"/>
                <w:sz w:val="18"/>
                <w:szCs w:val="18"/>
              </w:rPr>
              <w:t>（如有）（参见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w:t>
            </w:r>
          </w:p>
        </w:tc>
        <w:tc>
          <w:tcPr>
            <w:tcW w:w="124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7" w:right="20"/>
              <w:jc w:val="left"/>
              <w:rPr>
                <w:rFonts w:ascii="宋体" w:hAnsi="宋体" w:cs="宋体" w:eastAsia="宋体" w:hint="default"/>
                <w:sz w:val="18"/>
                <w:szCs w:val="18"/>
              </w:rPr>
            </w:pPr>
            <w:r>
              <w:rPr>
                <w:rFonts w:ascii="宋体" w:hAnsi="宋体" w:cs="宋体" w:eastAsia="宋体" w:hint="default"/>
                <w:sz w:val="18"/>
                <w:szCs w:val="18"/>
              </w:rPr>
              <w:t>年度报告披露 日前上一月末 表决权恢复的 优先股股东总 </w:t>
            </w:r>
            <w:r>
              <w:rPr>
                <w:rFonts w:ascii="宋体" w:hAnsi="宋体" w:cs="宋体" w:eastAsia="宋体" w:hint="default"/>
                <w:spacing w:val="-18"/>
                <w:sz w:val="18"/>
                <w:szCs w:val="18"/>
              </w:rPr>
              <w:t>数（如有）（参</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见注</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119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396" w:hRule="exact"/>
        </w:trPr>
        <w:tc>
          <w:tcPr>
            <w:tcW w:w="9570"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3062"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名股东持股情况</w:t>
            </w:r>
          </w:p>
        </w:tc>
      </w:tr>
      <w:tr>
        <w:trPr>
          <w:trHeight w:val="403" w:hRule="exact"/>
        </w:trPr>
        <w:tc>
          <w:tcPr>
            <w:tcW w:w="170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17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4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 w:right="-13"/>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04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71" w:right="47"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113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2" w:right="111"/>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131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93" w:right="134"/>
              <w:jc w:val="left"/>
              <w:rPr>
                <w:rFonts w:ascii="宋体" w:hAnsi="宋体" w:cs="宋体" w:eastAsia="宋体" w:hint="default"/>
                <w:sz w:val="18"/>
                <w:szCs w:val="18"/>
              </w:rPr>
            </w:pPr>
            <w:r>
              <w:rPr>
                <w:rFonts w:ascii="宋体" w:hAnsi="宋体" w:cs="宋体" w:eastAsia="宋体" w:hint="default"/>
                <w:sz w:val="18"/>
                <w:szCs w:val="18"/>
              </w:rPr>
              <w:t>持有有限售条 件的股份数量</w:t>
            </w:r>
          </w:p>
        </w:tc>
        <w:tc>
          <w:tcPr>
            <w:tcW w:w="94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13"/>
              <w:ind w:left="-5" w:right="41"/>
              <w:jc w:val="left"/>
              <w:rPr>
                <w:rFonts w:ascii="宋体" w:hAnsi="宋体" w:cs="宋体" w:eastAsia="宋体" w:hint="default"/>
                <w:sz w:val="18"/>
                <w:szCs w:val="18"/>
              </w:rPr>
            </w:pPr>
            <w:r>
              <w:rPr>
                <w:rFonts w:ascii="宋体" w:hAnsi="宋体" w:cs="宋体" w:eastAsia="宋体" w:hint="default"/>
                <w:sz w:val="18"/>
                <w:szCs w:val="18"/>
              </w:rPr>
              <w:t>持有无限售 条件的股份</w:t>
            </w:r>
          </w:p>
        </w:tc>
        <w:tc>
          <w:tcPr>
            <w:tcW w:w="148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0"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401" w:hRule="exact"/>
        </w:trPr>
        <w:tc>
          <w:tcPr>
            <w:tcW w:w="1701" w:type="dxa"/>
            <w:gridSpan w:val="2"/>
            <w:vMerge/>
            <w:tcBorders>
              <w:left w:val="single" w:sz="4" w:space="0" w:color="000000"/>
              <w:bottom w:val="single" w:sz="4" w:space="0" w:color="000000"/>
              <w:right w:val="single" w:sz="4" w:space="0" w:color="000000"/>
            </w:tcBorders>
            <w:shd w:val="clear" w:color="auto" w:fill="D2D2D2"/>
          </w:tcPr>
          <w:p>
            <w:pPr/>
          </w:p>
        </w:tc>
        <w:tc>
          <w:tcPr>
            <w:tcW w:w="1179" w:type="dxa"/>
            <w:gridSpan w:val="2"/>
            <w:vMerge/>
            <w:tcBorders>
              <w:left w:val="single" w:sz="4" w:space="0" w:color="000000"/>
              <w:bottom w:val="single" w:sz="4" w:space="0" w:color="000000"/>
              <w:right w:val="single" w:sz="4" w:space="0" w:color="000000"/>
            </w:tcBorders>
            <w:shd w:val="clear" w:color="auto" w:fill="D2D2D2"/>
          </w:tcPr>
          <w:p>
            <w:pPr/>
          </w:p>
        </w:tc>
        <w:tc>
          <w:tcPr>
            <w:tcW w:w="749" w:type="dxa"/>
            <w:vMerge/>
            <w:tcBorders>
              <w:left w:val="single" w:sz="4" w:space="0" w:color="000000"/>
              <w:bottom w:val="single" w:sz="4" w:space="0" w:color="000000"/>
              <w:right w:val="single" w:sz="4" w:space="0" w:color="000000"/>
            </w:tcBorders>
            <w:shd w:val="clear" w:color="auto" w:fill="D2D2D2"/>
          </w:tcPr>
          <w:p>
            <w:pPr/>
          </w:p>
        </w:tc>
        <w:tc>
          <w:tcPr>
            <w:tcW w:w="1049" w:type="dxa"/>
            <w:vMerge/>
            <w:tcBorders>
              <w:left w:val="single" w:sz="4" w:space="0" w:color="000000"/>
              <w:bottom w:val="single" w:sz="4" w:space="0" w:color="000000"/>
              <w:right w:val="single" w:sz="4" w:space="0" w:color="000000"/>
            </w:tcBorders>
            <w:shd w:val="clear" w:color="auto" w:fill="D2D2D2"/>
          </w:tcPr>
          <w:p>
            <w:pPr/>
          </w:p>
        </w:tc>
        <w:tc>
          <w:tcPr>
            <w:tcW w:w="1136" w:type="dxa"/>
            <w:gridSpan w:val="2"/>
            <w:vMerge/>
            <w:tcBorders>
              <w:left w:val="single" w:sz="4" w:space="0" w:color="000000"/>
              <w:bottom w:val="single" w:sz="4" w:space="0" w:color="000000"/>
              <w:right w:val="single" w:sz="4" w:space="0" w:color="000000"/>
            </w:tcBorders>
            <w:shd w:val="clear" w:color="auto" w:fill="D2D2D2"/>
          </w:tcPr>
          <w:p>
            <w:pPr/>
          </w:p>
        </w:tc>
        <w:tc>
          <w:tcPr>
            <w:tcW w:w="1319" w:type="dxa"/>
            <w:gridSpan w:val="2"/>
            <w:vMerge/>
            <w:tcBorders>
              <w:left w:val="single" w:sz="4" w:space="0" w:color="000000"/>
              <w:bottom w:val="single" w:sz="4" w:space="0" w:color="000000"/>
              <w:right w:val="single" w:sz="4" w:space="0" w:color="000000"/>
            </w:tcBorders>
            <w:shd w:val="clear" w:color="auto" w:fill="D2D2D2"/>
          </w:tcPr>
          <w:p>
            <w:pPr/>
          </w:p>
        </w:tc>
        <w:tc>
          <w:tcPr>
            <w:tcW w:w="949" w:type="dxa"/>
            <w:vMerge/>
            <w:tcBorders>
              <w:left w:val="single" w:sz="4" w:space="0" w:color="000000"/>
              <w:bottom w:val="single" w:sz="4" w:space="0" w:color="000000"/>
              <w:right w:val="single" w:sz="4" w:space="0" w:color="000000"/>
            </w:tcBorders>
            <w:shd w:val="clear" w:color="auto" w:fill="D2D2D2"/>
          </w:tcPr>
          <w:p>
            <w:pPr/>
          </w:p>
        </w:tc>
        <w:tc>
          <w:tcPr>
            <w:tcW w:w="56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98" w:right="0"/>
              <w:jc w:val="left"/>
              <w:rPr>
                <w:rFonts w:ascii="宋体" w:hAnsi="宋体" w:cs="宋体" w:eastAsia="宋体" w:hint="default"/>
                <w:sz w:val="18"/>
                <w:szCs w:val="18"/>
              </w:rPr>
            </w:pPr>
            <w:r>
              <w:rPr>
                <w:rFonts w:ascii="宋体" w:hAnsi="宋体" w:cs="宋体" w:eastAsia="宋体" w:hint="default"/>
                <w:sz w:val="18"/>
                <w:szCs w:val="18"/>
              </w:rPr>
              <w:t>股份</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6" w:right="0"/>
              <w:jc w:val="left"/>
              <w:rPr>
                <w:rFonts w:ascii="宋体" w:hAnsi="宋体" w:cs="宋体" w:eastAsia="宋体" w:hint="default"/>
                <w:sz w:val="18"/>
                <w:szCs w:val="18"/>
              </w:rPr>
            </w:pPr>
            <w:r>
              <w:rPr>
                <w:rFonts w:ascii="宋体" w:hAnsi="宋体" w:cs="宋体" w:eastAsia="宋体" w:hint="default"/>
                <w:sz w:val="18"/>
                <w:szCs w:val="18"/>
              </w:rPr>
              <w:t>数量</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702"/>
        <w:gridCol w:w="1179"/>
        <w:gridCol w:w="665"/>
        <w:gridCol w:w="125"/>
        <w:gridCol w:w="1008"/>
        <w:gridCol w:w="1136"/>
        <w:gridCol w:w="425"/>
        <w:gridCol w:w="850"/>
        <w:gridCol w:w="852"/>
        <w:gridCol w:w="142"/>
        <w:gridCol w:w="566"/>
        <w:gridCol w:w="922"/>
      </w:tblGrid>
      <w:tr>
        <w:trPr>
          <w:trHeight w:val="36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0"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c>
          <w:tcPr>
            <w:tcW w:w="100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274" w:type="dxa"/>
            <w:gridSpan w:val="2"/>
            <w:tcBorders>
              <w:top w:val="single" w:sz="4" w:space="0" w:color="000000"/>
              <w:left w:val="single" w:sz="4" w:space="0" w:color="000000"/>
              <w:bottom w:val="single" w:sz="4" w:space="0" w:color="000000"/>
              <w:right w:val="single" w:sz="4" w:space="0" w:color="000000"/>
            </w:tcBorders>
            <w:shd w:val="clear" w:color="auto" w:fill="D2D2D2"/>
          </w:tcPr>
          <w:p>
            <w:pPr/>
          </w:p>
        </w:tc>
        <w:tc>
          <w:tcPr>
            <w:tcW w:w="9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311"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98" w:right="0"/>
              <w:jc w:val="left"/>
              <w:rPr>
                <w:rFonts w:ascii="宋体" w:hAnsi="宋体" w:cs="宋体" w:eastAsia="宋体" w:hint="default"/>
                <w:sz w:val="18"/>
                <w:szCs w:val="18"/>
              </w:rPr>
            </w:pPr>
            <w:r>
              <w:rPr>
                <w:rFonts w:ascii="宋体" w:hAnsi="宋体" w:cs="宋体" w:eastAsia="宋体" w:hint="default"/>
                <w:sz w:val="18"/>
                <w:szCs w:val="18"/>
              </w:rPr>
              <w:t>状态</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中国四维测绘技术有 限公司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3" w:right="0"/>
              <w:jc w:val="left"/>
              <w:rPr>
                <w:rFonts w:ascii="Times New Roman" w:hAnsi="Times New Roman" w:cs="Times New Roman" w:eastAsia="Times New Roman" w:hint="default"/>
                <w:sz w:val="18"/>
                <w:szCs w:val="18"/>
              </w:rPr>
            </w:pPr>
            <w:r>
              <w:rPr>
                <w:rFonts w:ascii="Times New Roman"/>
                <w:sz w:val="18"/>
              </w:rPr>
              <w:t>10.16%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130,252,434</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130,252,434</w:t>
            </w:r>
          </w:p>
        </w:tc>
        <w:tc>
          <w:tcPr>
            <w:tcW w:w="566"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深圳市腾讯产业投资 基金有限公司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3"/>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9.95%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5" w:right="0"/>
              <w:jc w:val="center"/>
              <w:rPr>
                <w:rFonts w:ascii="Times New Roman" w:hAnsi="Times New Roman" w:cs="Times New Roman" w:eastAsia="Times New Roman" w:hint="default"/>
                <w:sz w:val="18"/>
                <w:szCs w:val="18"/>
              </w:rPr>
            </w:pPr>
            <w:r>
              <w:rPr>
                <w:rFonts w:ascii="Times New Roman"/>
                <w:sz w:val="18"/>
              </w:rPr>
              <w:t>127,575,793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+10,575,793</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10,575,793</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117,000,000</w:t>
            </w:r>
          </w:p>
        </w:tc>
        <w:tc>
          <w:tcPr>
            <w:tcW w:w="566"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天安财产保险股份有 限公司－保赢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3.57%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sz w:val="18"/>
              </w:rPr>
              <w:t>45,828,437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+45,828,437</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45,828,437</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566"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中央汇金资产管理有 限责任公司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3.39%</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sz w:val="18"/>
              </w:rPr>
              <w:t>43,453,950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43,453,950</w:t>
            </w:r>
          </w:p>
        </w:tc>
        <w:tc>
          <w:tcPr>
            <w:tcW w:w="566"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徐琦</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2" w:right="0"/>
              <w:jc w:val="left"/>
              <w:rPr>
                <w:rFonts w:ascii="Times New Roman" w:hAnsi="Times New Roman" w:cs="Times New Roman" w:eastAsia="Times New Roman" w:hint="default"/>
                <w:sz w:val="18"/>
                <w:szCs w:val="18"/>
              </w:rPr>
            </w:pPr>
            <w:r>
              <w:rPr>
                <w:rFonts w:ascii="Times New Roman"/>
                <w:sz w:val="18"/>
              </w:rPr>
              <w:t>3.12%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center"/>
              <w:rPr>
                <w:rFonts w:ascii="Times New Roman" w:hAnsi="Times New Roman" w:cs="Times New Roman" w:eastAsia="Times New Roman" w:hint="default"/>
                <w:sz w:val="18"/>
                <w:szCs w:val="18"/>
              </w:rPr>
            </w:pPr>
            <w:r>
              <w:rPr>
                <w:rFonts w:ascii="Times New Roman"/>
                <w:sz w:val="18"/>
              </w:rPr>
              <w:t>39,988,009</w:t>
            </w: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39,988,009</w:t>
            </w:r>
          </w:p>
        </w:tc>
        <w:tc>
          <w:tcPr>
            <w:tcW w:w="566"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北京芯动能投资基金</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3"/>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1.83%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sz w:val="18"/>
              </w:rPr>
              <w:t>23,501,762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+23,501,762</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23,501,762</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566"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both"/>
              <w:rPr>
                <w:rFonts w:ascii="宋体" w:hAnsi="宋体" w:cs="宋体" w:eastAsia="宋体" w:hint="default"/>
                <w:sz w:val="18"/>
                <w:szCs w:val="18"/>
              </w:rPr>
            </w:pPr>
            <w:r>
              <w:rPr>
                <w:rFonts w:ascii="宋体" w:hAnsi="宋体" w:cs="宋体" w:eastAsia="宋体" w:hint="default"/>
                <w:sz w:val="18"/>
                <w:szCs w:val="18"/>
              </w:rPr>
              <w:t>北京四维图新科技股 份有限公司－第一期 员工持股计划</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1.64%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sz w:val="18"/>
              </w:rPr>
              <w:t>21,071,092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+21,071,092</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21,071,092</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566" w:type="dxa"/>
            <w:tcBorders>
              <w:top w:val="single" w:sz="4" w:space="0" w:color="000000"/>
              <w:left w:val="single" w:sz="4" w:space="0" w:color="000000"/>
              <w:bottom w:val="single" w:sz="4" w:space="0" w:color="000000"/>
              <w:right w:val="single" w:sz="4" w:space="0" w:color="000000"/>
            </w:tcBorders>
          </w:tcPr>
          <w:p>
            <w:pPr/>
          </w:p>
        </w:tc>
        <w:tc>
          <w:tcPr>
            <w:tcW w:w="922"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6"/>
              <w:jc w:val="left"/>
              <w:rPr>
                <w:rFonts w:ascii="宋体" w:hAnsi="宋体" w:cs="宋体" w:eastAsia="宋体" w:hint="default"/>
                <w:sz w:val="18"/>
                <w:szCs w:val="18"/>
              </w:rPr>
            </w:pPr>
            <w:r>
              <w:rPr>
                <w:rFonts w:ascii="宋体" w:hAnsi="宋体" w:cs="宋体" w:eastAsia="宋体" w:hint="default"/>
                <w:sz w:val="18"/>
                <w:szCs w:val="18"/>
              </w:rPr>
              <w:t>林芝锦华投资管理有 限公司</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63"/>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1.60%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4" w:right="0"/>
              <w:jc w:val="center"/>
              <w:rPr>
                <w:rFonts w:ascii="Times New Roman" w:hAnsi="Times New Roman" w:cs="Times New Roman" w:eastAsia="Times New Roman" w:hint="default"/>
                <w:sz w:val="18"/>
                <w:szCs w:val="18"/>
              </w:rPr>
            </w:pPr>
            <w:r>
              <w:rPr>
                <w:rFonts w:ascii="Times New Roman"/>
                <w:sz w:val="18"/>
              </w:rPr>
              <w:t>20,564,042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+20,564,042</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31" w:right="0"/>
              <w:jc w:val="left"/>
              <w:rPr>
                <w:rFonts w:ascii="Times New Roman" w:hAnsi="Times New Roman" w:cs="Times New Roman" w:eastAsia="Times New Roman" w:hint="default"/>
                <w:sz w:val="18"/>
                <w:szCs w:val="18"/>
              </w:rPr>
            </w:pPr>
            <w:r>
              <w:rPr>
                <w:rFonts w:ascii="Times New Roman"/>
                <w:sz w:val="18"/>
              </w:rPr>
              <w:t>20,564,042</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冻结</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20,564,000</w:t>
            </w:r>
          </w:p>
        </w:tc>
      </w:tr>
      <w:tr>
        <w:trPr>
          <w:trHeight w:val="401"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李龙萍</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2" w:right="0"/>
              <w:jc w:val="left"/>
              <w:rPr>
                <w:rFonts w:ascii="Times New Roman" w:hAnsi="Times New Roman" w:cs="Times New Roman" w:eastAsia="Times New Roman" w:hint="default"/>
                <w:sz w:val="18"/>
                <w:szCs w:val="18"/>
              </w:rPr>
            </w:pPr>
            <w:r>
              <w:rPr>
                <w:rFonts w:ascii="Times New Roman"/>
                <w:sz w:val="18"/>
              </w:rPr>
              <w:t>1.42%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center"/>
              <w:rPr>
                <w:rFonts w:ascii="Times New Roman" w:hAnsi="Times New Roman" w:cs="Times New Roman" w:eastAsia="Times New Roman" w:hint="default"/>
                <w:sz w:val="18"/>
                <w:szCs w:val="18"/>
              </w:rPr>
            </w:pPr>
            <w:r>
              <w:rPr>
                <w:rFonts w:ascii="Times New Roman"/>
                <w:sz w:val="18"/>
              </w:rPr>
              <w:t>18,213,866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+18,213,866</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1" w:right="0"/>
              <w:jc w:val="left"/>
              <w:rPr>
                <w:rFonts w:ascii="Times New Roman" w:hAnsi="Times New Roman" w:cs="Times New Roman" w:eastAsia="Times New Roman" w:hint="default"/>
                <w:sz w:val="18"/>
                <w:szCs w:val="18"/>
              </w:rPr>
            </w:pPr>
            <w:r>
              <w:rPr>
                <w:rFonts w:ascii="Times New Roman"/>
                <w:sz w:val="18"/>
              </w:rPr>
              <w:t>18,213,866</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冻结</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18,213,866</w:t>
            </w:r>
          </w:p>
        </w:tc>
      </w:tr>
      <w:tr>
        <w:trPr>
          <w:trHeight w:val="403"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孙玉国</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92" w:right="0"/>
              <w:jc w:val="left"/>
              <w:rPr>
                <w:rFonts w:ascii="Times New Roman" w:hAnsi="Times New Roman" w:cs="Times New Roman" w:eastAsia="Times New Roman" w:hint="default"/>
                <w:sz w:val="18"/>
                <w:szCs w:val="18"/>
              </w:rPr>
            </w:pPr>
            <w:r>
              <w:rPr>
                <w:rFonts w:ascii="Times New Roman"/>
                <w:sz w:val="18"/>
              </w:rPr>
              <w:t>1.38%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center"/>
              <w:rPr>
                <w:rFonts w:ascii="Times New Roman" w:hAnsi="Times New Roman" w:cs="Times New Roman" w:eastAsia="Times New Roman" w:hint="default"/>
                <w:sz w:val="18"/>
                <w:szCs w:val="18"/>
              </w:rPr>
            </w:pPr>
            <w:r>
              <w:rPr>
                <w:rFonts w:ascii="Times New Roman"/>
                <w:sz w:val="18"/>
              </w:rPr>
              <w:t>17,668,323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-1,799,915</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1" w:right="0"/>
              <w:jc w:val="left"/>
              <w:rPr>
                <w:rFonts w:ascii="Times New Roman" w:hAnsi="Times New Roman" w:cs="Times New Roman" w:eastAsia="Times New Roman" w:hint="default"/>
                <w:sz w:val="18"/>
                <w:szCs w:val="18"/>
              </w:rPr>
            </w:pPr>
            <w:r>
              <w:rPr>
                <w:rFonts w:ascii="Times New Roman"/>
                <w:sz w:val="18"/>
              </w:rPr>
              <w:t>14,601,178</w:t>
            </w:r>
          </w:p>
        </w:tc>
        <w:tc>
          <w:tcPr>
            <w:tcW w:w="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9" w:right="0"/>
              <w:jc w:val="left"/>
              <w:rPr>
                <w:rFonts w:ascii="Times New Roman" w:hAnsi="Times New Roman" w:cs="Times New Roman" w:eastAsia="Times New Roman" w:hint="default"/>
                <w:sz w:val="18"/>
                <w:szCs w:val="18"/>
              </w:rPr>
            </w:pPr>
            <w:r>
              <w:rPr>
                <w:rFonts w:ascii="Times New Roman"/>
                <w:sz w:val="18"/>
              </w:rPr>
              <w:t>3,067,145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冻结</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center"/>
              <w:rPr>
                <w:rFonts w:ascii="Times New Roman" w:hAnsi="Times New Roman" w:cs="Times New Roman" w:eastAsia="Times New Roman" w:hint="default"/>
                <w:sz w:val="18"/>
                <w:szCs w:val="18"/>
              </w:rPr>
            </w:pPr>
            <w:r>
              <w:rPr>
                <w:rFonts w:ascii="Times New Roman"/>
                <w:sz w:val="18"/>
              </w:rPr>
              <w:t>2,700,000</w:t>
            </w:r>
          </w:p>
        </w:tc>
      </w:tr>
      <w:tr>
        <w:trPr>
          <w:trHeight w:val="804" w:hRule="exact"/>
        </w:trPr>
        <w:tc>
          <w:tcPr>
            <w:tcW w:w="2881"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6690" w:type="dxa"/>
            <w:gridSpan w:val="10"/>
            <w:vMerge w:val="restart"/>
            <w:tcBorders>
              <w:top w:val="single" w:sz="4" w:space="0" w:color="000000"/>
              <w:left w:val="single" w:sz="4" w:space="0" w:color="000000"/>
              <w:right w:val="single" w:sz="4" w:space="0" w:color="000000"/>
            </w:tcBorders>
          </w:tcPr>
          <w:p>
            <w:pPr>
              <w:pStyle w:val="TableParagraph"/>
              <w:spacing w:line="312" w:lineRule="auto" w:before="49"/>
              <w:ind w:left="26" w:right="20"/>
              <w:jc w:val="both"/>
              <w:rPr>
                <w:rFonts w:ascii="宋体" w:hAnsi="宋体" w:cs="宋体" w:eastAsia="宋体" w:hint="default"/>
                <w:sz w:val="18"/>
                <w:szCs w:val="18"/>
              </w:rPr>
            </w:pPr>
            <w:r>
              <w:rPr>
                <w:rFonts w:ascii="宋体" w:hAnsi="宋体" w:cs="宋体" w:eastAsia="宋体" w:hint="default"/>
                <w:spacing w:val="-1"/>
                <w:sz w:val="18"/>
                <w:szCs w:val="18"/>
              </w:rPr>
              <w:t>报告期内，公司向高新创投、杰康投资、杰浩投资、杰朗投资和杰晟投资支付股份对</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价，合计发行 </w:t>
            </w:r>
            <w:r>
              <w:rPr>
                <w:rFonts w:ascii="Times New Roman" w:hAnsi="Times New Roman" w:cs="Times New Roman" w:eastAsia="Times New Roman" w:hint="default"/>
                <w:sz w:val="18"/>
                <w:szCs w:val="18"/>
              </w:rPr>
              <w:t>19,418,723 </w:t>
            </w:r>
            <w:r>
              <w:rPr>
                <w:rFonts w:ascii="宋体" w:hAnsi="宋体" w:cs="宋体" w:eastAsia="宋体" w:hint="default"/>
                <w:sz w:val="18"/>
                <w:szCs w:val="18"/>
              </w:rPr>
              <w:t>股，每股发行价格为 </w:t>
            </w:r>
            <w:r>
              <w:rPr>
                <w:rFonts w:ascii="Times New Roman" w:hAnsi="Times New Roman" w:cs="Times New Roman" w:eastAsia="Times New Roman" w:hint="default"/>
                <w:sz w:val="18"/>
                <w:szCs w:val="18"/>
              </w:rPr>
              <w:t>17.02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元；向腾讯产业基金、芯动能 </w:t>
            </w:r>
            <w:r>
              <w:rPr>
                <w:rFonts w:ascii="宋体" w:hAnsi="宋体" w:cs="宋体" w:eastAsia="宋体" w:hint="default"/>
                <w:spacing w:val="-1"/>
                <w:sz w:val="18"/>
                <w:szCs w:val="18"/>
              </w:rPr>
              <w:t>基金、天安财险、中信建投证券、华泰资产、林芝锦华、华泰瑞联、安鹏资本、龙华</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启富和员工持股计划发行股份募集配套资金，合计发行 </w:t>
            </w:r>
            <w:r>
              <w:rPr>
                <w:rFonts w:ascii="Times New Roman" w:hAnsi="Times New Roman" w:cs="Times New Roman" w:eastAsia="Times New Roman" w:hint="default"/>
                <w:sz w:val="18"/>
                <w:szCs w:val="18"/>
              </w:rPr>
              <w:t>196,923,025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股，每股发行价</w:t>
            </w:r>
          </w:p>
          <w:p>
            <w:pPr>
              <w:pStyle w:val="TableParagraph"/>
              <w:spacing w:line="240" w:lineRule="auto" w:before="3"/>
              <w:ind w:left="26"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格为 </w:t>
            </w:r>
            <w:r>
              <w:rPr>
                <w:rFonts w:ascii="Times New Roman" w:hAnsi="Times New Roman" w:cs="Times New Roman" w:eastAsia="Times New Roman" w:hint="default"/>
                <w:sz w:val="18"/>
                <w:szCs w:val="18"/>
              </w:rPr>
              <w:t>17.02  </w:t>
            </w:r>
            <w:r>
              <w:rPr>
                <w:rFonts w:ascii="宋体" w:hAnsi="宋体" w:cs="宋体" w:eastAsia="宋体" w:hint="default"/>
                <w:sz w:val="18"/>
                <w:szCs w:val="18"/>
              </w:rPr>
              <w:t>元。新增股份的上市日为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 </w:t>
            </w:r>
            <w:r>
              <w:rPr>
                <w:rFonts w:ascii="Times New Roman" w:hAnsi="Times New Roman" w:cs="Times New Roman" w:eastAsia="Times New Roman" w:hint="default"/>
                <w:sz w:val="18"/>
                <w:szCs w:val="18"/>
              </w:rPr>
              <w:t>23  </w:t>
            </w:r>
            <w:r>
              <w:rPr>
                <w:rFonts w:ascii="宋体" w:hAnsi="宋体" w:cs="宋体" w:eastAsia="宋体" w:hint="default"/>
                <w:sz w:val="18"/>
                <w:szCs w:val="18"/>
              </w:rPr>
              <w:t>日，该新增股份限售期为</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36</w:t>
            </w:r>
          </w:p>
          <w:p>
            <w:pPr>
              <w:pStyle w:val="TableParagraph"/>
              <w:spacing w:line="328" w:lineRule="auto" w:before="63"/>
              <w:ind w:left="26" w:right="18"/>
              <w:jc w:val="left"/>
              <w:rPr>
                <w:rFonts w:ascii="宋体" w:hAnsi="宋体" w:cs="宋体" w:eastAsia="宋体" w:hint="default"/>
                <w:sz w:val="18"/>
                <w:szCs w:val="18"/>
              </w:rPr>
            </w:pPr>
            <w:r>
              <w:rPr>
                <w:rFonts w:ascii="宋体" w:hAnsi="宋体" w:cs="宋体" w:eastAsia="宋体" w:hint="default"/>
                <w:sz w:val="18"/>
                <w:szCs w:val="18"/>
              </w:rPr>
              <w:t>个月，预计可上市流通日为 </w:t>
            </w:r>
            <w:r>
              <w:rPr>
                <w:rFonts w:ascii="Times New Roman" w:hAnsi="Times New Roman" w:cs="Times New Roman" w:eastAsia="Times New Roman" w:hint="default"/>
                <w:sz w:val="18"/>
                <w:szCs w:val="18"/>
              </w:rPr>
              <w:t>2020 </w:t>
            </w:r>
            <w:r>
              <w:rPr>
                <w:rFonts w:ascii="宋体" w:hAnsi="宋体" w:cs="宋体" w:eastAsia="宋体" w:hint="default"/>
                <w:sz w:val="18"/>
                <w:szCs w:val="18"/>
              </w:rPr>
              <w:t>年 </w:t>
            </w:r>
            <w:r>
              <w:rPr>
                <w:rFonts w:ascii="Times New Roman" w:hAnsi="Times New Roman" w:cs="Times New Roman" w:eastAsia="Times New Roman" w:hint="default"/>
                <w:sz w:val="18"/>
                <w:szCs w:val="18"/>
              </w:rPr>
              <w:t>3 </w:t>
            </w:r>
            <w:r>
              <w:rPr>
                <w:rFonts w:ascii="宋体" w:hAnsi="宋体" w:cs="宋体" w:eastAsia="宋体" w:hint="default"/>
                <w:sz w:val="18"/>
                <w:szCs w:val="18"/>
              </w:rPr>
              <w:t>月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 </w:t>
            </w:r>
            <w:r>
              <w:rPr>
                <w:rFonts w:ascii="宋体" w:hAnsi="宋体" w:cs="宋体" w:eastAsia="宋体" w:hint="default"/>
                <w:spacing w:val="-1"/>
                <w:sz w:val="18"/>
                <w:szCs w:val="18"/>
              </w:rPr>
              <w:t>上述公司前十名股东中，腾讯产业基金、天安财险、芯动能基金、员工持股计划，林</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芝锦华、李龙萍（中信建投证券委托人之一）为公司本次非公开发行对象。</w:t>
            </w:r>
          </w:p>
        </w:tc>
      </w:tr>
      <w:tr>
        <w:trPr>
          <w:trHeight w:val="1018" w:hRule="exact"/>
        </w:trPr>
        <w:tc>
          <w:tcPr>
            <w:tcW w:w="2881" w:type="dxa"/>
            <w:gridSpan w:val="2"/>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09" w:lineRule="auto" w:before="49"/>
              <w:ind w:left="24" w:right="21"/>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6690" w:type="dxa"/>
            <w:gridSpan w:val="10"/>
            <w:vMerge/>
            <w:tcBorders>
              <w:left w:val="single" w:sz="4" w:space="0" w:color="000000"/>
              <w:right w:val="single" w:sz="4" w:space="0" w:color="000000"/>
            </w:tcBorders>
          </w:tcPr>
          <w:p>
            <w:pPr/>
          </w:p>
        </w:tc>
      </w:tr>
      <w:tr>
        <w:trPr>
          <w:trHeight w:val="804" w:hRule="exact"/>
        </w:trPr>
        <w:tc>
          <w:tcPr>
            <w:tcW w:w="2881"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6690" w:type="dxa"/>
            <w:gridSpan w:val="10"/>
            <w:vMerge/>
            <w:tcBorders>
              <w:left w:val="single" w:sz="4" w:space="0" w:color="000000"/>
              <w:bottom w:val="single" w:sz="4" w:space="0" w:color="000000"/>
              <w:right w:val="single" w:sz="4" w:space="0" w:color="000000"/>
            </w:tcBorders>
          </w:tcPr>
          <w:p>
            <w:pPr/>
          </w:p>
        </w:tc>
      </w:tr>
      <w:tr>
        <w:trPr>
          <w:trHeight w:val="714" w:hRule="exact"/>
        </w:trPr>
        <w:tc>
          <w:tcPr>
            <w:tcW w:w="288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5"/>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90" w:type="dxa"/>
            <w:gridSpan w:val="10"/>
            <w:tcBorders>
              <w:top w:val="single" w:sz="4" w:space="0" w:color="000000"/>
              <w:left w:val="single" w:sz="10" w:space="0" w:color="D2D2D2"/>
              <w:bottom w:val="single" w:sz="4" w:space="0" w:color="000000"/>
              <w:right w:val="single" w:sz="4" w:space="0" w:color="000000"/>
            </w:tcBorders>
          </w:tcPr>
          <w:p>
            <w:pPr>
              <w:pStyle w:val="TableParagraph"/>
              <w:spacing w:line="316" w:lineRule="auto" w:before="49"/>
              <w:ind w:left="19" w:right="20"/>
              <w:jc w:val="left"/>
              <w:rPr>
                <w:rFonts w:ascii="宋体" w:hAnsi="宋体" w:cs="宋体" w:eastAsia="宋体" w:hint="default"/>
                <w:sz w:val="18"/>
                <w:szCs w:val="18"/>
              </w:rPr>
            </w:pPr>
            <w:r>
              <w:rPr>
                <w:rFonts w:ascii="宋体" w:hAnsi="宋体" w:cs="宋体" w:eastAsia="宋体" w:hint="default"/>
                <w:spacing w:val="-1"/>
                <w:sz w:val="18"/>
                <w:szCs w:val="18"/>
              </w:rPr>
              <w:t>上述股东中天安财险、李龙萍将其表决权授予程鹏先生。公司未知除天安财险、李龙</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萍外其他股东之间是否存在关联关系或一致行动。</w:t>
            </w:r>
          </w:p>
        </w:tc>
      </w:tr>
      <w:tr>
        <w:trPr>
          <w:trHeight w:val="397"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名无限售条件股东持股情况</w:t>
            </w:r>
          </w:p>
        </w:tc>
      </w:tr>
      <w:tr>
        <w:trPr>
          <w:trHeight w:val="212" w:hRule="exact"/>
        </w:trPr>
        <w:tc>
          <w:tcPr>
            <w:tcW w:w="3546"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2693" w:type="dxa"/>
            <w:gridSpan w:val="4"/>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0"/>
              <w:ind w:left="1252" w:right="81" w:hanging="1172"/>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 量</w:t>
            </w:r>
          </w:p>
        </w:tc>
        <w:tc>
          <w:tcPr>
            <w:tcW w:w="3332"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6" w:hRule="exact"/>
        </w:trPr>
        <w:tc>
          <w:tcPr>
            <w:tcW w:w="3546" w:type="dxa"/>
            <w:gridSpan w:val="3"/>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693" w:type="dxa"/>
            <w:gridSpan w:val="4"/>
            <w:vMerge/>
            <w:tcBorders>
              <w:left w:val="single" w:sz="4" w:space="0" w:color="000000"/>
              <w:right w:val="single" w:sz="4" w:space="0" w:color="000000"/>
            </w:tcBorders>
            <w:shd w:val="clear" w:color="auto" w:fill="D2D2D2"/>
          </w:tcPr>
          <w:p>
            <w:pPr/>
          </w:p>
        </w:tc>
        <w:tc>
          <w:tcPr>
            <w:tcW w:w="3332" w:type="dxa"/>
            <w:gridSpan w:val="5"/>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3546" w:type="dxa"/>
            <w:gridSpan w:val="3"/>
            <w:vMerge/>
            <w:tcBorders>
              <w:left w:val="single" w:sz="4" w:space="0" w:color="000000"/>
              <w:bottom w:val="nil" w:sz="6" w:space="0" w:color="auto"/>
              <w:right w:val="single" w:sz="4" w:space="0" w:color="000000"/>
            </w:tcBorders>
            <w:shd w:val="clear" w:color="auto" w:fill="D2D2D2"/>
          </w:tcPr>
          <w:p>
            <w:pPr/>
          </w:p>
        </w:tc>
        <w:tc>
          <w:tcPr>
            <w:tcW w:w="2693" w:type="dxa"/>
            <w:gridSpan w:val="4"/>
            <w:vMerge/>
            <w:tcBorders>
              <w:left w:val="single" w:sz="4" w:space="0" w:color="000000"/>
              <w:right w:val="single" w:sz="4" w:space="0" w:color="000000"/>
            </w:tcBorders>
            <w:shd w:val="clear" w:color="auto" w:fill="D2D2D2"/>
          </w:tcPr>
          <w:p>
            <w:pPr/>
          </w:p>
        </w:tc>
        <w:tc>
          <w:tcPr>
            <w:tcW w:w="170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484"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163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184" w:hRule="exact"/>
        </w:trPr>
        <w:tc>
          <w:tcPr>
            <w:tcW w:w="3546"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2693" w:type="dxa"/>
            <w:gridSpan w:val="4"/>
            <w:vMerge/>
            <w:tcBorders>
              <w:left w:val="single" w:sz="4" w:space="0" w:color="000000"/>
              <w:bottom w:val="single" w:sz="4" w:space="0" w:color="000000"/>
              <w:right w:val="single" w:sz="4" w:space="0" w:color="000000"/>
            </w:tcBorders>
            <w:shd w:val="clear" w:color="auto" w:fill="D2D2D2"/>
          </w:tcPr>
          <w:p>
            <w:pPr/>
          </w:p>
        </w:tc>
        <w:tc>
          <w:tcPr>
            <w:tcW w:w="1702" w:type="dxa"/>
            <w:gridSpan w:val="2"/>
            <w:vMerge/>
            <w:tcBorders>
              <w:left w:val="single" w:sz="4" w:space="0" w:color="000000"/>
              <w:bottom w:val="single" w:sz="4" w:space="0" w:color="000000"/>
              <w:right w:val="single" w:sz="4" w:space="0" w:color="000000"/>
            </w:tcBorders>
            <w:shd w:val="clear" w:color="auto" w:fill="D2D2D2"/>
          </w:tcPr>
          <w:p>
            <w:pPr/>
          </w:p>
        </w:tc>
        <w:tc>
          <w:tcPr>
            <w:tcW w:w="1630" w:type="dxa"/>
            <w:gridSpan w:val="3"/>
            <w:vMerge/>
            <w:tcBorders>
              <w:left w:val="single" w:sz="4" w:space="0" w:color="000000"/>
              <w:bottom w:val="single" w:sz="4" w:space="0" w:color="000000"/>
              <w:right w:val="single" w:sz="4" w:space="0" w:color="000000"/>
            </w:tcBorders>
            <w:shd w:val="clear" w:color="auto" w:fill="D2D2D2"/>
          </w:tcPr>
          <w:p>
            <w:pPr/>
          </w:p>
        </w:tc>
      </w:tr>
      <w:tr>
        <w:trPr>
          <w:trHeight w:val="424" w:hRule="exact"/>
        </w:trPr>
        <w:tc>
          <w:tcPr>
            <w:tcW w:w="354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2693" w:type="dxa"/>
            <w:gridSpan w:val="4"/>
            <w:tcBorders>
              <w:top w:val="single" w:sz="22" w:space="0" w:color="D2D2D2"/>
              <w:left w:val="single" w:sz="4" w:space="0" w:color="000000"/>
              <w:bottom w:val="single" w:sz="4" w:space="0" w:color="000000"/>
              <w:right w:val="single" w:sz="4" w:space="0" w:color="000000"/>
            </w:tcBorders>
          </w:tcPr>
          <w:p>
            <w:pPr>
              <w:pStyle w:val="TableParagraph"/>
              <w:spacing w:line="240" w:lineRule="auto" w:before="91"/>
              <w:ind w:left="1761" w:right="0"/>
              <w:jc w:val="left"/>
              <w:rPr>
                <w:rFonts w:ascii="Times New Roman" w:hAnsi="Times New Roman" w:cs="Times New Roman" w:eastAsia="Times New Roman" w:hint="default"/>
                <w:sz w:val="18"/>
                <w:szCs w:val="18"/>
              </w:rPr>
            </w:pPr>
            <w:r>
              <w:rPr>
                <w:rFonts w:ascii="Times New Roman"/>
                <w:sz w:val="18"/>
              </w:rPr>
              <w:t>130,252,434</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left="698" w:right="0"/>
              <w:jc w:val="left"/>
              <w:rPr>
                <w:rFonts w:ascii="Times New Roman" w:hAnsi="Times New Roman" w:cs="Times New Roman" w:eastAsia="Times New Roman" w:hint="default"/>
                <w:sz w:val="18"/>
                <w:szCs w:val="18"/>
              </w:rPr>
            </w:pPr>
            <w:r>
              <w:rPr>
                <w:rFonts w:ascii="Times New Roman"/>
                <w:sz w:val="18"/>
              </w:rPr>
              <w:t>130,252,434</w:t>
            </w:r>
          </w:p>
        </w:tc>
      </w:tr>
      <w:tr>
        <w:trPr>
          <w:trHeight w:val="403" w:hRule="exact"/>
        </w:trPr>
        <w:tc>
          <w:tcPr>
            <w:tcW w:w="354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深圳市腾讯产业投资基金有限公司</w:t>
            </w:r>
          </w:p>
        </w:tc>
        <w:tc>
          <w:tcPr>
            <w:tcW w:w="26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768" w:right="0"/>
              <w:jc w:val="left"/>
              <w:rPr>
                <w:rFonts w:ascii="Times New Roman" w:hAnsi="Times New Roman" w:cs="Times New Roman" w:eastAsia="Times New Roman" w:hint="default"/>
                <w:sz w:val="18"/>
                <w:szCs w:val="18"/>
              </w:rPr>
            </w:pPr>
            <w:r>
              <w:rPr>
                <w:rFonts w:ascii="Times New Roman"/>
                <w:sz w:val="18"/>
              </w:rPr>
              <w:t>117,000,000</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06" w:right="0"/>
              <w:jc w:val="left"/>
              <w:rPr>
                <w:rFonts w:ascii="Times New Roman" w:hAnsi="Times New Roman" w:cs="Times New Roman" w:eastAsia="Times New Roman" w:hint="default"/>
                <w:sz w:val="18"/>
                <w:szCs w:val="18"/>
              </w:rPr>
            </w:pPr>
            <w:r>
              <w:rPr>
                <w:rFonts w:ascii="Times New Roman"/>
                <w:sz w:val="18"/>
              </w:rPr>
              <w:t>117,000,000</w:t>
            </w:r>
          </w:p>
        </w:tc>
      </w:tr>
      <w:tr>
        <w:trPr>
          <w:trHeight w:val="401" w:hRule="exact"/>
        </w:trPr>
        <w:tc>
          <w:tcPr>
            <w:tcW w:w="354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中央汇金资产管理有限责任公司</w:t>
            </w:r>
          </w:p>
        </w:tc>
        <w:tc>
          <w:tcPr>
            <w:tcW w:w="26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43,453,950</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87" w:right="0"/>
              <w:jc w:val="left"/>
              <w:rPr>
                <w:rFonts w:ascii="Times New Roman" w:hAnsi="Times New Roman" w:cs="Times New Roman" w:eastAsia="Times New Roman" w:hint="default"/>
                <w:sz w:val="18"/>
                <w:szCs w:val="18"/>
              </w:rPr>
            </w:pPr>
            <w:r>
              <w:rPr>
                <w:rFonts w:ascii="Times New Roman"/>
                <w:sz w:val="18"/>
              </w:rPr>
              <w:t>43,453,950</w:t>
            </w:r>
          </w:p>
        </w:tc>
      </w:tr>
      <w:tr>
        <w:trPr>
          <w:trHeight w:val="403" w:hRule="exact"/>
        </w:trPr>
        <w:tc>
          <w:tcPr>
            <w:tcW w:w="354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徐琦</w:t>
            </w:r>
          </w:p>
        </w:tc>
        <w:tc>
          <w:tcPr>
            <w:tcW w:w="26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39,988,009</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87" w:right="0"/>
              <w:jc w:val="left"/>
              <w:rPr>
                <w:rFonts w:ascii="Times New Roman" w:hAnsi="Times New Roman" w:cs="Times New Roman" w:eastAsia="Times New Roman" w:hint="default"/>
                <w:sz w:val="18"/>
                <w:szCs w:val="18"/>
              </w:rPr>
            </w:pPr>
            <w:r>
              <w:rPr>
                <w:rFonts w:ascii="Times New Roman"/>
                <w:sz w:val="18"/>
              </w:rPr>
              <w:t>39,988,009</w:t>
            </w:r>
          </w:p>
        </w:tc>
      </w:tr>
      <w:tr>
        <w:trPr>
          <w:trHeight w:val="715" w:hRule="exact"/>
        </w:trPr>
        <w:tc>
          <w:tcPr>
            <w:tcW w:w="3546" w:type="dxa"/>
            <w:gridSpan w:val="3"/>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4" w:right="86"/>
              <w:jc w:val="left"/>
              <w:rPr>
                <w:rFonts w:ascii="宋体" w:hAnsi="宋体" w:cs="宋体" w:eastAsia="宋体" w:hint="default"/>
                <w:sz w:val="18"/>
                <w:szCs w:val="18"/>
              </w:rPr>
            </w:pPr>
            <w:r>
              <w:rPr>
                <w:rFonts w:ascii="宋体" w:hAnsi="宋体" w:cs="宋体" w:eastAsia="宋体" w:hint="default"/>
                <w:sz w:val="18"/>
                <w:szCs w:val="18"/>
              </w:rPr>
              <w:t>安邦资产－平安银行－安邦资产－共赢</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 集合资产管理产品（第六期）</w:t>
            </w:r>
          </w:p>
        </w:tc>
        <w:tc>
          <w:tcPr>
            <w:tcW w:w="26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11,781,588</w:t>
            </w:r>
          </w:p>
        </w:tc>
        <w:tc>
          <w:tcPr>
            <w:tcW w:w="170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4" w:right="0"/>
              <w:jc w:val="left"/>
              <w:rPr>
                <w:rFonts w:ascii="Times New Roman" w:hAnsi="Times New Roman" w:cs="Times New Roman" w:eastAsia="Times New Roman" w:hint="default"/>
                <w:sz w:val="18"/>
                <w:szCs w:val="18"/>
              </w:rPr>
            </w:pPr>
            <w:r>
              <w:rPr>
                <w:rFonts w:ascii="Times New Roman"/>
                <w:sz w:val="18"/>
              </w:rPr>
              <w:t>11,781,588</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545"/>
        <w:gridCol w:w="2693"/>
        <w:gridCol w:w="1702"/>
        <w:gridCol w:w="1630"/>
      </w:tblGrid>
      <w:tr>
        <w:trPr>
          <w:trHeight w:val="401" w:hRule="exact"/>
        </w:trPr>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徐立华</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11,280,000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11,280,000</w:t>
            </w:r>
          </w:p>
        </w:tc>
      </w:tr>
      <w:tr>
        <w:trPr>
          <w:trHeight w:val="403" w:hRule="exact"/>
        </w:trPr>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北京九源恒通科技有限公司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7,461,164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7,461,164</w:t>
            </w:r>
          </w:p>
        </w:tc>
      </w:tr>
      <w:tr>
        <w:trPr>
          <w:trHeight w:val="401" w:hRule="exact"/>
        </w:trPr>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6,834,380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6,834,380</w:t>
            </w:r>
          </w:p>
        </w:tc>
      </w:tr>
      <w:tr>
        <w:trPr>
          <w:trHeight w:val="403" w:hRule="exact"/>
        </w:trPr>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章洪根</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5,220,000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5,220,000</w:t>
            </w:r>
          </w:p>
        </w:tc>
      </w:tr>
      <w:tr>
        <w:trPr>
          <w:trHeight w:val="713" w:hRule="exact"/>
        </w:trPr>
        <w:tc>
          <w:tcPr>
            <w:tcW w:w="354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49"/>
              <w:ind w:left="22" w:right="86"/>
              <w:jc w:val="left"/>
              <w:rPr>
                <w:rFonts w:ascii="宋体" w:hAnsi="宋体" w:cs="宋体" w:eastAsia="宋体" w:hint="default"/>
                <w:sz w:val="18"/>
                <w:szCs w:val="18"/>
              </w:rPr>
            </w:pPr>
            <w:r>
              <w:rPr>
                <w:rFonts w:ascii="宋体" w:hAnsi="宋体" w:cs="宋体" w:eastAsia="宋体" w:hint="default"/>
                <w:sz w:val="18"/>
                <w:szCs w:val="18"/>
              </w:rPr>
              <w:t>中国农业银行股份有限公司－中证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交易 型开放式指数证券投资基金</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4,339,542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4,339,542</w:t>
            </w:r>
          </w:p>
        </w:tc>
      </w:tr>
      <w:tr>
        <w:trPr>
          <w:trHeight w:val="361" w:hRule="exact"/>
        </w:trPr>
        <w:tc>
          <w:tcPr>
            <w:tcW w:w="354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p>
        </w:tc>
        <w:tc>
          <w:tcPr>
            <w:tcW w:w="6025" w:type="dxa"/>
            <w:gridSpan w:val="3"/>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名无限售流通股股东和前</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名股东之间关联</w:t>
            </w: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公司未知上述股东之间是否存在关联关系或一致行动。</w:t>
            </w:r>
          </w:p>
        </w:tc>
      </w:tr>
      <w:tr>
        <w:trPr>
          <w:trHeight w:val="355" w:hRule="exact"/>
        </w:trPr>
        <w:tc>
          <w:tcPr>
            <w:tcW w:w="3545"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关系或一致行动的说明</w:t>
            </w:r>
          </w:p>
        </w:tc>
        <w:tc>
          <w:tcPr>
            <w:tcW w:w="6025" w:type="dxa"/>
            <w:gridSpan w:val="3"/>
            <w:tcBorders>
              <w:top w:val="nil" w:sz="6" w:space="0" w:color="auto"/>
              <w:left w:val="single" w:sz="4" w:space="0" w:color="000000"/>
              <w:bottom w:val="single" w:sz="4" w:space="0" w:color="000000"/>
              <w:right w:val="single" w:sz="4" w:space="0" w:color="000000"/>
            </w:tcBorders>
          </w:tcPr>
          <w:p>
            <w:pPr/>
          </w:p>
        </w:tc>
      </w:tr>
      <w:tr>
        <w:trPr>
          <w:trHeight w:val="380" w:hRule="exact"/>
        </w:trPr>
        <w:tc>
          <w:tcPr>
            <w:tcW w:w="3545" w:type="dxa"/>
            <w:tcBorders>
              <w:top w:val="single" w:sz="4" w:space="0" w:color="000000"/>
              <w:left w:val="single" w:sz="4" w:space="0" w:color="000000"/>
              <w:bottom w:val="nil" w:sz="6" w:space="0" w:color="auto"/>
              <w:right w:val="single" w:sz="4" w:space="0" w:color="000000"/>
            </w:tcBorders>
            <w:shd w:val="clear" w:color="auto" w:fill="D2D2D2"/>
          </w:tcPr>
          <w:p>
            <w:pPr/>
          </w:p>
        </w:tc>
        <w:tc>
          <w:tcPr>
            <w:tcW w:w="6025" w:type="dxa"/>
            <w:gridSpan w:val="3"/>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截至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名无限售条件普通股股东中：</w:t>
            </w:r>
          </w:p>
        </w:tc>
      </w:tr>
      <w:tr>
        <w:trPr>
          <w:trHeight w:val="331"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2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、股东徐琦，通过中信证券股份有限公司客户信用交易担保证券账户持有</w:t>
            </w:r>
          </w:p>
        </w:tc>
      </w:tr>
      <w:tr>
        <w:trPr>
          <w:trHeight w:val="33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39,988,009 </w:t>
            </w:r>
            <w:r>
              <w:rPr>
                <w:rFonts w:ascii="宋体" w:hAnsi="宋体" w:cs="宋体" w:eastAsia="宋体" w:hint="default"/>
                <w:sz w:val="18"/>
                <w:szCs w:val="18"/>
              </w:rPr>
              <w:t>股，通过普通证券账户持有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股，合计持有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39,988,009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r>
        <w:trPr>
          <w:trHeight w:val="33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、股东徐立华，通过长江证券股份有限公司客户信用交易担保证券账户持有</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名普通股股东参与融资融券业务情况说</w:t>
            </w: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11,280,000</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股，通过普通证券账户持有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股，合计持有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11,280,000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r>
        <w:trPr>
          <w:trHeight w:val="353"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明（如有</w:t>
            </w:r>
            <w:r>
              <w:rPr>
                <w:rFonts w:ascii="宋体" w:hAnsi="宋体" w:cs="宋体" w:eastAsia="宋体" w:hint="default"/>
                <w:spacing w:val="-92"/>
                <w:sz w:val="18"/>
                <w:szCs w:val="18"/>
              </w:rPr>
              <w:t>）</w:t>
            </w:r>
            <w:r>
              <w:rPr>
                <w:rFonts w:ascii="宋体" w:hAnsi="宋体" w:cs="宋体" w:eastAsia="宋体" w:hint="default"/>
                <w:sz w:val="18"/>
                <w:szCs w:val="18"/>
              </w:rPr>
              <w:t>（参见注</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4</w:t>
            </w:r>
            <w:r>
              <w:rPr>
                <w:rFonts w:ascii="宋体" w:hAnsi="宋体" w:cs="宋体" w:eastAsia="宋体" w:hint="default"/>
                <w:sz w:val="18"/>
                <w:szCs w:val="18"/>
              </w:rPr>
              <w:t>）</w:t>
            </w: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23"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、股东北京九源恒通科技有限公司，通过中信建投证券股份有限公司客户信</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用交易担保证券账户持有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7,461,164  </w:t>
            </w:r>
            <w:r>
              <w:rPr>
                <w:rFonts w:ascii="宋体" w:hAnsi="宋体" w:cs="宋体" w:eastAsia="宋体" w:hint="default"/>
                <w:sz w:val="18"/>
                <w:szCs w:val="18"/>
              </w:rPr>
              <w:t>股，通过普通证券账户持有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股，合计</w:t>
            </w:r>
          </w:p>
        </w:tc>
      </w:tr>
      <w:tr>
        <w:trPr>
          <w:trHeight w:val="331"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7,461,164 </w:t>
            </w:r>
            <w:r>
              <w:rPr>
                <w:rFonts w:ascii="宋体" w:hAnsi="宋体" w:cs="宋体" w:eastAsia="宋体" w:hint="default"/>
                <w:sz w:val="18"/>
                <w:szCs w:val="18"/>
              </w:rPr>
              <w:t>股。</w:t>
            </w:r>
          </w:p>
        </w:tc>
      </w:tr>
      <w:tr>
        <w:trPr>
          <w:trHeight w:val="331"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gridSpan w:val="3"/>
            <w:tcBorders>
              <w:top w:val="nil" w:sz="6" w:space="0" w:color="auto"/>
              <w:left w:val="single" w:sz="4" w:space="0" w:color="000000"/>
              <w:bottom w:val="nil" w:sz="6" w:space="0" w:color="auto"/>
              <w:right w:val="single" w:sz="4" w:space="0" w:color="000000"/>
            </w:tcBorders>
          </w:tcPr>
          <w:p>
            <w:pPr>
              <w:pStyle w:val="TableParagraph"/>
              <w:spacing w:line="240" w:lineRule="auto" w:before="24"/>
              <w:ind w:left="23"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、股东章洪根，通过中泰证券股份有限公司客户信用交易担保证券账户持有</w:t>
            </w:r>
          </w:p>
        </w:tc>
      </w:tr>
      <w:tr>
        <w:trPr>
          <w:trHeight w:val="355" w:hRule="exact"/>
        </w:trPr>
        <w:tc>
          <w:tcPr>
            <w:tcW w:w="3545" w:type="dxa"/>
            <w:tcBorders>
              <w:top w:val="nil" w:sz="6" w:space="0" w:color="auto"/>
              <w:left w:val="single" w:sz="4" w:space="0" w:color="000000"/>
              <w:bottom w:val="single" w:sz="4" w:space="0" w:color="000000"/>
              <w:right w:val="single" w:sz="4" w:space="0" w:color="000000"/>
            </w:tcBorders>
            <w:shd w:val="clear" w:color="auto" w:fill="D2D2D2"/>
          </w:tcPr>
          <w:p>
            <w:pPr/>
          </w:p>
        </w:tc>
        <w:tc>
          <w:tcPr>
            <w:tcW w:w="6025" w:type="dxa"/>
            <w:gridSpan w:val="3"/>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4,920,000  </w:t>
            </w:r>
            <w:r>
              <w:rPr>
                <w:rFonts w:ascii="宋体" w:hAnsi="宋体" w:cs="宋体" w:eastAsia="宋体" w:hint="default"/>
                <w:sz w:val="18"/>
                <w:szCs w:val="18"/>
              </w:rPr>
              <w:t>股，通过普通证券账户持有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300,000</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股，合计持有</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5,220,000 </w:t>
            </w:r>
            <w:r>
              <w:rPr>
                <w:rFonts w:ascii="宋体" w:hAnsi="宋体" w:cs="宋体" w:eastAsia="宋体" w:hint="default"/>
                <w:sz w:val="18"/>
                <w:szCs w:val="18"/>
              </w:rPr>
              <w:t>股。</w:t>
            </w:r>
          </w:p>
        </w:tc>
      </w:tr>
    </w:tbl>
    <w:p>
      <w:pPr>
        <w:pStyle w:val="BodyText"/>
        <w:spacing w:line="240" w:lineRule="auto" w:before="49"/>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pStyle w:val="BodyText"/>
        <w:spacing w:line="240" w:lineRule="auto" w:before="104"/>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pStyle w:val="BodyText"/>
        <w:spacing w:line="240" w:lineRule="auto" w:before="101"/>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2</w:t>
      </w:r>
      <w:r>
        <w:rPr/>
        <w:t>、公司控股股东情况</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7254"/>
        <w:jc w:val="left"/>
      </w:pPr>
      <w:r>
        <w:rPr/>
        <w:t>控股股东性质：无控股主体 控股股东类型：不存在 公司不存在控股股东情况的说明</w:t>
      </w:r>
    </w:p>
    <w:p>
      <w:pPr>
        <w:pStyle w:val="BodyText"/>
        <w:spacing w:line="240" w:lineRule="auto" w:before="29"/>
        <w:ind w:left="573" w:right="0"/>
        <w:jc w:val="left"/>
      </w:pP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13</w:t>
      </w:r>
      <w:r>
        <w:rPr>
          <w:spacing w:val="3"/>
        </w:rPr>
        <w:t>日，公司原控股股东中国四维测绘技术有限公司将持有的公司部分股份</w:t>
      </w:r>
      <w:r>
        <w:rPr>
          <w:rFonts w:ascii="Times New Roman" w:hAnsi="Times New Roman" w:cs="Times New Roman" w:eastAsia="Times New Roman" w:hint="default"/>
          <w:spacing w:val="3"/>
        </w:rPr>
        <w:t>78,000,000</w:t>
      </w:r>
      <w:r>
        <w:rPr>
          <w:spacing w:val="3"/>
        </w:rPr>
        <w:t>股（占公司总股本的</w:t>
      </w:r>
      <w:r>
        <w:rPr/>
      </w:r>
    </w:p>
    <w:p>
      <w:pPr>
        <w:pStyle w:val="BodyText"/>
        <w:spacing w:line="307" w:lineRule="auto" w:before="63"/>
        <w:ind w:right="146"/>
        <w:jc w:val="both"/>
      </w:pPr>
      <w:r>
        <w:rPr>
          <w:rFonts w:ascii="Times New Roman" w:hAnsi="Times New Roman" w:cs="Times New Roman" w:eastAsia="Times New Roman" w:hint="default"/>
        </w:rPr>
        <w:t>11.28%</w:t>
      </w:r>
      <w:r>
        <w:rPr/>
        <w:t>）转让给深圳市腾讯产业投资基金有限公司受让方的过户登记手续办理完毕。协议转让股份过户登记完成后，中国</w:t>
      </w:r>
      <w:r>
        <w:rPr>
          <w:spacing w:val="-21"/>
        </w:rPr>
        <w:t> </w:t>
      </w:r>
      <w:r>
        <w:rPr>
          <w:spacing w:val="-21"/>
        </w:rPr>
      </w:r>
      <w:r>
        <w:rPr>
          <w:spacing w:val="3"/>
        </w:rPr>
        <w:t>四维持有公司股份</w:t>
      </w:r>
      <w:r>
        <w:rPr>
          <w:rFonts w:ascii="Times New Roman" w:hAnsi="Times New Roman" w:cs="Times New Roman" w:eastAsia="Times New Roman" w:hint="default"/>
          <w:spacing w:val="3"/>
        </w:rPr>
        <w:t>86,994,019</w:t>
      </w:r>
      <w:r>
        <w:rPr>
          <w:spacing w:val="3"/>
        </w:rPr>
        <w:t>股（占公司总股本的</w:t>
      </w:r>
      <w:r>
        <w:rPr>
          <w:rFonts w:ascii="Times New Roman" w:hAnsi="Times New Roman" w:cs="Times New Roman" w:eastAsia="Times New Roman" w:hint="default"/>
          <w:spacing w:val="3"/>
        </w:rPr>
        <w:t>12.58%</w:t>
      </w:r>
      <w:r>
        <w:rPr>
          <w:spacing w:val="3"/>
        </w:rPr>
        <w:t>），腾讯产业基金持有公司股份</w:t>
      </w:r>
      <w:r>
        <w:rPr>
          <w:rFonts w:ascii="Times New Roman" w:hAnsi="Times New Roman" w:cs="Times New Roman" w:eastAsia="Times New Roman" w:hint="default"/>
          <w:spacing w:val="3"/>
        </w:rPr>
        <w:t>78,000,000</w:t>
      </w:r>
      <w:r>
        <w:rPr>
          <w:spacing w:val="3"/>
        </w:rPr>
        <w:t>股（占公司总股本的</w:t>
      </w:r>
      <w:r>
        <w:rPr>
          <w:spacing w:val="-40"/>
        </w:rPr>
        <w:t> </w:t>
      </w:r>
      <w:r>
        <w:rPr>
          <w:spacing w:val="-40"/>
        </w:rPr>
      </w:r>
      <w:r>
        <w:rPr>
          <w:rFonts w:ascii="Times New Roman" w:hAnsi="Times New Roman" w:cs="Times New Roman" w:eastAsia="Times New Roman" w:hint="default"/>
        </w:rPr>
        <w:t>11.28%</w:t>
      </w:r>
      <w:r>
        <w:rPr/>
        <w:t>）</w:t>
      </w:r>
      <w:r>
        <w:rPr>
          <w:rFonts w:ascii="Times New Roman" w:hAnsi="Times New Roman" w:cs="Times New Roman" w:eastAsia="Times New Roman" w:hint="default"/>
        </w:rPr>
        <w:t>.</w:t>
      </w:r>
      <w:r>
        <w:rPr/>
        <w:t>中国四维通过协议方式将其持有的公司部分转让给深圳腾讯后，依其持有的股份所享有的表决权已不能对公司董</w:t>
      </w:r>
      <w:r>
        <w:rPr>
          <w:spacing w:val="-60"/>
        </w:rPr>
        <w:t> </w:t>
      </w:r>
      <w:r>
        <w:rPr>
          <w:spacing w:val="-60"/>
        </w:rPr>
      </w:r>
      <w:r>
        <w:rPr/>
        <w:t>事会、股东大会的决议产生重大影响，同时，公司董事会由</w:t>
      </w:r>
      <w:r>
        <w:rPr>
          <w:rFonts w:ascii="Times New Roman" w:hAnsi="Times New Roman" w:cs="Times New Roman" w:eastAsia="Times New Roman" w:hint="default"/>
        </w:rPr>
        <w:t>9</w:t>
      </w:r>
      <w:r>
        <w:rPr/>
        <w:t>名董事组成，除去独立董事</w:t>
      </w:r>
      <w:r>
        <w:rPr>
          <w:rFonts w:ascii="Times New Roman" w:hAnsi="Times New Roman" w:cs="Times New Roman" w:eastAsia="Times New Roman" w:hint="default"/>
        </w:rPr>
        <w:t>3</w:t>
      </w:r>
      <w:r>
        <w:rPr/>
        <w:t>名，其余</w:t>
      </w:r>
      <w:r>
        <w:rPr>
          <w:rFonts w:ascii="Times New Roman" w:hAnsi="Times New Roman" w:cs="Times New Roman" w:eastAsia="Times New Roman" w:hint="default"/>
        </w:rPr>
        <w:t>6</w:t>
      </w:r>
      <w:r>
        <w:rPr/>
        <w:t>个非独立董事席位由中</w:t>
      </w:r>
      <w:r>
        <w:rPr>
          <w:spacing w:val="-85"/>
        </w:rPr>
        <w:t> </w:t>
      </w:r>
      <w:r>
        <w:rPr>
          <w:spacing w:val="-2"/>
        </w:rPr>
        <w:t>国四维、深圳腾讯投资、公司经营管理层三方平均分配。因此，在中国四维与深圳腾讯投资协议转让完成后，中国四维是公</w:t>
      </w:r>
      <w:r>
        <w:rPr>
          <w:spacing w:val="-67"/>
        </w:rPr>
        <w:t> </w:t>
      </w:r>
      <w:r>
        <w:rPr>
          <w:spacing w:val="-67"/>
        </w:rPr>
      </w:r>
      <w:r>
        <w:rPr>
          <w:spacing w:val="-2"/>
        </w:rPr>
        <w:t>司第一大股东，但不再是公司控股股东，中国航天科技集团公司也不再是公司的实际控制人。公司成为无实际控制人、无控</w:t>
      </w:r>
      <w:r>
        <w:rPr>
          <w:spacing w:val="-64"/>
        </w:rPr>
        <w:t> </w:t>
      </w:r>
      <w:r>
        <w:rPr>
          <w:spacing w:val="-64"/>
        </w:rPr>
      </w:r>
      <w:r>
        <w:rPr/>
        <w:t>股股东的上市公司。</w:t>
      </w:r>
    </w:p>
    <w:p>
      <w:pPr>
        <w:spacing w:line="240" w:lineRule="auto" w:before="0"/>
        <w:rPr>
          <w:rFonts w:ascii="宋体" w:hAnsi="宋体" w:cs="宋体" w:eastAsia="宋体" w:hint="default"/>
          <w:sz w:val="18"/>
          <w:szCs w:val="18"/>
        </w:rPr>
      </w:pPr>
    </w:p>
    <w:p>
      <w:pPr>
        <w:pStyle w:val="BodyText"/>
        <w:spacing w:line="240" w:lineRule="auto" w:before="143"/>
        <w:ind w:right="0"/>
        <w:jc w:val="left"/>
      </w:pPr>
      <w:r>
        <w:rPr/>
        <w:t>控股股东报告期内变更</w:t>
      </w:r>
    </w:p>
    <w:p>
      <w:pPr>
        <w:pStyle w:val="BodyText"/>
        <w:spacing w:line="340" w:lineRule="auto" w:before="115"/>
        <w:ind w:right="70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公司报告期控股股东未发生变更。</w:t>
      </w:r>
    </w:p>
    <w:p>
      <w:pPr>
        <w:spacing w:after="0" w:line="3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3</w:t>
      </w:r>
      <w:r>
        <w:rPr/>
        <w:t>、公司实际控制人情况</w:t>
      </w:r>
      <w:r>
        <w:rPr>
          <w:b w:val="0"/>
          <w:bCs w:val="0"/>
        </w:rPr>
      </w:r>
    </w:p>
    <w:p>
      <w:pPr>
        <w:spacing w:line="240" w:lineRule="auto" w:before="5"/>
        <w:rPr>
          <w:rFonts w:ascii="宋体" w:hAnsi="宋体" w:cs="宋体" w:eastAsia="宋体" w:hint="default"/>
          <w:b/>
          <w:bCs/>
          <w:sz w:val="26"/>
          <w:szCs w:val="26"/>
        </w:rPr>
      </w:pPr>
    </w:p>
    <w:p>
      <w:pPr>
        <w:pStyle w:val="BodyText"/>
        <w:spacing w:line="357" w:lineRule="auto"/>
        <w:ind w:right="7074"/>
        <w:jc w:val="left"/>
      </w:pPr>
      <w:r>
        <w:rPr/>
        <w:t>实际控制人性质：无实际控制人 实际控制人类型：不存在 公司不存在实际控制人情况的说明</w:t>
      </w:r>
    </w:p>
    <w:p>
      <w:pPr>
        <w:pStyle w:val="BodyText"/>
        <w:spacing w:line="240" w:lineRule="auto" w:before="29"/>
        <w:ind w:left="573" w:right="0"/>
        <w:jc w:val="left"/>
      </w:pP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13</w:t>
      </w:r>
      <w:r>
        <w:rPr>
          <w:spacing w:val="3"/>
        </w:rPr>
        <w:t>日，公司原控股股东中国四维测绘技术有限公司将持有的公司部分股份</w:t>
      </w:r>
      <w:r>
        <w:rPr>
          <w:rFonts w:ascii="Times New Roman" w:hAnsi="Times New Roman" w:cs="Times New Roman" w:eastAsia="Times New Roman" w:hint="default"/>
          <w:spacing w:val="3"/>
        </w:rPr>
        <w:t>78,000,000</w:t>
      </w:r>
      <w:r>
        <w:rPr>
          <w:spacing w:val="3"/>
        </w:rPr>
        <w:t>股（占公司总股本的</w:t>
      </w:r>
      <w:r>
        <w:rPr/>
      </w:r>
    </w:p>
    <w:p>
      <w:pPr>
        <w:pStyle w:val="BodyText"/>
        <w:spacing w:line="300" w:lineRule="auto" w:before="63"/>
        <w:ind w:right="153"/>
        <w:jc w:val="both"/>
      </w:pPr>
      <w:r>
        <w:rPr>
          <w:rFonts w:ascii="Times New Roman" w:hAnsi="Times New Roman" w:cs="Times New Roman" w:eastAsia="Times New Roman" w:hint="default"/>
        </w:rPr>
        <w:t>11.28%</w:t>
      </w:r>
      <w:r>
        <w:rPr/>
        <w:t>）转让给深圳市腾讯产业投资基金有限公司受让方的过户登记手续办理完毕。协议转让股份过户登记完成后，中国</w:t>
      </w:r>
      <w:r>
        <w:rPr>
          <w:spacing w:val="-21"/>
        </w:rPr>
        <w:t> </w:t>
      </w:r>
      <w:r>
        <w:rPr>
          <w:spacing w:val="-21"/>
        </w:rPr>
      </w:r>
      <w:r>
        <w:rPr>
          <w:spacing w:val="3"/>
        </w:rPr>
        <w:t>四维持有公司股份</w:t>
      </w:r>
      <w:r>
        <w:rPr>
          <w:rFonts w:ascii="Times New Roman" w:hAnsi="Times New Roman" w:cs="Times New Roman" w:eastAsia="Times New Roman" w:hint="default"/>
          <w:spacing w:val="3"/>
        </w:rPr>
        <w:t>86,994,019</w:t>
      </w:r>
      <w:r>
        <w:rPr>
          <w:spacing w:val="3"/>
        </w:rPr>
        <w:t>股（占公司总股本的</w:t>
      </w:r>
      <w:r>
        <w:rPr>
          <w:rFonts w:ascii="Times New Roman" w:hAnsi="Times New Roman" w:cs="Times New Roman" w:eastAsia="Times New Roman" w:hint="default"/>
          <w:spacing w:val="3"/>
        </w:rPr>
        <w:t>12.58%</w:t>
      </w:r>
      <w:r>
        <w:rPr>
          <w:spacing w:val="3"/>
        </w:rPr>
        <w:t>），腾讯产业基金持有公司股份</w:t>
      </w:r>
      <w:r>
        <w:rPr>
          <w:rFonts w:ascii="Times New Roman" w:hAnsi="Times New Roman" w:cs="Times New Roman" w:eastAsia="Times New Roman" w:hint="default"/>
          <w:spacing w:val="3"/>
        </w:rPr>
        <w:t>78,000,000</w:t>
      </w:r>
      <w:r>
        <w:rPr>
          <w:spacing w:val="3"/>
        </w:rPr>
        <w:t>股（占公司总股本的</w:t>
      </w:r>
      <w:r>
        <w:rPr>
          <w:spacing w:val="-45"/>
        </w:rPr>
        <w:t> </w:t>
      </w:r>
      <w:r>
        <w:rPr>
          <w:spacing w:val="-45"/>
        </w:rPr>
      </w:r>
      <w:r>
        <w:rPr>
          <w:rFonts w:ascii="Times New Roman" w:hAnsi="Times New Roman" w:cs="Times New Roman" w:eastAsia="Times New Roman" w:hint="default"/>
        </w:rPr>
        <w:t>11.28%</w:t>
      </w:r>
      <w:r>
        <w:rPr/>
        <w:t>），中国四维是公司第一大股东，但不再是公司控股股东，中国航天科技集团公司也不再是公司的实际控制人。公</w:t>
      </w:r>
      <w:r>
        <w:rPr>
          <w:spacing w:val="-21"/>
        </w:rPr>
        <w:t> </w:t>
      </w:r>
      <w:r>
        <w:rPr>
          <w:spacing w:val="-21"/>
        </w:rPr>
      </w:r>
      <w:r>
        <w:rPr/>
        <w:t>司成为无实际控制人、无控股股东的上市公司。</w:t>
      </w:r>
    </w:p>
    <w:p>
      <w:pPr>
        <w:spacing w:line="240" w:lineRule="auto" w:before="0"/>
        <w:rPr>
          <w:rFonts w:ascii="宋体" w:hAnsi="宋体" w:cs="宋体" w:eastAsia="宋体" w:hint="default"/>
          <w:sz w:val="18"/>
          <w:szCs w:val="18"/>
        </w:rPr>
      </w:pPr>
    </w:p>
    <w:p>
      <w:pPr>
        <w:pStyle w:val="BodyText"/>
        <w:spacing w:line="240" w:lineRule="auto" w:before="149"/>
        <w:ind w:right="0"/>
        <w:jc w:val="left"/>
      </w:pPr>
      <w:r>
        <w:rPr/>
        <w:t>公司最终控制层面是否存在持股比例在</w:t>
      </w:r>
      <w:r>
        <w:rPr>
          <w:spacing w:val="-44"/>
        </w:rPr>
        <w:t> </w:t>
      </w:r>
      <w:r>
        <w:rPr>
          <w:rFonts w:ascii="Times New Roman" w:hAnsi="Times New Roman" w:cs="Times New Roman" w:eastAsia="Times New Roman" w:hint="default"/>
        </w:rPr>
        <w:t>10%</w:t>
      </w:r>
      <w:r>
        <w:rPr/>
        <w:t>以上的股东情况</w:t>
      </w:r>
    </w:p>
    <w:p>
      <w:pPr>
        <w:pStyle w:val="BodyText"/>
        <w:spacing w:line="340" w:lineRule="auto" w:before="101"/>
        <w:ind w:right="88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法人</w:t>
      </w:r>
    </w:p>
    <w:p>
      <w:pPr>
        <w:pStyle w:val="BodyText"/>
        <w:spacing w:line="240" w:lineRule="auto" w:before="39"/>
        <w:ind w:right="0"/>
        <w:jc w:val="left"/>
      </w:pPr>
      <w:r>
        <w:rPr/>
        <w:t>最终控制层面持股情况</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696"/>
        <w:gridCol w:w="1983"/>
        <w:gridCol w:w="1419"/>
        <w:gridCol w:w="1558"/>
        <w:gridCol w:w="1916"/>
      </w:tblGrid>
      <w:tr>
        <w:trPr>
          <w:trHeight w:val="401" w:hRule="exact"/>
        </w:trPr>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最终控制层面股东名称</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 w:right="0"/>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单位负责人</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5"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5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5"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13" w:right="0"/>
              <w:jc w:val="left"/>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7"/>
              <w:jc w:val="center"/>
              <w:rPr>
                <w:rFonts w:ascii="宋体" w:hAnsi="宋体" w:cs="宋体" w:eastAsia="宋体" w:hint="default"/>
                <w:sz w:val="18"/>
                <w:szCs w:val="18"/>
              </w:rPr>
            </w:pPr>
            <w:r>
              <w:rPr>
                <w:rFonts w:ascii="宋体" w:hAnsi="宋体" w:cs="宋体" w:eastAsia="宋体" w:hint="default"/>
                <w:sz w:val="18"/>
                <w:szCs w:val="18"/>
              </w:rPr>
              <w:t>国务院国有资产监督管理委员会</w:t>
            </w:r>
          </w:p>
        </w:tc>
        <w:tc>
          <w:tcPr>
            <w:tcW w:w="1983"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
        </w:tc>
        <w:tc>
          <w:tcPr>
            <w:tcW w:w="191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right="0"/>
        <w:jc w:val="left"/>
      </w:pPr>
      <w:r>
        <w:rPr/>
        <w:t>实际控制人报告期内变更</w:t>
      </w:r>
    </w:p>
    <w:p>
      <w:pPr>
        <w:pStyle w:val="BodyText"/>
        <w:spacing w:line="350" w:lineRule="auto" w:before="115"/>
        <w:ind w:right="58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公司报告期实际控制人未发生变更。 实际控制人通过信托或其他资产管理方式控制公司</w:t>
      </w:r>
    </w:p>
    <w:p>
      <w:pPr>
        <w:pStyle w:val="BodyText"/>
        <w:spacing w:line="240" w:lineRule="auto" w:before="32"/>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4</w:t>
      </w:r>
      <w:r>
        <w:rPr/>
        <w:t>、其他持股在</w:t>
      </w:r>
      <w:r>
        <w:rPr>
          <w:spacing w:val="-52"/>
        </w:rPr>
        <w:t> </w:t>
      </w:r>
      <w:r>
        <w:rPr>
          <w:rFonts w:ascii="Times New Roman" w:hAnsi="Times New Roman" w:cs="Times New Roman" w:eastAsia="Times New Roman" w:hint="default"/>
        </w:rPr>
        <w:t>10%</w:t>
      </w:r>
      <w:r>
        <w:rPr/>
        <w:t>以上的法人股东</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pStyle w:val="BodyText"/>
        <w:spacing w:line="240" w:lineRule="auto" w:before="44"/>
        <w:ind w:left="0" w:right="160"/>
        <w:jc w:val="right"/>
      </w:pPr>
      <w:r>
        <w:rPr/>
        <w:pict>
          <v:shape style="position:absolute;margin-left:56.400002pt;margin-top:-36.368252pt;width:479.3pt;height:181.15pt;mso-position-horizontal-relative:page;mso-position-vertical-relative:paragraph;z-index:1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844"/>
                    <w:gridCol w:w="1561"/>
                    <w:gridCol w:w="1416"/>
                    <w:gridCol w:w="1702"/>
                    <w:gridCol w:w="3049"/>
                  </w:tblGrid>
                  <w:tr>
                    <w:trPr>
                      <w:trHeight w:val="713"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77" w:right="0"/>
                          <w:jc w:val="left"/>
                          <w:rPr>
                            <w:rFonts w:ascii="宋体" w:hAnsi="宋体" w:cs="宋体" w:eastAsia="宋体" w:hint="default"/>
                            <w:sz w:val="18"/>
                            <w:szCs w:val="18"/>
                          </w:rPr>
                        </w:pPr>
                        <w:r>
                          <w:rPr>
                            <w:rFonts w:ascii="宋体" w:hAnsi="宋体" w:cs="宋体" w:eastAsia="宋体" w:hint="default"/>
                            <w:sz w:val="18"/>
                            <w:szCs w:val="18"/>
                          </w:rPr>
                          <w:t>法人股东名称</w:t>
                        </w:r>
                      </w:p>
                    </w:tc>
                    <w:tc>
                      <w:tcPr>
                        <w:tcW w:w="15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49"/>
                          <w:ind w:left="595" w:right="29" w:hanging="56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 责人</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27" w:right="0"/>
                          <w:jc w:val="left"/>
                          <w:rPr>
                            <w:rFonts w:ascii="宋体" w:hAnsi="宋体" w:cs="宋体" w:eastAsia="宋体" w:hint="default"/>
                            <w:sz w:val="18"/>
                            <w:szCs w:val="18"/>
                          </w:rPr>
                        </w:pPr>
                        <w:r>
                          <w:rPr>
                            <w:rFonts w:ascii="宋体" w:hAnsi="宋体" w:cs="宋体" w:eastAsia="宋体" w:hint="default"/>
                            <w:sz w:val="18"/>
                            <w:szCs w:val="18"/>
                          </w:rPr>
                          <w:t>主要经营业务或管理活动</w:t>
                        </w:r>
                      </w:p>
                    </w:tc>
                  </w:tr>
                  <w:tr>
                    <w:trPr>
                      <w:trHeight w:val="355" w:hRule="exact"/>
                    </w:trPr>
                    <w:tc>
                      <w:tcPr>
                        <w:tcW w:w="1844" w:type="dxa"/>
                        <w:tcBorders>
                          <w:top w:val="single" w:sz="4" w:space="0" w:color="000000"/>
                          <w:left w:val="single" w:sz="4" w:space="0" w:color="000000"/>
                          <w:bottom w:val="nil" w:sz="6" w:space="0" w:color="auto"/>
                          <w:right w:val="single" w:sz="4" w:space="0" w:color="000000"/>
                        </w:tcBorders>
                      </w:tcPr>
                      <w:p>
                        <w:pPr/>
                      </w:p>
                    </w:tc>
                    <w:tc>
                      <w:tcPr>
                        <w:tcW w:w="1561" w:type="dxa"/>
                        <w:tcBorders>
                          <w:top w:val="single" w:sz="4" w:space="0" w:color="000000"/>
                          <w:left w:val="single" w:sz="4" w:space="0" w:color="000000"/>
                          <w:bottom w:val="nil" w:sz="6" w:space="0" w:color="auto"/>
                          <w:right w:val="single" w:sz="4" w:space="0" w:color="000000"/>
                        </w:tcBorders>
                      </w:tcPr>
                      <w:p>
                        <w:pPr/>
                      </w:p>
                    </w:tc>
                    <w:tc>
                      <w:tcPr>
                        <w:tcW w:w="1416" w:type="dxa"/>
                        <w:tcBorders>
                          <w:top w:val="single" w:sz="4" w:space="0" w:color="000000"/>
                          <w:left w:val="single" w:sz="4" w:space="0" w:color="000000"/>
                          <w:bottom w:val="nil" w:sz="6" w:space="0" w:color="auto"/>
                          <w:right w:val="single" w:sz="4" w:space="0" w:color="000000"/>
                        </w:tcBorders>
                      </w:tcPr>
                      <w:p>
                        <w:pPr/>
                      </w:p>
                    </w:tc>
                    <w:tc>
                      <w:tcPr>
                        <w:tcW w:w="1702" w:type="dxa"/>
                        <w:tcBorders>
                          <w:top w:val="single" w:sz="4" w:space="0" w:color="000000"/>
                          <w:left w:val="single" w:sz="4" w:space="0" w:color="000000"/>
                          <w:bottom w:val="nil" w:sz="6" w:space="0" w:color="auto"/>
                          <w:right w:val="single" w:sz="4" w:space="0" w:color="000000"/>
                        </w:tcBorders>
                      </w:tcPr>
                      <w:p>
                        <w:pPr/>
                      </w:p>
                    </w:tc>
                    <w:tc>
                      <w:tcPr>
                        <w:tcW w:w="304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测绘仪器及设备</w:t>
                        </w:r>
                        <w:r>
                          <w:rPr>
                            <w:rFonts w:ascii="宋体" w:hAnsi="宋体" w:cs="宋体" w:eastAsia="宋体" w:hint="default"/>
                            <w:spacing w:val="-80"/>
                            <w:sz w:val="18"/>
                            <w:szCs w:val="18"/>
                          </w:rPr>
                          <w:t>、</w:t>
                        </w:r>
                        <w:r>
                          <w:rPr>
                            <w:rFonts w:ascii="宋体" w:hAnsi="宋体" w:cs="宋体" w:eastAsia="宋体" w:hint="default"/>
                            <w:sz w:val="18"/>
                            <w:szCs w:val="18"/>
                          </w:rPr>
                          <w:t>航空遥感</w:t>
                        </w:r>
                        <w:r>
                          <w:rPr>
                            <w:rFonts w:ascii="宋体" w:hAnsi="宋体" w:cs="宋体" w:eastAsia="宋体" w:hint="default"/>
                            <w:spacing w:val="-80"/>
                            <w:sz w:val="18"/>
                            <w:szCs w:val="18"/>
                          </w:rPr>
                          <w:t>、</w:t>
                        </w:r>
                        <w:r>
                          <w:rPr>
                            <w:rFonts w:ascii="宋体" w:hAnsi="宋体" w:cs="宋体" w:eastAsia="宋体" w:hint="default"/>
                            <w:sz w:val="18"/>
                            <w:szCs w:val="18"/>
                          </w:rPr>
                          <w:t>地图产品</w:t>
                        </w:r>
                      </w:p>
                    </w:tc>
                  </w:tr>
                  <w:tr>
                    <w:trPr>
                      <w:trHeight w:val="312" w:hRule="exact"/>
                    </w:trPr>
                    <w:tc>
                      <w:tcPr>
                        <w:tcW w:w="1844"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地理信息产品及相关硬、软件及其他高</w:t>
                        </w:r>
                      </w:p>
                    </w:tc>
                  </w:tr>
                  <w:tr>
                    <w:trPr>
                      <w:trHeight w:val="312" w:hRule="exact"/>
                    </w:trPr>
                    <w:tc>
                      <w:tcPr>
                        <w:tcW w:w="1844"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新测绘技术产品的开发、研制、生产</w:t>
                        </w:r>
                      </w:p>
                    </w:tc>
                  </w:tr>
                  <w:tr>
                    <w:trPr>
                      <w:trHeight w:val="936" w:hRule="exact"/>
                    </w:trPr>
                    <w:tc>
                      <w:tcPr>
                        <w:tcW w:w="184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4" w:right="189"/>
                          <w:jc w:val="left"/>
                          <w:rPr>
                            <w:rFonts w:ascii="宋体" w:hAnsi="宋体" w:cs="宋体" w:eastAsia="宋体" w:hint="default"/>
                            <w:sz w:val="18"/>
                            <w:szCs w:val="18"/>
                          </w:rPr>
                        </w:pPr>
                        <w:r>
                          <w:rPr>
                            <w:rFonts w:ascii="宋体" w:hAnsi="宋体" w:cs="宋体" w:eastAsia="宋体" w:hint="default"/>
                            <w:sz w:val="18"/>
                            <w:szCs w:val="18"/>
                          </w:rPr>
                          <w:t>中国四维测绘技术有 限公司</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吴劲风</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1992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9"/>
                          <w:jc w:val="center"/>
                          <w:rPr>
                            <w:rFonts w:ascii="宋体" w:hAnsi="宋体" w:cs="宋体" w:eastAsia="宋体" w:hint="default"/>
                            <w:sz w:val="18"/>
                            <w:szCs w:val="18"/>
                          </w:rPr>
                        </w:pPr>
                        <w:r>
                          <w:rPr>
                            <w:rFonts w:ascii="宋体" w:hAnsi="宋体" w:cs="宋体" w:eastAsia="宋体" w:hint="default"/>
                            <w:sz w:val="18"/>
                            <w:szCs w:val="18"/>
                          </w:rPr>
                          <w:t>人民币</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65,276.5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19"/>
                          <w:jc w:val="left"/>
                          <w:rPr>
                            <w:rFonts w:ascii="宋体" w:hAnsi="宋体" w:cs="宋体" w:eastAsia="宋体" w:hint="default"/>
                            <w:sz w:val="18"/>
                            <w:szCs w:val="18"/>
                          </w:rPr>
                        </w:pPr>
                        <w:r>
                          <w:rPr>
                            <w:rFonts w:ascii="宋体" w:hAnsi="宋体" w:cs="宋体" w:eastAsia="宋体" w:hint="default"/>
                            <w:sz w:val="18"/>
                            <w:szCs w:val="18"/>
                          </w:rPr>
                          <w:t>销售；测绘工程的承包、实施；汽车 </w:t>
                        </w:r>
                        <w:r>
                          <w:rPr>
                            <w:rFonts w:ascii="宋体" w:hAnsi="宋体" w:cs="宋体" w:eastAsia="宋体" w:hint="default"/>
                            <w:spacing w:val="-4"/>
                            <w:sz w:val="18"/>
                            <w:szCs w:val="18"/>
                          </w:rPr>
                          <w:t>小轿车、汽车零配件、建材、木材、新</w:t>
                        </w:r>
                        <w:r>
                          <w:rPr>
                            <w:rFonts w:ascii="宋体" w:hAnsi="宋体" w:cs="宋体" w:eastAsia="宋体" w:hint="default"/>
                            <w:sz w:val="18"/>
                            <w:szCs w:val="18"/>
                          </w:rPr>
                          <w:t> </w:t>
                        </w:r>
                        <w:r>
                          <w:rPr>
                            <w:rFonts w:ascii="宋体" w:hAnsi="宋体" w:cs="宋体" w:eastAsia="宋体" w:hint="default"/>
                            <w:spacing w:val="-4"/>
                            <w:sz w:val="18"/>
                            <w:szCs w:val="18"/>
                          </w:rPr>
                          <w:t>闻纸、凸版纸、电线、电缆的销售；承</w:t>
                        </w:r>
                      </w:p>
                    </w:tc>
                  </w:tr>
                  <w:tr>
                    <w:trPr>
                      <w:trHeight w:val="312" w:hRule="exact"/>
                    </w:trPr>
                    <w:tc>
                      <w:tcPr>
                        <w:tcW w:w="1844"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包与其实力、规模、业绩相适应的国外</w:t>
                        </w:r>
                      </w:p>
                    </w:tc>
                  </w:tr>
                  <w:tr>
                    <w:trPr>
                      <w:trHeight w:val="312" w:hRule="exact"/>
                    </w:trPr>
                    <w:tc>
                      <w:tcPr>
                        <w:tcW w:w="1844" w:type="dxa"/>
                        <w:tcBorders>
                          <w:top w:val="nil" w:sz="6" w:space="0" w:color="auto"/>
                          <w:left w:val="single" w:sz="4" w:space="0" w:color="000000"/>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工程项目；进出口业务；技术咨询；发</w:t>
                        </w:r>
                      </w:p>
                    </w:tc>
                  </w:tr>
                  <w:tr>
                    <w:trPr>
                      <w:trHeight w:val="360" w:hRule="exact"/>
                    </w:trPr>
                    <w:tc>
                      <w:tcPr>
                        <w:tcW w:w="1844" w:type="dxa"/>
                        <w:tcBorders>
                          <w:top w:val="nil" w:sz="6" w:space="0" w:color="auto"/>
                          <w:left w:val="single" w:sz="4" w:space="0" w:color="000000"/>
                          <w:bottom w:val="single" w:sz="4" w:space="0" w:color="000000"/>
                          <w:right w:val="single" w:sz="4" w:space="0" w:color="000000"/>
                        </w:tcBorders>
                      </w:tcPr>
                      <w:p>
                        <w:pPr/>
                      </w:p>
                    </w:tc>
                    <w:tc>
                      <w:tcPr>
                        <w:tcW w:w="1561" w:type="dxa"/>
                        <w:tcBorders>
                          <w:top w:val="nil" w:sz="6" w:space="0" w:color="auto"/>
                          <w:left w:val="single" w:sz="4" w:space="0" w:color="000000"/>
                          <w:bottom w:val="single" w:sz="4" w:space="0" w:color="000000"/>
                          <w:right w:val="single" w:sz="4" w:space="0" w:color="000000"/>
                        </w:tcBorders>
                      </w:tcPr>
                      <w:p>
                        <w:pPr/>
                      </w:p>
                    </w:tc>
                    <w:tc>
                      <w:tcPr>
                        <w:tcW w:w="1416" w:type="dxa"/>
                        <w:tcBorders>
                          <w:top w:val="nil" w:sz="6" w:space="0" w:color="auto"/>
                          <w:left w:val="single" w:sz="4" w:space="0" w:color="000000"/>
                          <w:bottom w:val="single" w:sz="4" w:space="0" w:color="000000"/>
                          <w:right w:val="single" w:sz="4" w:space="0" w:color="000000"/>
                        </w:tcBorders>
                      </w:tcPr>
                      <w:p>
                        <w:pPr/>
                      </w:p>
                    </w:tc>
                    <w:tc>
                      <w:tcPr>
                        <w:tcW w:w="1702" w:type="dxa"/>
                        <w:tcBorders>
                          <w:top w:val="nil" w:sz="6" w:space="0" w:color="auto"/>
                          <w:left w:val="single" w:sz="4" w:space="0" w:color="000000"/>
                          <w:bottom w:val="single" w:sz="4" w:space="0" w:color="000000"/>
                          <w:right w:val="single" w:sz="4" w:space="0" w:color="000000"/>
                        </w:tcBorders>
                      </w:tcPr>
                      <w:p>
                        <w:pPr/>
                      </w:p>
                    </w:tc>
                    <w:tc>
                      <w:tcPr>
                        <w:tcW w:w="304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射卫星方面的技术服务。</w:t>
                        </w:r>
                      </w:p>
                    </w:tc>
                  </w:tr>
                </w:tbl>
                <w:p>
                  <w:pPr/>
                </w:p>
              </w:txbxContent>
            </v:textbox>
            <w10:wrap type="none"/>
          </v:shape>
        </w:pict>
      </w:r>
      <w:r>
        <w:rPr/>
        <w:t>、</w:t>
      </w:r>
    </w:p>
    <w:p>
      <w:pPr>
        <w:spacing w:line="240" w:lineRule="auto" w:before="4"/>
        <w:rPr>
          <w:rFonts w:ascii="宋体" w:hAnsi="宋体" w:cs="宋体" w:eastAsia="宋体" w:hint="default"/>
          <w:sz w:val="26"/>
          <w:szCs w:val="26"/>
        </w:rPr>
      </w:pPr>
    </w:p>
    <w:p>
      <w:pPr>
        <w:pStyle w:val="BodyText"/>
        <w:spacing w:line="240" w:lineRule="auto" w:before="44"/>
        <w:ind w:left="0" w:right="180"/>
        <w:jc w:val="right"/>
      </w:pPr>
      <w:r>
        <w:rPr/>
        <w:t>、</w:t>
      </w:r>
    </w:p>
    <w:p>
      <w:pPr>
        <w:pStyle w:val="BodyText"/>
        <w:spacing w:line="240" w:lineRule="auto" w:before="77"/>
        <w:ind w:left="0" w:right="180"/>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Heading5"/>
        <w:spacing w:line="240" w:lineRule="auto" w:before="36"/>
        <w:ind w:right="0"/>
        <w:jc w:val="left"/>
        <w:rPr>
          <w:b w:val="0"/>
          <w:bCs w:val="0"/>
        </w:rPr>
      </w:pP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285" w:right="0"/>
        <w:jc w:val="left"/>
        <w:rPr>
          <w:b w:val="0"/>
          <w:bCs w:val="0"/>
        </w:rPr>
      </w:pPr>
      <w:bookmarkStart w:name="_bookmark6" w:id="7"/>
      <w:bookmarkEnd w:id="7"/>
      <w:r>
        <w:rPr>
          <w:b w:val="0"/>
          <w:bCs w:val="0"/>
        </w:rPr>
      </w:r>
      <w:r>
        <w:rPr/>
        <w:t>第七节</w:t>
      </w:r>
      <w:r>
        <w:rPr>
          <w:spacing w:val="-6"/>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9"/>
          <w:szCs w:val="19"/>
        </w:rPr>
      </w:pPr>
    </w:p>
    <w:p>
      <w:pPr>
        <w:pStyle w:val="BodyText"/>
        <w:spacing w:line="338" w:lineRule="auto" w:before="44"/>
        <w:ind w:right="76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报告期公司不存在优先股。</w:t>
      </w:r>
    </w:p>
    <w:p>
      <w:pPr>
        <w:spacing w:after="0" w:line="338"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1679" w:right="0"/>
        <w:jc w:val="left"/>
        <w:rPr>
          <w:b w:val="0"/>
          <w:bCs w:val="0"/>
        </w:rPr>
      </w:pPr>
      <w:bookmarkStart w:name="_bookmark7" w:id="8"/>
      <w:bookmarkEnd w:id="8"/>
      <w:r>
        <w:rPr>
          <w:b w:val="0"/>
          <w:bCs w:val="0"/>
        </w:rPr>
      </w:r>
      <w:r>
        <w:rPr/>
        <w:t>第八节</w:t>
      </w:r>
      <w:r>
        <w:rPr>
          <w:spacing w:val="-9"/>
        </w:rPr>
        <w:t> </w:t>
      </w:r>
      <w:r>
        <w:rPr/>
        <w:t>董事、监事、高级管理人员和员工情况</w:t>
      </w:r>
      <w:r>
        <w:rPr>
          <w:b w:val="0"/>
          <w:bCs w:val="0"/>
        </w:rPr>
      </w:r>
    </w:p>
    <w:p>
      <w:pPr>
        <w:spacing w:line="240" w:lineRule="auto" w:before="2"/>
        <w:rPr>
          <w:rFonts w:ascii="宋体" w:hAnsi="宋体" w:cs="宋体" w:eastAsia="宋体" w:hint="default"/>
          <w:b/>
          <w:bCs/>
          <w:sz w:val="39"/>
          <w:szCs w:val="39"/>
        </w:rPr>
      </w:pPr>
    </w:p>
    <w:p>
      <w:pPr>
        <w:pStyle w:val="Heading3"/>
        <w:spacing w:line="240" w:lineRule="auto"/>
        <w:ind w:right="0"/>
        <w:jc w:val="left"/>
        <w:rPr>
          <w:b w:val="0"/>
          <w:bCs w:val="0"/>
        </w:rPr>
      </w:pPr>
      <w:r>
        <w:rPr/>
        <w:pict>
          <v:shape style="position:absolute;margin-left:380.106995pt;margin-top:32.975597pt;width:75.25pt;height:35.3pt;mso-position-horizontal-relative:page;mso-position-vertical-relative:paragraph;z-index:-1265416" type="#_x0000_t202" filled="false" stroked="false">
            <v:textbox inset="0,0,0,0">
              <w:txbxContent>
                <w:p>
                  <w:pPr>
                    <w:spacing w:line="240" w:lineRule="auto" w:before="0"/>
                    <w:rPr>
                      <w:rFonts w:ascii="宋体" w:hAnsi="宋体" w:cs="宋体" w:eastAsia="宋体" w:hint="default"/>
                      <w:b/>
                      <w:bCs/>
                      <w:sz w:val="18"/>
                      <w:szCs w:val="18"/>
                    </w:rPr>
                  </w:pPr>
                </w:p>
                <w:p>
                  <w:pPr>
                    <w:pStyle w:val="BodyText"/>
                    <w:spacing w:line="240" w:lineRule="auto" w:before="125"/>
                    <w:ind w:left="0" w:right="0"/>
                    <w:jc w:val="left"/>
                  </w:pPr>
                  <w:r>
                    <w:rPr/>
                    <w:t>（股）</w:t>
                  </w:r>
                </w:p>
              </w:txbxContent>
            </v:textbox>
            <w10:wrap type="none"/>
          </v:shape>
        </w:pict>
      </w:r>
      <w:r>
        <w:rPr/>
        <w:pict>
          <v:shape style="position:absolute;margin-left:431.592987pt;margin-top:32.975597pt;width:63.65pt;height:35.3pt;mso-position-horizontal-relative:page;mso-position-vertical-relative:paragraph;z-index:-1265392" type="#_x0000_t202" filled="false" stroked="false">
            <v:textbox inset="0,0,0,0">
              <w:txbxContent>
                <w:p>
                  <w:pPr>
                    <w:spacing w:line="240" w:lineRule="auto" w:before="0"/>
                    <w:rPr>
                      <w:rFonts w:ascii="宋体" w:hAnsi="宋体" w:cs="宋体" w:eastAsia="宋体" w:hint="default"/>
                      <w:b/>
                      <w:bCs/>
                      <w:sz w:val="18"/>
                      <w:szCs w:val="18"/>
                    </w:rPr>
                  </w:pPr>
                </w:p>
                <w:p>
                  <w:pPr>
                    <w:pStyle w:val="BodyText"/>
                    <w:spacing w:line="240" w:lineRule="auto" w:before="125"/>
                    <w:ind w:left="0" w:right="0"/>
                    <w:jc w:val="left"/>
                  </w:pPr>
                  <w:r>
                    <w:rPr/>
                    <w:t>（股）</w:t>
                  </w:r>
                </w:p>
              </w:txbxContent>
            </v:textbox>
            <w10:wrap type="none"/>
          </v:shape>
        </w:pict>
      </w:r>
      <w:r>
        <w:rPr/>
        <w:pict>
          <v:shape style="position:absolute;margin-left:471.553009pt;margin-top:32.975597pt;width:63.65pt;height:35.3pt;mso-position-horizontal-relative:page;mso-position-vertical-relative:paragraph;z-index:-1265368" type="#_x0000_t202" filled="false" stroked="false">
            <v:textbox inset="0,0,0,0">
              <w:txbxContent>
                <w:p>
                  <w:pPr>
                    <w:spacing w:line="240" w:lineRule="auto" w:before="0"/>
                    <w:rPr>
                      <w:rFonts w:ascii="宋体" w:hAnsi="宋体" w:cs="宋体" w:eastAsia="宋体" w:hint="default"/>
                      <w:b/>
                      <w:bCs/>
                      <w:sz w:val="18"/>
                      <w:szCs w:val="18"/>
                    </w:rPr>
                  </w:pPr>
                </w:p>
                <w:p>
                  <w:pPr>
                    <w:pStyle w:val="BodyText"/>
                    <w:spacing w:line="240" w:lineRule="auto" w:before="125"/>
                    <w:ind w:left="0" w:right="0"/>
                    <w:jc w:val="left"/>
                  </w:pPr>
                  <w:r>
                    <w:rPr/>
                    <w:t>（股）</w:t>
                  </w:r>
                </w:p>
              </w:txbxContent>
            </v:textbox>
            <w10:wrap type="none"/>
          </v:shape>
        </w:pict>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530"/>
        <w:gridCol w:w="425"/>
        <w:gridCol w:w="425"/>
        <w:gridCol w:w="994"/>
        <w:gridCol w:w="994"/>
        <w:gridCol w:w="992"/>
        <w:gridCol w:w="991"/>
        <w:gridCol w:w="1030"/>
        <w:gridCol w:w="800"/>
        <w:gridCol w:w="797"/>
      </w:tblGrid>
      <w:tr>
        <w:trPr>
          <w:trHeight w:val="715"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15"/>
              <w:jc w:val="righ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81" w:right="77"/>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6"/>
              <w:jc w:val="right"/>
              <w:rPr>
                <w:rFonts w:ascii="宋体" w:hAnsi="宋体" w:cs="宋体" w:eastAsia="宋体" w:hint="default"/>
                <w:sz w:val="18"/>
                <w:szCs w:val="18"/>
              </w:rPr>
            </w:pPr>
            <w:r>
              <w:rPr>
                <w:rFonts w:ascii="宋体" w:hAnsi="宋体" w:cs="宋体" w:eastAsia="宋体" w:hint="default"/>
                <w:sz w:val="18"/>
                <w:szCs w:val="18"/>
              </w:rPr>
              <w:t>年龄</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03" w:right="38"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00" w:right="41"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38" w:firstLine="16"/>
              <w:jc w:val="left"/>
              <w:rPr>
                <w:rFonts w:ascii="宋体" w:hAnsi="宋体" w:cs="宋体" w:eastAsia="宋体" w:hint="default"/>
                <w:sz w:val="18"/>
                <w:szCs w:val="18"/>
              </w:rPr>
            </w:pPr>
            <w:r>
              <w:rPr>
                <w:rFonts w:ascii="宋体" w:hAnsi="宋体" w:cs="宋体" w:eastAsia="宋体" w:hint="default"/>
                <w:sz w:val="18"/>
                <w:szCs w:val="18"/>
              </w:rPr>
              <w:t>本期增持股 份数量</w:t>
            </w:r>
          </w:p>
        </w:tc>
        <w:tc>
          <w:tcPr>
            <w:tcW w:w="10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9" w:firstLine="36"/>
              <w:jc w:val="left"/>
              <w:rPr>
                <w:rFonts w:ascii="宋体" w:hAnsi="宋体" w:cs="宋体" w:eastAsia="宋体" w:hint="default"/>
                <w:sz w:val="18"/>
                <w:szCs w:val="18"/>
              </w:rPr>
            </w:pPr>
            <w:r>
              <w:rPr>
                <w:rFonts w:ascii="宋体" w:hAnsi="宋体" w:cs="宋体" w:eastAsia="宋体" w:hint="default"/>
                <w:sz w:val="18"/>
                <w:szCs w:val="18"/>
              </w:rPr>
              <w:t>本期减持股 份数量</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 w:right="34" w:firstLine="9"/>
              <w:jc w:val="left"/>
              <w:rPr>
                <w:rFonts w:ascii="宋体" w:hAnsi="宋体" w:cs="宋体" w:eastAsia="宋体" w:hint="default"/>
                <w:sz w:val="18"/>
                <w:szCs w:val="18"/>
              </w:rPr>
            </w:pPr>
            <w:r>
              <w:rPr>
                <w:rFonts w:ascii="宋体" w:hAnsi="宋体" w:cs="宋体" w:eastAsia="宋体" w:hint="default"/>
                <w:sz w:val="18"/>
                <w:szCs w:val="18"/>
              </w:rPr>
              <w:t>其他增减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1"/>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吴劲风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07</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孙玉国</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19,468,238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1,799,915</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17,668,32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程 </w:t>
            </w:r>
            <w:r>
              <w:rPr>
                <w:rFonts w:ascii="宋体" w:hAnsi="宋体" w:cs="宋体" w:eastAsia="宋体" w:hint="default"/>
                <w:spacing w:val="2"/>
                <w:sz w:val="18"/>
                <w:szCs w:val="18"/>
              </w:rPr>
              <w:t> </w:t>
            </w:r>
            <w:r>
              <w:rPr>
                <w:rFonts w:ascii="宋体" w:hAnsi="宋体" w:cs="宋体" w:eastAsia="宋体" w:hint="default"/>
                <w:sz w:val="18"/>
                <w:szCs w:val="18"/>
              </w:rPr>
              <w:t>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董事、总 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4,708,365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4,218,365</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37</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任光明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吴艾今</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湛炜标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钟翔平</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郑永进</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徐晋晖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656,876</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531,876</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刘 </w:t>
            </w:r>
            <w:r>
              <w:rPr>
                <w:rFonts w:ascii="宋体" w:hAnsi="宋体" w:cs="宋体" w:eastAsia="宋体" w:hint="default"/>
                <w:spacing w:val="2"/>
                <w:sz w:val="18"/>
                <w:szCs w:val="18"/>
              </w:rPr>
              <w:t> </w:t>
            </w:r>
            <w:r>
              <w:rPr>
                <w:rFonts w:ascii="宋体" w:hAnsi="宋体" w:cs="宋体" w:eastAsia="宋体" w:hint="default"/>
                <w:sz w:val="18"/>
                <w:szCs w:val="18"/>
              </w:rPr>
              <w:t>铮</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张雪娇</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1"/>
              <w:jc w:val="right"/>
              <w:rPr>
                <w:rFonts w:ascii="宋体" w:hAnsi="宋体" w:cs="宋体" w:eastAsia="宋体" w:hint="default"/>
                <w:sz w:val="18"/>
                <w:szCs w:val="18"/>
              </w:rPr>
            </w:pPr>
            <w:r>
              <w:rPr>
                <w:rFonts w:ascii="宋体" w:hAnsi="宋体" w:cs="宋体" w:eastAsia="宋体" w:hint="default"/>
                <w:sz w:val="18"/>
                <w:szCs w:val="18"/>
              </w:rPr>
              <w:t>毕 </w:t>
            </w:r>
            <w:r>
              <w:rPr>
                <w:rFonts w:ascii="宋体" w:hAnsi="宋体" w:cs="宋体" w:eastAsia="宋体" w:hint="default"/>
                <w:spacing w:val="2"/>
                <w:sz w:val="18"/>
                <w:szCs w:val="18"/>
              </w:rPr>
              <w:t> </w:t>
            </w:r>
            <w:r>
              <w:rPr>
                <w:rFonts w:ascii="宋体" w:hAnsi="宋体" w:cs="宋体" w:eastAsia="宋体" w:hint="default"/>
                <w:sz w:val="18"/>
                <w:szCs w:val="18"/>
              </w:rPr>
              <w:t>垒</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375,000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89,050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285,950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戴东海</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224"/>
              <w:jc w:val="right"/>
              <w:rPr>
                <w:rFonts w:ascii="宋体" w:hAnsi="宋体" w:cs="宋体" w:eastAsia="宋体" w:hint="default"/>
                <w:sz w:val="18"/>
                <w:szCs w:val="18"/>
              </w:rPr>
            </w:pPr>
            <w:r>
              <w:rPr>
                <w:rFonts w:ascii="宋体" w:hAnsi="宋体" w:cs="宋体" w:eastAsia="宋体" w:hint="default"/>
                <w:sz w:val="18"/>
                <w:szCs w:val="18"/>
              </w:rPr>
              <w:t>景慕寒</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w:t>
            </w:r>
          </w:p>
        </w:tc>
      </w:tr>
      <w:tr>
        <w:trPr>
          <w:trHeight w:val="40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4"/>
              <w:jc w:val="right"/>
              <w:rPr>
                <w:rFonts w:ascii="宋体" w:hAnsi="宋体" w:cs="宋体" w:eastAsia="宋体" w:hint="default"/>
                <w:sz w:val="18"/>
                <w:szCs w:val="18"/>
              </w:rPr>
            </w:pPr>
            <w:r>
              <w:rPr>
                <w:rFonts w:ascii="宋体" w:hAnsi="宋体" w:cs="宋体" w:eastAsia="宋体" w:hint="default"/>
                <w:sz w:val="18"/>
                <w:szCs w:val="18"/>
              </w:rPr>
              <w:t>金水祥</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z w:val="18"/>
              </w:rPr>
              <w:t>49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1,000,838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800,838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800"/>
        <w:gridCol w:w="797"/>
        <w:gridCol w:w="530"/>
        <w:gridCol w:w="425"/>
        <w:gridCol w:w="425"/>
        <w:gridCol w:w="994"/>
        <w:gridCol w:w="994"/>
        <w:gridCol w:w="992"/>
        <w:gridCol w:w="991"/>
        <w:gridCol w:w="1030"/>
        <w:gridCol w:w="800"/>
        <w:gridCol w:w="797"/>
      </w:tblGrid>
      <w:tr>
        <w:trPr>
          <w:trHeight w:val="363" w:hRule="exact"/>
        </w:trPr>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425"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030"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梁永杰</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41</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106,350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30,750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75,600</w:t>
            </w:r>
          </w:p>
        </w:tc>
      </w:tr>
      <w:tr>
        <w:trPr>
          <w:trHeight w:val="1027"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副总经 理、董事 会秘书</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right="134"/>
              <w:jc w:val="righ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82,500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27,500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55,000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宋铁辉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240,000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唐 </w:t>
            </w:r>
            <w:r>
              <w:rPr>
                <w:rFonts w:ascii="宋体" w:hAnsi="宋体" w:cs="宋体" w:eastAsia="宋体" w:hint="default"/>
                <w:spacing w:val="2"/>
                <w:sz w:val="18"/>
                <w:szCs w:val="18"/>
              </w:rPr>
              <w:t> </w:t>
            </w:r>
            <w:r>
              <w:rPr>
                <w:rFonts w:ascii="宋体" w:hAnsi="宋体" w:cs="宋体" w:eastAsia="宋体" w:hint="default"/>
                <w:sz w:val="18"/>
                <w:szCs w:val="18"/>
              </w:rPr>
              <w:t>伟</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现任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马喆人</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原董事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罗 </w:t>
            </w:r>
            <w:r>
              <w:rPr>
                <w:rFonts w:ascii="宋体" w:hAnsi="宋体" w:cs="宋体" w:eastAsia="宋体" w:hint="default"/>
                <w:spacing w:val="2"/>
                <w:sz w:val="18"/>
                <w:szCs w:val="18"/>
              </w:rPr>
              <w:t> </w:t>
            </w:r>
            <w:r>
              <w:rPr>
                <w:rFonts w:ascii="宋体" w:hAnsi="宋体" w:cs="宋体" w:eastAsia="宋体" w:hint="default"/>
                <w:sz w:val="18"/>
                <w:szCs w:val="18"/>
              </w:rPr>
              <w:t>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原独立董 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王小川</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原独立董 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40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5"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郝 </w:t>
            </w:r>
            <w:r>
              <w:rPr>
                <w:rFonts w:ascii="宋体" w:hAnsi="宋体" w:cs="宋体" w:eastAsia="宋体" w:hint="default"/>
                <w:spacing w:val="2"/>
                <w:sz w:val="18"/>
                <w:szCs w:val="18"/>
              </w:rPr>
              <w:t> </w:t>
            </w:r>
            <w:r>
              <w:rPr>
                <w:rFonts w:ascii="宋体" w:hAnsi="宋体" w:cs="宋体" w:eastAsia="宋体" w:hint="default"/>
                <w:sz w:val="18"/>
                <w:szCs w:val="18"/>
              </w:rPr>
              <w:t>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原监事</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雷文辉</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原副总经 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1,235,357</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1,235,357</w:t>
            </w:r>
          </w:p>
        </w:tc>
      </w:tr>
      <w:tr>
        <w:trPr>
          <w:trHeight w:val="71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赖丰福</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41"/>
              <w:jc w:val="left"/>
              <w:rPr>
                <w:rFonts w:ascii="宋体" w:hAnsi="宋体" w:cs="宋体" w:eastAsia="宋体" w:hint="default"/>
                <w:sz w:val="18"/>
                <w:szCs w:val="18"/>
              </w:rPr>
            </w:pPr>
            <w:r>
              <w:rPr>
                <w:rFonts w:ascii="宋体" w:hAnsi="宋体" w:cs="宋体" w:eastAsia="宋体" w:hint="default"/>
                <w:sz w:val="18"/>
                <w:szCs w:val="18"/>
              </w:rPr>
              <w:t>原副总经 理</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134"/>
              <w:jc w:val="right"/>
              <w:rPr>
                <w:rFonts w:ascii="宋体" w:hAnsi="宋体" w:cs="宋体" w:eastAsia="宋体" w:hint="default"/>
                <w:sz w:val="18"/>
                <w:szCs w:val="18"/>
              </w:rPr>
            </w:pPr>
            <w:r>
              <w:rPr>
                <w:rFonts w:ascii="宋体" w:hAnsi="宋体" w:cs="宋体" w:eastAsia="宋体" w:hint="default"/>
                <w:sz w:val="18"/>
                <w:szCs w:val="18"/>
              </w:rPr>
              <w:t>离任</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2008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3,383,865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845,967</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2,537,898</w:t>
            </w:r>
          </w:p>
        </w:tc>
      </w:tr>
      <w:tr>
        <w:trPr>
          <w:trHeight w:val="713"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7"/>
              <w:jc w:val="right"/>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31,827,389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3,638,182</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28,189,20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r>
    </w:tbl>
    <w:p>
      <w:pPr>
        <w:spacing w:line="240" w:lineRule="auto" w:before="1"/>
        <w:rPr>
          <w:rFonts w:ascii="宋体" w:hAnsi="宋体" w:cs="宋体" w:eastAsia="宋体" w:hint="default"/>
          <w:b/>
          <w:bCs/>
          <w:sz w:val="18"/>
          <w:szCs w:val="18"/>
        </w:rPr>
      </w:pPr>
    </w:p>
    <w:p>
      <w:pPr>
        <w:pStyle w:val="Heading3"/>
        <w:spacing w:line="240" w:lineRule="auto" w:before="26"/>
        <w:ind w:right="0"/>
        <w:jc w:val="left"/>
        <w:rPr>
          <w:b w:val="0"/>
          <w:bCs w:val="0"/>
        </w:rPr>
      </w:pPr>
      <w:r>
        <w:rPr/>
        <w:t>二、公司董事、监事、高级管理人员变动情况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333"/>
        <w:gridCol w:w="1539"/>
        <w:gridCol w:w="4037"/>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类型</w:t>
            </w:r>
          </w:p>
        </w:tc>
        <w:tc>
          <w:tcPr>
            <w:tcW w:w="15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40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马喆人</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原董事</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4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公司第三届董事会成员任期届满。</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罗玲</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原独立董事</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4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公司第三届董事会成员任期届满。</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王小川</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原独立董事</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4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公司第三届董事会成员任期届满。</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郝洁</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原监事</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4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公司第三届监事会成员任期届满。</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赖丰福</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原副总经理</w:t>
            </w:r>
          </w:p>
        </w:tc>
        <w:tc>
          <w:tcPr>
            <w:tcW w:w="13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15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4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公司第三届高级管理人员任期届满。</w:t>
            </w:r>
          </w:p>
        </w:tc>
      </w:tr>
      <w:tr>
        <w:trPr>
          <w:trHeight w:val="360" w:hRule="exact"/>
        </w:trPr>
        <w:tc>
          <w:tcPr>
            <w:tcW w:w="1330" w:type="dxa"/>
            <w:tcBorders>
              <w:top w:val="single" w:sz="4" w:space="0" w:color="000000"/>
              <w:left w:val="single" w:sz="4" w:space="0" w:color="000000"/>
              <w:bottom w:val="nil" w:sz="6" w:space="0" w:color="auto"/>
              <w:right w:val="single" w:sz="4" w:space="0" w:color="000000"/>
            </w:tcBorders>
          </w:tcPr>
          <w:p>
            <w:pPr/>
          </w:p>
        </w:tc>
        <w:tc>
          <w:tcPr>
            <w:tcW w:w="1330" w:type="dxa"/>
            <w:tcBorders>
              <w:top w:val="single" w:sz="4" w:space="0" w:color="000000"/>
              <w:left w:val="single" w:sz="4" w:space="0" w:color="000000"/>
              <w:bottom w:val="nil" w:sz="6" w:space="0" w:color="auto"/>
              <w:right w:val="single" w:sz="4" w:space="0" w:color="000000"/>
            </w:tcBorders>
          </w:tcPr>
          <w:p>
            <w:pPr/>
          </w:p>
        </w:tc>
        <w:tc>
          <w:tcPr>
            <w:tcW w:w="1333" w:type="dxa"/>
            <w:tcBorders>
              <w:top w:val="single" w:sz="4" w:space="0" w:color="000000"/>
              <w:left w:val="single" w:sz="4" w:space="0" w:color="000000"/>
              <w:bottom w:val="nil" w:sz="6" w:space="0" w:color="auto"/>
              <w:right w:val="single" w:sz="4" w:space="0" w:color="000000"/>
            </w:tcBorders>
          </w:tcPr>
          <w:p>
            <w:pPr/>
          </w:p>
        </w:tc>
        <w:tc>
          <w:tcPr>
            <w:tcW w:w="1539" w:type="dxa"/>
            <w:tcBorders>
              <w:top w:val="single" w:sz="4" w:space="0" w:color="000000"/>
              <w:left w:val="single" w:sz="4" w:space="0" w:color="000000"/>
              <w:bottom w:val="nil" w:sz="6" w:space="0" w:color="auto"/>
              <w:right w:val="single" w:sz="4" w:space="0" w:color="000000"/>
            </w:tcBorders>
          </w:tcPr>
          <w:p>
            <w:pPr/>
          </w:p>
        </w:tc>
        <w:tc>
          <w:tcPr>
            <w:tcW w:w="40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日，雷文辉先生因工作调整原因辞去</w:t>
            </w:r>
          </w:p>
        </w:tc>
      </w:tr>
      <w:tr>
        <w:trPr>
          <w:trHeight w:val="929" w:hRule="exact"/>
        </w:trPr>
        <w:tc>
          <w:tcPr>
            <w:tcW w:w="133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雷文辉</w:t>
            </w:r>
          </w:p>
        </w:tc>
        <w:tc>
          <w:tcPr>
            <w:tcW w:w="1330" w:type="dxa"/>
            <w:tcBorders>
              <w:top w:val="nil" w:sz="6" w:space="0" w:color="auto"/>
              <w:left w:val="single" w:sz="4" w:space="0" w:color="000000"/>
              <w:bottom w:val="nil" w:sz="6" w:space="0" w:color="auto"/>
              <w:right w:val="single" w:sz="4" w:space="0" w:color="000000"/>
            </w:tcBorders>
          </w:tcPr>
          <w:p>
            <w:pPr>
              <w:pStyle w:val="TableParagraph"/>
              <w:spacing w:line="314" w:lineRule="auto" w:before="161"/>
              <w:ind w:left="23" w:right="35"/>
              <w:jc w:val="left"/>
              <w:rPr>
                <w:rFonts w:ascii="宋体" w:hAnsi="宋体" w:cs="宋体" w:eastAsia="宋体" w:hint="default"/>
                <w:sz w:val="18"/>
                <w:szCs w:val="18"/>
              </w:rPr>
            </w:pPr>
            <w:r>
              <w:rPr>
                <w:rFonts w:ascii="宋体" w:hAnsi="宋体" w:cs="宋体" w:eastAsia="宋体" w:hint="default"/>
                <w:sz w:val="18"/>
                <w:szCs w:val="18"/>
              </w:rPr>
              <w:t>原董事会秘书、 原副总经理</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53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4037" w:type="dxa"/>
            <w:tcBorders>
              <w:top w:val="nil" w:sz="6" w:space="0" w:color="auto"/>
              <w:left w:val="single" w:sz="4" w:space="0" w:color="000000"/>
              <w:bottom w:val="nil" w:sz="6" w:space="0" w:color="auto"/>
              <w:right w:val="single" w:sz="4" w:space="0" w:color="000000"/>
            </w:tcBorders>
          </w:tcPr>
          <w:p>
            <w:pPr>
              <w:pStyle w:val="TableParagraph"/>
              <w:spacing w:line="307" w:lineRule="auto" w:before="5"/>
              <w:ind w:left="23" w:right="41"/>
              <w:jc w:val="both"/>
              <w:rPr>
                <w:rFonts w:ascii="宋体" w:hAnsi="宋体" w:cs="宋体" w:eastAsia="宋体" w:hint="default"/>
                <w:sz w:val="18"/>
                <w:szCs w:val="18"/>
              </w:rPr>
            </w:pPr>
            <w:r>
              <w:rPr>
                <w:rFonts w:ascii="宋体" w:hAnsi="宋体" w:cs="宋体" w:eastAsia="宋体" w:hint="default"/>
                <w:sz w:val="18"/>
                <w:szCs w:val="18"/>
              </w:rPr>
              <w:t>公司董事会秘书职务；</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日，雷文辉 先生因个人原因申请辞去本公司副总经理职务，辞 职后在公司人才培养、企业文化传承等方面继续贡</w:t>
            </w:r>
          </w:p>
        </w:tc>
      </w:tr>
      <w:tr>
        <w:trPr>
          <w:trHeight w:val="360" w:hRule="exact"/>
        </w:trPr>
        <w:tc>
          <w:tcPr>
            <w:tcW w:w="1330" w:type="dxa"/>
            <w:tcBorders>
              <w:top w:val="nil" w:sz="6" w:space="0" w:color="auto"/>
              <w:left w:val="single" w:sz="4" w:space="0" w:color="000000"/>
              <w:bottom w:val="single" w:sz="4" w:space="0" w:color="000000"/>
              <w:right w:val="single" w:sz="4" w:space="0" w:color="000000"/>
            </w:tcBorders>
          </w:tcPr>
          <w:p>
            <w:pPr/>
          </w:p>
        </w:tc>
        <w:tc>
          <w:tcPr>
            <w:tcW w:w="1330" w:type="dxa"/>
            <w:tcBorders>
              <w:top w:val="nil" w:sz="6" w:space="0" w:color="auto"/>
              <w:left w:val="single" w:sz="4" w:space="0" w:color="000000"/>
              <w:bottom w:val="single" w:sz="4" w:space="0" w:color="000000"/>
              <w:right w:val="single" w:sz="4" w:space="0" w:color="000000"/>
            </w:tcBorders>
          </w:tcPr>
          <w:p>
            <w:pPr/>
          </w:p>
        </w:tc>
        <w:tc>
          <w:tcPr>
            <w:tcW w:w="1333" w:type="dxa"/>
            <w:tcBorders>
              <w:top w:val="nil" w:sz="6" w:space="0" w:color="auto"/>
              <w:left w:val="single" w:sz="4" w:space="0" w:color="000000"/>
              <w:bottom w:val="single" w:sz="4" w:space="0" w:color="000000"/>
              <w:right w:val="single" w:sz="4" w:space="0" w:color="000000"/>
            </w:tcBorders>
          </w:tcPr>
          <w:p>
            <w:pPr/>
          </w:p>
        </w:tc>
        <w:tc>
          <w:tcPr>
            <w:tcW w:w="1539" w:type="dxa"/>
            <w:tcBorders>
              <w:top w:val="nil" w:sz="6" w:space="0" w:color="auto"/>
              <w:left w:val="single" w:sz="4" w:space="0" w:color="000000"/>
              <w:bottom w:val="single" w:sz="4" w:space="0" w:color="000000"/>
              <w:right w:val="single" w:sz="4" w:space="0" w:color="000000"/>
            </w:tcBorders>
          </w:tcPr>
          <w:p>
            <w:pPr/>
          </w:p>
        </w:tc>
        <w:tc>
          <w:tcPr>
            <w:tcW w:w="40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献力量。</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8"/>
        <w:rPr>
          <w:rFonts w:ascii="宋体" w:hAnsi="宋体" w:cs="宋体" w:eastAsia="宋体" w:hint="default"/>
          <w:sz w:val="23"/>
          <w:szCs w:val="23"/>
        </w:rPr>
      </w:pPr>
    </w:p>
    <w:p>
      <w:pPr>
        <w:pStyle w:val="Heading3"/>
        <w:spacing w:line="240" w:lineRule="auto" w:before="26"/>
        <w:ind w:right="0"/>
        <w:jc w:val="both"/>
        <w:rPr>
          <w:b w:val="0"/>
          <w:bCs w:val="0"/>
        </w:rPr>
      </w:pPr>
      <w:r>
        <w:rPr/>
        <w:t>三、任职情况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公司现任董事、监事、高级管理人员专业背景、主要工作经历以及目前在公司的主要职责</w:t>
      </w:r>
    </w:p>
    <w:p>
      <w:pPr>
        <w:spacing w:line="240" w:lineRule="auto" w:before="6"/>
        <w:rPr>
          <w:rFonts w:ascii="宋体" w:hAnsi="宋体" w:cs="宋体" w:eastAsia="宋体" w:hint="default"/>
          <w:sz w:val="13"/>
          <w:szCs w:val="13"/>
        </w:rPr>
      </w:pPr>
    </w:p>
    <w:p>
      <w:pPr>
        <w:pStyle w:val="Heading6"/>
        <w:spacing w:line="321" w:lineRule="auto" w:before="0"/>
        <w:ind w:left="573" w:right="0" w:firstLine="0"/>
        <w:jc w:val="left"/>
      </w:pPr>
      <w:r>
        <w:rPr/>
        <w:t>（</w:t>
      </w:r>
      <w:r>
        <w:rPr>
          <w:rFonts w:ascii="Times New Roman" w:hAnsi="Times New Roman" w:cs="Times New Roman" w:eastAsia="Times New Roman" w:hint="default"/>
        </w:rPr>
        <w:t>1</w:t>
      </w:r>
      <w:r>
        <w:rPr/>
        <w:t>）公司董事任职情况</w:t>
      </w:r>
      <w:r>
        <w:rPr>
          <w:w w:val="100"/>
        </w:rPr>
        <w:t> </w:t>
      </w:r>
      <w:r>
        <w:rPr/>
        <w:t>吴劲风先生，中国国籍，无境外居留权，</w:t>
      </w:r>
      <w:r>
        <w:rPr>
          <w:rFonts w:ascii="宋体" w:hAnsi="宋体" w:cs="宋体" w:eastAsia="宋体" w:hint="default"/>
        </w:rPr>
        <w:t>1961</w:t>
      </w:r>
      <w:r>
        <w:rPr/>
        <w:t>年</w:t>
      </w:r>
      <w:r>
        <w:rPr>
          <w:rFonts w:ascii="宋体" w:hAnsi="宋体" w:cs="宋体" w:eastAsia="宋体" w:hint="default"/>
        </w:rPr>
        <w:t>9</w:t>
      </w:r>
      <w:r>
        <w:rPr/>
        <w:t>月出生，教授级高级工程师。曾任中国通信广播卫</w:t>
      </w:r>
    </w:p>
    <w:p>
      <w:pPr>
        <w:pStyle w:val="Heading6"/>
        <w:spacing w:line="408" w:lineRule="auto" w:before="121"/>
        <w:ind w:right="206" w:firstLine="0"/>
        <w:jc w:val="both"/>
        <w:rPr>
          <w:rFonts w:ascii="宋体" w:hAnsi="宋体" w:cs="宋体" w:eastAsia="宋体" w:hint="default"/>
        </w:rPr>
      </w:pPr>
      <w:r>
        <w:rPr>
          <w:spacing w:val="-7"/>
        </w:rPr>
        <w:t>星公司副总经理、总经理、党委委员，中国卫星通信集团公司副总经理、总经理、党委委员、党委副书记、</w:t>
      </w:r>
      <w:r>
        <w:rPr>
          <w:spacing w:val="-23"/>
        </w:rPr>
        <w:t> </w:t>
      </w:r>
      <w:r>
        <w:rPr>
          <w:spacing w:val="-23"/>
        </w:rPr>
      </w:r>
      <w:r>
        <w:rPr>
          <w:spacing w:val="-2"/>
        </w:rPr>
        <w:t>科学技术专家委员会主任，中国东方通信卫星有限责任公司董事长、总经理、党委书记，中国直播卫星有</w:t>
      </w:r>
      <w:r>
        <w:rPr>
          <w:spacing w:val="-47"/>
        </w:rPr>
        <w:t> </w:t>
      </w:r>
      <w:r>
        <w:rPr>
          <w:spacing w:val="-47"/>
        </w:rPr>
      </w:r>
      <w:r>
        <w:rPr>
          <w:spacing w:val="-2"/>
        </w:rPr>
        <w:t>限公司董事长、总经理，鑫诺卫星通信有限公司董事长，中卫星空移动电视有限公司董事长，中寰卫星导</w:t>
      </w:r>
      <w:r>
        <w:rPr>
          <w:spacing w:val="-47"/>
        </w:rPr>
        <w:t> </w:t>
      </w:r>
      <w:r>
        <w:rPr>
          <w:spacing w:val="-47"/>
        </w:rPr>
      </w:r>
      <w:r>
        <w:rPr>
          <w:spacing w:val="-2"/>
        </w:rPr>
        <w:t>航通信有限公司副董事长，亚太卫星控股有限公司非执行董事，中国伽利略卫星导航有限公司董事，中卫</w:t>
      </w:r>
      <w:r>
        <w:rPr>
          <w:spacing w:val="-43"/>
        </w:rPr>
        <w:t> </w:t>
      </w:r>
      <w:r>
        <w:rPr>
          <w:spacing w:val="-43"/>
        </w:rPr>
      </w:r>
      <w:r>
        <w:rPr>
          <w:spacing w:val="-2"/>
        </w:rPr>
        <w:t>普信宽带通信有限公司董事，直播星数字信息技术有限公司董事，中国四维测绘技术有限公司董事长、总</w:t>
      </w:r>
      <w:r>
        <w:rPr>
          <w:spacing w:val="-43"/>
        </w:rPr>
        <w:t> </w:t>
      </w:r>
      <w:r>
        <w:rPr>
          <w:spacing w:val="-43"/>
        </w:rPr>
      </w:r>
      <w:r>
        <w:rPr>
          <w:spacing w:val="-2"/>
        </w:rPr>
        <w:t>经理、党委书记。现任公司董事长，中国航天科技集团公司总工程师，物联网技术应用研究院理事长，工</w:t>
      </w:r>
      <w:r>
        <w:rPr>
          <w:spacing w:val="-42"/>
        </w:rPr>
        <w:t> </w:t>
      </w:r>
      <w:r>
        <w:rPr>
          <w:spacing w:val="-42"/>
        </w:rPr>
      </w:r>
      <w:r>
        <w:rPr/>
        <w:t>业和信息化部通信科技委员会常委。</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t>孙玉国先生，中国国籍，无境外居留权，</w:t>
      </w:r>
      <w:r>
        <w:rPr>
          <w:rFonts w:ascii="宋体" w:hAnsi="宋体" w:cs="宋体" w:eastAsia="宋体" w:hint="default"/>
        </w:rPr>
        <w:t>1964</w:t>
      </w:r>
      <w:r>
        <w:rPr/>
        <w:t>年</w:t>
      </w:r>
      <w:r>
        <w:rPr>
          <w:rFonts w:ascii="宋体" w:hAnsi="宋体" w:cs="宋体" w:eastAsia="宋体" w:hint="default"/>
        </w:rPr>
        <w:t>7</w:t>
      </w:r>
      <w:r>
        <w:rPr/>
        <w:t>月出生，博士研究生学历，研究员。现任公司副董</w:t>
      </w:r>
      <w:r>
        <w:rPr>
          <w:w w:val="100"/>
        </w:rPr>
        <w:t> </w:t>
      </w:r>
      <w:r>
        <w:rPr>
          <w:spacing w:val="-2"/>
        </w:rPr>
        <w:t>事长，北京图迅丰达信息技术有限公司、北京图新智盛信息技术有限公司、上海纳维信息技术有限公司董</w:t>
      </w:r>
      <w:r>
        <w:rPr>
          <w:spacing w:val="-44"/>
        </w:rPr>
        <w:t> </w:t>
      </w:r>
      <w:r>
        <w:rPr>
          <w:spacing w:val="-44"/>
        </w:rPr>
      </w:r>
      <w:r>
        <w:rPr>
          <w:spacing w:val="-2"/>
        </w:rPr>
        <w:t>事长，</w:t>
      </w:r>
      <w:r>
        <w:rPr>
          <w:rFonts w:ascii="宋体" w:hAnsi="宋体" w:cs="宋体" w:eastAsia="宋体" w:hint="default"/>
          <w:spacing w:val="-2"/>
        </w:rPr>
        <w:t>Mapscape</w:t>
      </w:r>
      <w:r>
        <w:rPr>
          <w:spacing w:val="-2"/>
        </w:rPr>
        <w:t>有限责任公司董事，北京万兔思睿科技有限公司监事，中国地理信息产业协会会长，中国</w:t>
      </w:r>
      <w:r>
        <w:rPr>
          <w:spacing w:val="-43"/>
        </w:rPr>
        <w:t> </w:t>
      </w:r>
      <w:r>
        <w:rPr>
          <w:spacing w:val="-43"/>
        </w:rPr>
      </w:r>
      <w:r>
        <w:rPr/>
        <w:t>测绘地理信息学会常务理事。</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程鹏先生，中国国籍，拥有美国居留权，</w:t>
      </w:r>
      <w:r>
        <w:rPr>
          <w:rFonts w:ascii="宋体" w:hAnsi="宋体" w:cs="宋体" w:eastAsia="宋体" w:hint="default"/>
        </w:rPr>
        <w:t>1976</w:t>
      </w:r>
      <w:r>
        <w:rPr/>
        <w:t>年</w:t>
      </w:r>
      <w:r>
        <w:rPr>
          <w:rFonts w:ascii="宋体" w:hAnsi="宋体" w:cs="宋体" w:eastAsia="宋体" w:hint="default"/>
        </w:rPr>
        <w:t>1</w:t>
      </w:r>
      <w:r>
        <w:rPr/>
        <w:t>月出生，本科学历。现任公司董事、总经理，中寰</w:t>
      </w:r>
      <w:r>
        <w:rPr>
          <w:w w:val="100"/>
        </w:rPr>
        <w:t> </w:t>
      </w:r>
      <w:r>
        <w:rPr/>
        <w:t>卫星导航通信有限公司、北京图新经纬导航系统有限公司、北京世纪高通科技有限公司、和骊安（中国）</w:t>
      </w:r>
      <w:r>
        <w:rPr>
          <w:spacing w:val="-24"/>
        </w:rPr>
        <w:t> </w:t>
      </w:r>
      <w:r>
        <w:rPr>
          <w:spacing w:val="-24"/>
        </w:rPr>
      </w:r>
      <w:r>
        <w:rPr>
          <w:spacing w:val="-7"/>
        </w:rPr>
        <w:t>汽车信息系统有限公司、北京图为先科技有限公司、北京图吧科技有限公司、上海趣驾信息科技有限公司、</w:t>
      </w:r>
      <w:r>
        <w:rPr>
          <w:spacing w:val="-17"/>
        </w:rPr>
        <w:t> </w:t>
      </w:r>
      <w:r>
        <w:rPr>
          <w:spacing w:val="-17"/>
        </w:rPr>
      </w:r>
      <w:r>
        <w:rPr>
          <w:spacing w:val="-2"/>
        </w:rPr>
        <w:t>合肥杰发科技有限公司董事长，北京万兔思睿科技有限公司执行董事，上海纳维信息技术有限公司、四维</w:t>
      </w:r>
      <w:r>
        <w:rPr>
          <w:spacing w:val="-43"/>
        </w:rPr>
        <w:t> </w:t>
      </w:r>
      <w:r>
        <w:rPr>
          <w:spacing w:val="-43"/>
        </w:rPr>
      </w:r>
      <w:r>
        <w:rPr>
          <w:spacing w:val="-2"/>
        </w:rPr>
        <w:t>图新（欧洲）有限公司、上海安吉四维信息技术有限公司、</w:t>
      </w:r>
      <w:r>
        <w:rPr>
          <w:rFonts w:ascii="宋体" w:hAnsi="宋体" w:cs="宋体" w:eastAsia="宋体" w:hint="default"/>
          <w:spacing w:val="-2"/>
        </w:rPr>
        <w:t>Mapscape</w:t>
      </w:r>
      <w:r>
        <w:rPr>
          <w:spacing w:val="-2"/>
        </w:rPr>
        <w:t>有限责任公司、北京图新智盛信息技</w:t>
      </w:r>
      <w:r>
        <w:rPr>
          <w:spacing w:val="-36"/>
        </w:rPr>
        <w:t> </w:t>
      </w:r>
      <w:r>
        <w:rPr>
          <w:spacing w:val="-36"/>
        </w:rPr>
      </w:r>
      <w:r>
        <w:rPr>
          <w:spacing w:val="-8"/>
        </w:rPr>
        <w:t>术有限公司、</w:t>
      </w:r>
      <w:r>
        <w:rPr>
          <w:rFonts w:ascii="宋体" w:hAnsi="宋体" w:cs="宋体" w:eastAsia="宋体" w:hint="default"/>
          <w:spacing w:val="-8"/>
        </w:rPr>
        <w:t>Mapbar</w:t>
      </w:r>
      <w:r>
        <w:rPr>
          <w:rFonts w:ascii="宋体" w:hAnsi="宋体" w:cs="宋体" w:eastAsia="宋体" w:hint="default"/>
          <w:spacing w:val="-42"/>
        </w:rPr>
        <w:t> </w:t>
      </w:r>
      <w:r>
        <w:rPr>
          <w:rFonts w:ascii="宋体" w:hAnsi="宋体" w:cs="宋体" w:eastAsia="宋体" w:hint="default"/>
        </w:rPr>
        <w:t>Technology</w:t>
      </w:r>
      <w:r>
        <w:rPr>
          <w:rFonts w:ascii="宋体" w:hAnsi="宋体" w:cs="宋体" w:eastAsia="宋体" w:hint="default"/>
          <w:spacing w:val="-46"/>
        </w:rPr>
        <w:t> </w:t>
      </w:r>
      <w:r>
        <w:rPr>
          <w:rFonts w:ascii="宋体" w:hAnsi="宋体" w:cs="宋体" w:eastAsia="宋体" w:hint="default"/>
          <w:spacing w:val="-6"/>
        </w:rPr>
        <w:t>Limited</w:t>
      </w:r>
      <w:r>
        <w:rPr>
          <w:spacing w:val="-6"/>
        </w:rPr>
        <w:t>、北京图迅丰达信息技术有限公司、</w:t>
      </w:r>
      <w:r>
        <w:rPr>
          <w:rFonts w:ascii="宋体" w:hAnsi="宋体" w:cs="宋体" w:eastAsia="宋体" w:hint="default"/>
          <w:spacing w:val="-6"/>
        </w:rPr>
        <w:t>Cooperatieve</w:t>
      </w:r>
      <w:r>
        <w:rPr>
          <w:rFonts w:ascii="宋体" w:hAnsi="宋体" w:cs="宋体" w:eastAsia="宋体" w:hint="default"/>
          <w:spacing w:val="-42"/>
        </w:rPr>
        <w:t> </w:t>
      </w:r>
      <w:r>
        <w:rPr>
          <w:rFonts w:ascii="宋体" w:hAnsi="宋体" w:cs="宋体" w:eastAsia="宋体" w:hint="default"/>
        </w:rPr>
        <w:t>NavInfo</w:t>
      </w:r>
      <w:r>
        <w:rPr>
          <w:rFonts w:ascii="宋体" w:hAnsi="宋体" w:cs="宋体" w:eastAsia="宋体" w:hint="default"/>
          <w:spacing w:val="-46"/>
        </w:rPr>
        <w:t> </w:t>
      </w:r>
      <w:r>
        <w:rPr>
          <w:rFonts w:ascii="宋体" w:hAnsi="宋体" w:cs="宋体" w:eastAsia="宋体" w:hint="default"/>
        </w:rPr>
        <w:t>U.A.</w:t>
      </w:r>
      <w:r>
        <w:rPr/>
        <w:t>、</w:t>
      </w:r>
      <w:r>
        <w:rPr>
          <w:spacing w:val="-80"/>
        </w:rPr>
        <w:t> </w:t>
      </w:r>
      <w:r>
        <w:rPr/>
        <w:t>禾多科技</w:t>
      </w:r>
      <w:r>
        <w:rPr>
          <w:rFonts w:ascii="宋体" w:hAnsi="宋体" w:cs="宋体" w:eastAsia="宋体" w:hint="default"/>
        </w:rPr>
        <w:t>(</w:t>
      </w:r>
      <w:r>
        <w:rPr/>
        <w:t>北京</w:t>
      </w:r>
      <w:r>
        <w:rPr>
          <w:rFonts w:ascii="宋体" w:hAnsi="宋体" w:cs="宋体" w:eastAsia="宋体" w:hint="default"/>
        </w:rPr>
        <w:t>)</w:t>
      </w:r>
      <w:r>
        <w:rPr/>
        <w:t>有限公司董事。</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李想先生，中国国籍，无境外居留权，</w:t>
      </w:r>
      <w:r>
        <w:rPr>
          <w:rFonts w:ascii="宋体" w:hAnsi="宋体" w:cs="宋体" w:eastAsia="宋体" w:hint="default"/>
          <w:spacing w:val="-2"/>
        </w:rPr>
        <w:t>1981</w:t>
      </w:r>
      <w:r>
        <w:rPr>
          <w:spacing w:val="-2"/>
        </w:rPr>
        <w:t>年</w:t>
      </w:r>
      <w:r>
        <w:rPr>
          <w:rFonts w:ascii="宋体" w:hAnsi="宋体" w:cs="宋体" w:eastAsia="宋体" w:hint="default"/>
          <w:spacing w:val="-2"/>
        </w:rPr>
        <w:t>10</w:t>
      </w:r>
      <w:r>
        <w:rPr>
          <w:spacing w:val="-2"/>
        </w:rPr>
        <w:t>月出生。曾任北京泡泡信息技术有限公司总经理、北</w:t>
      </w:r>
      <w:r>
        <w:rPr>
          <w:w w:val="100"/>
        </w:rPr>
        <w:t> </w:t>
      </w:r>
      <w:r>
        <w:rPr>
          <w:spacing w:val="-2"/>
        </w:rPr>
        <w:t>京车之家信息技术有限公司总经理。具有</w:t>
      </w:r>
      <w:r>
        <w:rPr>
          <w:rFonts w:ascii="宋体" w:hAnsi="宋体" w:cs="宋体" w:eastAsia="宋体" w:hint="default"/>
          <w:spacing w:val="-2"/>
        </w:rPr>
        <w:t>18</w:t>
      </w:r>
      <w:r>
        <w:rPr>
          <w:spacing w:val="-2"/>
        </w:rPr>
        <w:t>年的互联网行业经验，曾带领团队从</w:t>
      </w:r>
      <w:r>
        <w:rPr>
          <w:rFonts w:ascii="宋体" w:hAnsi="宋体" w:cs="宋体" w:eastAsia="宋体" w:hint="default"/>
          <w:spacing w:val="-2"/>
        </w:rPr>
        <w:t>IT</w:t>
      </w:r>
      <w:r>
        <w:rPr>
          <w:spacing w:val="-2"/>
        </w:rPr>
        <w:t>产品向汽车业扩张，创</w:t>
      </w:r>
      <w:r>
        <w:rPr>
          <w:spacing w:val="-41"/>
        </w:rPr>
        <w:t> </w:t>
      </w:r>
      <w:r>
        <w:rPr>
          <w:spacing w:val="-41"/>
        </w:rPr>
      </w:r>
      <w:r>
        <w:rPr>
          <w:spacing w:val="-2"/>
        </w:rPr>
        <w:t>建汽车之家网站，目前汽车之家已成长为全球访问量最大的汽车网站。现任公司独立董事，北京车和家信</w:t>
      </w:r>
      <w:r>
        <w:rPr>
          <w:spacing w:val="-44"/>
        </w:rPr>
        <w:t> </w:t>
      </w:r>
      <w:r>
        <w:rPr>
          <w:spacing w:val="-44"/>
        </w:rPr>
      </w:r>
      <w:r>
        <w:rPr/>
        <w:t>息技术有限公司董事长、总经理，上海蔚来汽车有限公司董事。</w:t>
      </w:r>
      <w:r>
        <w:rPr>
          <w:rFonts w:ascii="宋体" w:hAnsi="宋体" w:cs="宋体" w:eastAsia="宋体" w:hint="default"/>
        </w:rPr>
        <w:t> </w:t>
      </w:r>
    </w:p>
    <w:p>
      <w:pPr>
        <w:pStyle w:val="Heading6"/>
        <w:spacing w:line="408" w:lineRule="auto"/>
        <w:ind w:right="206"/>
        <w:jc w:val="both"/>
      </w:pPr>
      <w:r>
        <w:rPr/>
        <w:t>任光明先生，中国国籍，无境外居留权，</w:t>
      </w:r>
      <w:r>
        <w:rPr>
          <w:rFonts w:ascii="宋体" w:hAnsi="宋体" w:cs="宋体" w:eastAsia="宋体" w:hint="default"/>
        </w:rPr>
        <w:t>1964</w:t>
      </w:r>
      <w:r>
        <w:rPr/>
        <w:t>年</w:t>
      </w:r>
      <w:r>
        <w:rPr>
          <w:rFonts w:ascii="宋体" w:hAnsi="宋体" w:cs="宋体" w:eastAsia="宋体" w:hint="default"/>
        </w:rPr>
        <w:t>6</w:t>
      </w:r>
      <w:r>
        <w:rPr/>
        <w:t>月生，南开大学国际经济及世界历史双学位学士，</w:t>
      </w:r>
      <w:r>
        <w:rPr>
          <w:w w:val="100"/>
        </w:rPr>
        <w:t> </w:t>
      </w:r>
      <w:r>
        <w:rPr/>
        <w:t>北京大学国际</w:t>
      </w:r>
      <w:r>
        <w:rPr>
          <w:rFonts w:ascii="宋体" w:hAnsi="宋体" w:cs="宋体" w:eastAsia="宋体" w:hint="default"/>
        </w:rPr>
        <w:t>MBA</w:t>
      </w:r>
      <w:r>
        <w:rPr/>
        <w:t>。</w:t>
      </w:r>
      <w:r>
        <w:rPr>
          <w:rFonts w:ascii="宋体" w:hAnsi="宋体" w:cs="宋体" w:eastAsia="宋体" w:hint="default"/>
        </w:rPr>
        <w:t>1987</w:t>
      </w:r>
      <w:r>
        <w:rPr/>
        <w:t>年至</w:t>
      </w:r>
      <w:r>
        <w:rPr>
          <w:rFonts w:ascii="宋体" w:hAnsi="宋体" w:cs="宋体" w:eastAsia="宋体" w:hint="default"/>
        </w:rPr>
        <w:t>2000</w:t>
      </w:r>
      <w:r>
        <w:rPr/>
        <w:t>年任职于国务院港澳事务办公室、中英联合联络小组中方代表处，先后</w:t>
      </w:r>
      <w:r>
        <w:rPr>
          <w:spacing w:val="-28"/>
        </w:rPr>
        <w:t> </w:t>
      </w:r>
      <w:r>
        <w:rPr>
          <w:spacing w:val="-28"/>
        </w:rPr>
      </w:r>
      <w:r>
        <w:rPr>
          <w:spacing w:val="-2"/>
        </w:rPr>
        <w:t>在港澳办研究所和港澳办经济司从事涉港经济、金融事务，参与筹备澳门回归事宜；</w:t>
      </w:r>
      <w:r>
        <w:rPr>
          <w:rFonts w:ascii="宋体" w:hAnsi="宋体" w:cs="宋体" w:eastAsia="宋体" w:hint="default"/>
          <w:spacing w:val="-2"/>
        </w:rPr>
        <w:t>2000</w:t>
      </w:r>
      <w:r>
        <w:rPr>
          <w:spacing w:val="-2"/>
        </w:rPr>
        <w:t>年至</w:t>
      </w:r>
      <w:r>
        <w:rPr>
          <w:rFonts w:ascii="宋体" w:hAnsi="宋体" w:cs="宋体" w:eastAsia="宋体" w:hint="default"/>
          <w:spacing w:val="-2"/>
        </w:rPr>
        <w:t>2001</w:t>
      </w:r>
      <w:r>
        <w:rPr>
          <w:spacing w:val="-2"/>
        </w:rPr>
        <w:t>年，任</w:t>
      </w:r>
      <w:r>
        <w:rPr>
          <w:spacing w:val="-38"/>
        </w:rPr>
        <w:t> </w:t>
      </w:r>
      <w:r>
        <w:rPr>
          <w:spacing w:val="-38"/>
        </w:rPr>
      </w:r>
      <w:r>
        <w:rPr>
          <w:spacing w:val="-2"/>
        </w:rPr>
        <w:t>职于香港电讯盈科北京公司；</w:t>
      </w:r>
      <w:r>
        <w:rPr>
          <w:rFonts w:ascii="宋体" w:hAnsi="宋体" w:cs="宋体" w:eastAsia="宋体" w:hint="default"/>
          <w:spacing w:val="-2"/>
        </w:rPr>
        <w:t>2001</w:t>
      </w:r>
      <w:r>
        <w:rPr>
          <w:spacing w:val="-2"/>
        </w:rPr>
        <w:t>年</w:t>
      </w:r>
      <w:r>
        <w:rPr>
          <w:rFonts w:ascii="宋体" w:hAnsi="宋体" w:cs="宋体" w:eastAsia="宋体" w:hint="default"/>
          <w:spacing w:val="-2"/>
        </w:rPr>
        <w:t>8</w:t>
      </w:r>
      <w:r>
        <w:rPr>
          <w:spacing w:val="-2"/>
        </w:rPr>
        <w:t>月至</w:t>
      </w:r>
      <w:r>
        <w:rPr>
          <w:rFonts w:ascii="宋体" w:hAnsi="宋体" w:cs="宋体" w:eastAsia="宋体" w:hint="default"/>
          <w:spacing w:val="-2"/>
        </w:rPr>
        <w:t>2012</w:t>
      </w:r>
      <w:r>
        <w:rPr>
          <w:spacing w:val="-2"/>
        </w:rPr>
        <w:t>年</w:t>
      </w:r>
      <w:r>
        <w:rPr>
          <w:rFonts w:ascii="宋体" w:hAnsi="宋体" w:cs="宋体" w:eastAsia="宋体" w:hint="default"/>
          <w:spacing w:val="-2"/>
        </w:rPr>
        <w:t>4</w:t>
      </w:r>
      <w:r>
        <w:rPr>
          <w:spacing w:val="-2"/>
        </w:rPr>
        <w:t>月，于香港交易所北京代表处任首席代表。现任公司独</w:t>
      </w:r>
    </w:p>
    <w:p>
      <w:pPr>
        <w:spacing w:after="0" w:line="408" w:lineRule="auto"/>
        <w:jc w:val="both"/>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left="573" w:right="0" w:hanging="421"/>
        <w:jc w:val="left"/>
      </w:pPr>
      <w:r>
        <w:rPr>
          <w:spacing w:val="-2"/>
          <w:w w:val="100"/>
        </w:rPr>
        <w:t>立董事，北京星轨科技有限公司董事长，北京荣之联科技股份有限公司、碧生源控股有限公司独立董事。</w:t>
      </w:r>
      <w:r>
        <w:rPr>
          <w:spacing w:val="-95"/>
          <w:w w:val="100"/>
        </w:rPr>
        <w:t> </w:t>
      </w:r>
      <w:r>
        <w:rPr>
          <w:rFonts w:ascii="宋体" w:hAnsi="宋体" w:cs="宋体" w:eastAsia="宋体" w:hint="default"/>
          <w:spacing w:val="-95"/>
          <w:w w:val="100"/>
        </w:rPr>
      </w:r>
      <w:r>
        <w:rPr/>
        <w:t>吴艾今女士，中国国籍，无境外居留权，</w:t>
      </w:r>
      <w:r>
        <w:rPr>
          <w:rFonts w:ascii="宋体" w:hAnsi="宋体" w:cs="宋体" w:eastAsia="宋体" w:hint="default"/>
        </w:rPr>
        <w:t>1970</w:t>
      </w:r>
      <w:r>
        <w:rPr/>
        <w:t>年出生，北大光华管理学院工商管理硕士（</w:t>
      </w:r>
      <w:r>
        <w:rPr>
          <w:rFonts w:ascii="宋体" w:hAnsi="宋体" w:cs="宋体" w:eastAsia="宋体" w:hint="default"/>
        </w:rPr>
        <w:t>MBA</w:t>
      </w:r>
      <w:r>
        <w:rPr/>
        <w:t>），中</w:t>
      </w:r>
    </w:p>
    <w:p>
      <w:pPr>
        <w:pStyle w:val="Heading6"/>
        <w:spacing w:line="408" w:lineRule="auto"/>
        <w:ind w:right="0" w:firstLine="0"/>
        <w:jc w:val="left"/>
        <w:rPr>
          <w:rFonts w:ascii="宋体" w:hAnsi="宋体" w:cs="宋体" w:eastAsia="宋体" w:hint="default"/>
        </w:rPr>
      </w:pPr>
      <w:r>
        <w:rPr>
          <w:spacing w:val="-7"/>
        </w:rPr>
        <w:t>国注册会计师、国际注册咨询师。曾任中天会计师事务所审计部项目经理，信永中和会计师事务所合伙人。</w:t>
      </w:r>
      <w:r>
        <w:rPr>
          <w:spacing w:val="-17"/>
        </w:rPr>
        <w:t> </w:t>
      </w:r>
      <w:r>
        <w:rPr>
          <w:spacing w:val="-17"/>
        </w:rPr>
      </w:r>
      <w:r>
        <w:rPr/>
        <w:t>现任公司独立董事，北京天润坤泽财务管理咨询公司总经理、合伙人。</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t>湛炜标先生，中国国籍，无境外居留权，</w:t>
      </w:r>
      <w:r>
        <w:rPr>
          <w:rFonts w:ascii="宋体" w:hAnsi="宋体" w:cs="宋体" w:eastAsia="宋体" w:hint="default"/>
        </w:rPr>
        <w:t>1973</w:t>
      </w:r>
      <w:r>
        <w:rPr/>
        <w:t>年</w:t>
      </w:r>
      <w:r>
        <w:rPr>
          <w:rFonts w:ascii="宋体" w:hAnsi="宋体" w:cs="宋体" w:eastAsia="宋体" w:hint="default"/>
        </w:rPr>
        <w:t>9</w:t>
      </w:r>
      <w:r>
        <w:rPr/>
        <w:t>月出生，硕士学位。曾任金蝶软件（中国）有限公</w:t>
      </w:r>
      <w:r>
        <w:rPr>
          <w:w w:val="100"/>
        </w:rPr>
        <w:t> </w:t>
      </w:r>
      <w:r>
        <w:rPr>
          <w:spacing w:val="-2"/>
        </w:rPr>
        <w:t>司项目经理、微软（中国）有限公司华南区企业服务部经理。于</w:t>
      </w:r>
      <w:r>
        <w:rPr>
          <w:rFonts w:ascii="宋体" w:hAnsi="宋体" w:cs="宋体" w:eastAsia="宋体" w:hint="default"/>
          <w:spacing w:val="-2"/>
        </w:rPr>
        <w:t>2003</w:t>
      </w:r>
      <w:r>
        <w:rPr>
          <w:spacing w:val="-2"/>
        </w:rPr>
        <w:t>年加入腾讯公司。现任公司董事，腾</w:t>
      </w:r>
      <w:r>
        <w:rPr>
          <w:spacing w:val="-40"/>
        </w:rPr>
        <w:t> </w:t>
      </w:r>
      <w:r>
        <w:rPr>
          <w:spacing w:val="-40"/>
        </w:rPr>
      </w:r>
      <w:r>
        <w:rPr>
          <w:spacing w:val="-2"/>
        </w:rPr>
        <w:t>讯投资董事总经理，北京转转精神科技有限责任公司、深圳市泰捷软件技术有限公司、上海益盟软件技术</w:t>
      </w:r>
      <w:r>
        <w:rPr>
          <w:spacing w:val="-43"/>
        </w:rPr>
        <w:t> </w:t>
      </w:r>
      <w:r>
        <w:rPr>
          <w:spacing w:val="-43"/>
        </w:rPr>
      </w:r>
      <w:r>
        <w:rPr>
          <w:spacing w:val="-2"/>
        </w:rPr>
        <w:t>股份有限公司、北京知道创宇信息技术有限公司、深圳市壹信网络科技有限公司、上海灿谷投资管理咨询</w:t>
      </w:r>
      <w:r>
        <w:rPr>
          <w:spacing w:val="-44"/>
        </w:rPr>
        <w:t> </w:t>
      </w:r>
      <w:r>
        <w:rPr>
          <w:spacing w:val="-44"/>
        </w:rPr>
      </w:r>
      <w:r>
        <w:rPr/>
        <w:t>服务有限公司、</w:t>
      </w:r>
      <w:r>
        <w:rPr>
          <w:rFonts w:ascii="宋体" w:hAnsi="宋体" w:cs="宋体" w:eastAsia="宋体" w:hint="default"/>
        </w:rPr>
        <w:t>Cango</w:t>
      </w:r>
      <w:r>
        <w:rPr>
          <w:rFonts w:ascii="宋体" w:hAnsi="宋体" w:cs="宋体" w:eastAsia="宋体" w:hint="default"/>
          <w:spacing w:val="-31"/>
        </w:rPr>
        <w:t> </w:t>
      </w:r>
      <w:r>
        <w:rPr>
          <w:rFonts w:ascii="宋体" w:hAnsi="宋体" w:cs="宋体" w:eastAsia="宋体" w:hint="default"/>
        </w:rPr>
        <w:t>Inc.</w:t>
      </w:r>
      <w:r>
        <w:rPr/>
        <w:t>、深圳微众金融科技集团股份有限公司、广东腾南网络信息科技有限公司、湖</w:t>
      </w:r>
      <w:r>
        <w:rPr>
          <w:w w:val="100"/>
        </w:rPr>
        <w:t> </w:t>
      </w:r>
      <w:r>
        <w:rPr/>
        <w:t>北腾楚网络科技有限责任公司、天津猫眼微影文化传媒有限公司董事。</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钟翔平先生，中国国籍，无境外居留权，</w:t>
      </w:r>
      <w:r>
        <w:rPr>
          <w:rFonts w:ascii="宋体" w:hAnsi="宋体" w:cs="宋体" w:eastAsia="宋体" w:hint="default"/>
          <w:spacing w:val="-2"/>
        </w:rPr>
        <w:t>1976</w:t>
      </w:r>
      <w:r>
        <w:rPr>
          <w:spacing w:val="-2"/>
        </w:rPr>
        <w:t>年出生，南京大学计算机科学与技术系计算机应用技术</w:t>
      </w:r>
      <w:r>
        <w:rPr>
          <w:w w:val="100"/>
        </w:rPr>
        <w:t> </w:t>
      </w:r>
      <w:r>
        <w:rPr/>
        <w:t>专业硕士毕业。</w:t>
      </w:r>
      <w:r>
        <w:rPr>
          <w:rFonts w:ascii="宋体" w:hAnsi="宋体" w:cs="宋体" w:eastAsia="宋体" w:hint="default"/>
        </w:rPr>
        <w:t>2004</w:t>
      </w:r>
      <w:r>
        <w:rPr/>
        <w:t>年</w:t>
      </w:r>
      <w:r>
        <w:rPr>
          <w:rFonts w:ascii="宋体" w:hAnsi="宋体" w:cs="宋体" w:eastAsia="宋体" w:hint="default"/>
        </w:rPr>
        <w:t>7</w:t>
      </w:r>
      <w:r>
        <w:rPr/>
        <w:t>月加盟腾讯，牵头启动浏览器项目，孵化手机</w:t>
      </w:r>
      <w:r>
        <w:rPr>
          <w:rFonts w:ascii="宋体" w:hAnsi="宋体" w:cs="宋体" w:eastAsia="宋体" w:hint="default"/>
        </w:rPr>
        <w:t>QQ</w:t>
      </w:r>
      <w:r>
        <w:rPr/>
        <w:t>浏览器的基础版本，并带领团队</w:t>
      </w:r>
      <w:r>
        <w:rPr>
          <w:spacing w:val="-26"/>
        </w:rPr>
        <w:t> </w:t>
      </w:r>
      <w:r>
        <w:rPr>
          <w:spacing w:val="-26"/>
        </w:rPr>
      </w:r>
      <w:r>
        <w:rPr/>
        <w:t>将手机</w:t>
      </w:r>
      <w:r>
        <w:rPr>
          <w:rFonts w:ascii="宋体" w:hAnsi="宋体" w:cs="宋体" w:eastAsia="宋体" w:hint="default"/>
        </w:rPr>
        <w:t>QQ</w:t>
      </w:r>
      <w:r>
        <w:rPr/>
        <w:t>浏览器从起初的市场追随者做到行业第一。</w:t>
      </w:r>
      <w:r>
        <w:rPr>
          <w:rFonts w:ascii="宋体" w:hAnsi="宋体" w:cs="宋体" w:eastAsia="宋体" w:hint="default"/>
        </w:rPr>
        <w:t>2015</w:t>
      </w:r>
      <w:r>
        <w:rPr/>
        <w:t>年任腾讯公司副总裁，主要承担地图、浏览器、</w:t>
      </w:r>
      <w:r>
        <w:rPr>
          <w:spacing w:val="-26"/>
        </w:rPr>
        <w:t> </w:t>
      </w:r>
      <w:r>
        <w:rPr>
          <w:spacing w:val="-26"/>
        </w:rPr>
      </w:r>
      <w:r>
        <w:rPr>
          <w:spacing w:val="-2"/>
        </w:rPr>
        <w:t>智能平台等基础流量平台产品的全链条管理工作，带领团队规模超过</w:t>
      </w:r>
      <w:r>
        <w:rPr>
          <w:rFonts w:ascii="宋体" w:hAnsi="宋体" w:cs="宋体" w:eastAsia="宋体" w:hint="default"/>
          <w:spacing w:val="-2"/>
        </w:rPr>
        <w:t>1000</w:t>
      </w:r>
      <w:r>
        <w:rPr>
          <w:spacing w:val="-2"/>
        </w:rPr>
        <w:t>人。拥有超过</w:t>
      </w:r>
      <w:r>
        <w:rPr>
          <w:rFonts w:ascii="宋体" w:hAnsi="宋体" w:cs="宋体" w:eastAsia="宋体" w:hint="default"/>
          <w:spacing w:val="-2"/>
        </w:rPr>
        <w:t>15</w:t>
      </w:r>
      <w:r>
        <w:rPr>
          <w:spacing w:val="-2"/>
        </w:rPr>
        <w:t>年的互联网从业</w:t>
      </w:r>
      <w:r>
        <w:rPr>
          <w:spacing w:val="-39"/>
        </w:rPr>
        <w:t> </w:t>
      </w:r>
      <w:r>
        <w:rPr>
          <w:spacing w:val="-39"/>
        </w:rPr>
      </w:r>
      <w:r>
        <w:rPr>
          <w:spacing w:val="-2"/>
        </w:rPr>
        <w:t>经验，对互联网产品、技术、商业了解比较充分，也是腾讯公司最早的一批</w:t>
      </w:r>
      <w:r>
        <w:rPr>
          <w:rFonts w:ascii="宋体" w:hAnsi="宋体" w:cs="宋体" w:eastAsia="宋体" w:hint="default"/>
          <w:spacing w:val="-2"/>
        </w:rPr>
        <w:t>T4</w:t>
      </w:r>
      <w:r>
        <w:rPr>
          <w:spacing w:val="-2"/>
        </w:rPr>
        <w:t>专家。现任公司董事，腾讯</w:t>
      </w:r>
      <w:r>
        <w:rPr>
          <w:spacing w:val="-42"/>
        </w:rPr>
        <w:t> </w:t>
      </w:r>
      <w:r>
        <w:rPr>
          <w:spacing w:val="-42"/>
        </w:rPr>
      </w:r>
      <w:r>
        <w:rPr/>
        <w:t>公司副总裁，</w:t>
      </w:r>
      <w:r>
        <w:rPr>
          <w:rFonts w:ascii="宋体" w:hAnsi="宋体" w:cs="宋体" w:eastAsia="宋体" w:hint="default"/>
        </w:rPr>
        <w:t>NIO</w:t>
      </w:r>
      <w:r>
        <w:rPr>
          <w:rFonts w:ascii="宋体" w:hAnsi="宋体" w:cs="宋体" w:eastAsia="宋体" w:hint="default"/>
          <w:spacing w:val="-5"/>
        </w:rPr>
        <w:t> </w:t>
      </w:r>
      <w:r>
        <w:rPr>
          <w:rFonts w:ascii="宋体" w:hAnsi="宋体" w:cs="宋体" w:eastAsia="宋体" w:hint="default"/>
        </w:rPr>
        <w:t>Inc.</w:t>
      </w:r>
      <w:r>
        <w:rPr/>
        <w:t>董事。</w:t>
      </w:r>
      <w:r>
        <w:rPr>
          <w:rFonts w:ascii="宋体" w:hAnsi="宋体" w:cs="宋体" w:eastAsia="宋体" w:hint="default"/>
        </w:rPr>
        <w:t> </w:t>
      </w:r>
    </w:p>
    <w:p>
      <w:pPr>
        <w:pStyle w:val="Heading6"/>
        <w:spacing w:line="408" w:lineRule="auto"/>
        <w:ind w:right="208"/>
        <w:jc w:val="both"/>
        <w:rPr>
          <w:rFonts w:ascii="宋体" w:hAnsi="宋体" w:cs="宋体" w:eastAsia="宋体" w:hint="default"/>
        </w:rPr>
      </w:pPr>
      <w:r>
        <w:rPr/>
        <w:t>郑永进先生，中国国籍，无外居留权，</w:t>
      </w:r>
      <w:r>
        <w:rPr>
          <w:rFonts w:ascii="宋体" w:hAnsi="宋体" w:cs="宋体" w:eastAsia="宋体" w:hint="default"/>
        </w:rPr>
        <w:t>1970</w:t>
      </w:r>
      <w:r>
        <w:rPr/>
        <w:t>年</w:t>
      </w:r>
      <w:r>
        <w:rPr>
          <w:rFonts w:ascii="宋体" w:hAnsi="宋体" w:cs="宋体" w:eastAsia="宋体" w:hint="default"/>
        </w:rPr>
        <w:t>4</w:t>
      </w:r>
      <w:r>
        <w:rPr/>
        <w:t>月出生，高级会计师，</w:t>
      </w:r>
      <w:r>
        <w:rPr>
          <w:rFonts w:ascii="宋体" w:hAnsi="宋体" w:cs="宋体" w:eastAsia="宋体" w:hint="default"/>
        </w:rPr>
        <w:t>EMBA</w:t>
      </w:r>
      <w:r>
        <w:rPr/>
        <w:t>。曾任中国航天科技集团</w:t>
      </w:r>
      <w:r>
        <w:rPr>
          <w:w w:val="100"/>
        </w:rPr>
        <w:t> </w:t>
      </w:r>
      <w:r>
        <w:rPr>
          <w:spacing w:val="-2"/>
        </w:rPr>
        <w:t>公司经营投资部处长、中国四维测绘技术有限公司副总经理、财务总监。现任公司董事，中国四维测绘技</w:t>
      </w:r>
      <w:r>
        <w:rPr>
          <w:spacing w:val="-47"/>
        </w:rPr>
        <w:t> </w:t>
      </w:r>
      <w:r>
        <w:rPr>
          <w:spacing w:val="-47"/>
        </w:rPr>
      </w:r>
      <w:r>
        <w:rPr/>
        <w:t>术有限公司财务总监，北京四维天和科技有限公司董事长、包头四维智慧城市科技有限公司董事长。</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Heading6"/>
        <w:spacing w:line="408" w:lineRule="auto" w:before="0"/>
        <w:ind w:left="573" w:right="0" w:firstLine="0"/>
        <w:jc w:val="left"/>
      </w:pPr>
      <w:r>
        <w:rPr/>
        <w:t>（</w:t>
      </w:r>
      <w:r>
        <w:rPr>
          <w:rFonts w:ascii="宋体" w:hAnsi="宋体" w:cs="宋体" w:eastAsia="宋体" w:hint="default"/>
        </w:rPr>
        <w:t>2</w:t>
      </w:r>
      <w:r>
        <w:rPr/>
        <w:t>）公司监事任职情况</w:t>
      </w:r>
      <w:r>
        <w:rPr>
          <w:rFonts w:ascii="宋体" w:hAnsi="宋体" w:cs="宋体" w:eastAsia="宋体" w:hint="default"/>
          <w:w w:val="100"/>
        </w:rPr>
        <w:t> </w:t>
      </w:r>
      <w:r>
        <w:rPr/>
        <w:t>徐晋晖先生，中国国籍，无境外居留权，</w:t>
      </w:r>
      <w:r>
        <w:rPr>
          <w:rFonts w:ascii="宋体" w:hAnsi="宋体" w:cs="宋体" w:eastAsia="宋体" w:hint="default"/>
        </w:rPr>
        <w:t>1966</w:t>
      </w:r>
      <w:r>
        <w:rPr/>
        <w:t>年</w:t>
      </w:r>
      <w:r>
        <w:rPr>
          <w:rFonts w:ascii="宋体" w:hAnsi="宋体" w:cs="宋体" w:eastAsia="宋体" w:hint="default"/>
        </w:rPr>
        <w:t>4</w:t>
      </w:r>
      <w:r>
        <w:rPr/>
        <w:t>月出生，博士，研究员。曾任烟台大学教师，中讯</w:t>
      </w:r>
    </w:p>
    <w:p>
      <w:pPr>
        <w:pStyle w:val="Heading6"/>
        <w:spacing w:line="410" w:lineRule="auto"/>
        <w:ind w:right="0" w:firstLine="0"/>
        <w:jc w:val="left"/>
        <w:rPr>
          <w:rFonts w:ascii="宋体" w:hAnsi="宋体" w:cs="宋体" w:eastAsia="宋体" w:hint="default"/>
        </w:rPr>
      </w:pPr>
      <w:r>
        <w:rPr>
          <w:spacing w:val="-2"/>
        </w:rPr>
        <w:t>通信发展有限公司技术经理，北京四维图新科技股份有限公司研发部副经理、经理、技术中心副总监、地</w:t>
      </w:r>
      <w:r>
        <w:rPr>
          <w:spacing w:val="-44"/>
        </w:rPr>
        <w:t> </w:t>
      </w:r>
      <w:r>
        <w:rPr>
          <w:spacing w:val="-44"/>
        </w:rPr>
      </w:r>
      <w:r>
        <w:rPr/>
        <w:t>图中心总监、工程技术中心主任。现任公司监事会主席，中科劲点（北京）科技有限公司董事。</w:t>
      </w:r>
      <w:r>
        <w:rPr>
          <w:rFonts w:ascii="宋体" w:hAnsi="宋体" w:cs="宋体" w:eastAsia="宋体" w:hint="default"/>
        </w:rPr>
        <w:t> </w:t>
      </w:r>
    </w:p>
    <w:p>
      <w:pPr>
        <w:pStyle w:val="Heading6"/>
        <w:spacing w:line="408" w:lineRule="auto" w:before="44"/>
        <w:ind w:right="206"/>
        <w:jc w:val="both"/>
        <w:rPr>
          <w:rFonts w:ascii="宋体" w:hAnsi="宋体" w:cs="宋体" w:eastAsia="宋体" w:hint="default"/>
        </w:rPr>
      </w:pPr>
      <w:r>
        <w:rPr>
          <w:spacing w:val="-7"/>
        </w:rPr>
        <w:t>刘铮先生，中国国籍，无境外居留权，</w:t>
      </w:r>
      <w:r>
        <w:rPr>
          <w:rFonts w:ascii="宋体" w:hAnsi="宋体" w:cs="宋体" w:eastAsia="宋体" w:hint="default"/>
          <w:spacing w:val="-7"/>
        </w:rPr>
        <w:t>1973</w:t>
      </w:r>
      <w:r>
        <w:rPr>
          <w:spacing w:val="-7"/>
        </w:rPr>
        <w:t>年</w:t>
      </w:r>
      <w:r>
        <w:rPr>
          <w:rFonts w:ascii="宋体" w:hAnsi="宋体" w:cs="宋体" w:eastAsia="宋体" w:hint="default"/>
          <w:spacing w:val="-7"/>
        </w:rPr>
        <w:t>12</w:t>
      </w:r>
      <w:r>
        <w:rPr>
          <w:spacing w:val="-7"/>
        </w:rPr>
        <w:t>月出生，工商管理硕士、管理心理学在职博士研究生，</w:t>
      </w:r>
      <w:r>
        <w:rPr>
          <w:w w:val="100"/>
        </w:rPr>
        <w:t> </w:t>
      </w:r>
      <w:r>
        <w:rPr>
          <w:spacing w:val="-2"/>
        </w:rPr>
        <w:t>政工师。曾任中国卫星通信集团公司综合部助理、中国卫星通信集团公司总经理办公室秘书、中国四维测</w:t>
      </w:r>
      <w:r>
        <w:rPr>
          <w:spacing w:val="-43"/>
        </w:rPr>
        <w:t> </w:t>
      </w:r>
      <w:r>
        <w:rPr>
          <w:spacing w:val="-43"/>
        </w:rPr>
      </w:r>
      <w:r>
        <w:rPr>
          <w:spacing w:val="-2"/>
        </w:rPr>
        <w:t>绘技术有限公司总经理办公室副主任、中国四维测绘技术有限公司审计监察部副部长、中国四维测绘技术</w:t>
      </w:r>
      <w:r>
        <w:rPr>
          <w:spacing w:val="-43"/>
        </w:rPr>
        <w:t> </w:t>
      </w:r>
      <w:r>
        <w:rPr>
          <w:spacing w:val="-43"/>
        </w:rPr>
      </w:r>
      <w:r>
        <w:rPr>
          <w:spacing w:val="-2"/>
        </w:rPr>
        <w:t>有限公司审计监察部部长、中国四维测绘技术有限公司党群工作（企业文化）部部长。现任公司监事，中</w:t>
      </w:r>
      <w:r>
        <w:rPr>
          <w:spacing w:val="-43"/>
        </w:rPr>
        <w:t> </w:t>
      </w:r>
      <w:r>
        <w:rPr>
          <w:spacing w:val="-43"/>
        </w:rPr>
      </w:r>
      <w:r>
        <w:rPr/>
        <w:t>国四维测绘技术有限公司职工监事、党群工作（企业文化）部部长。</w:t>
      </w:r>
      <w:r>
        <w:rPr>
          <w:rFonts w:ascii="宋体" w:hAnsi="宋体" w:cs="宋体" w:eastAsia="宋体" w:hint="default"/>
        </w:rPr>
        <w:t> </w:t>
      </w:r>
    </w:p>
    <w:p>
      <w:pPr>
        <w:pStyle w:val="Heading6"/>
        <w:spacing w:line="240" w:lineRule="auto"/>
        <w:ind w:left="573" w:right="0" w:firstLine="0"/>
        <w:jc w:val="left"/>
      </w:pPr>
      <w:r>
        <w:rPr/>
        <w:t>张雪娇女士，中国国籍，无境外居留权，</w:t>
      </w:r>
      <w:r>
        <w:rPr>
          <w:rFonts w:ascii="宋体" w:hAnsi="宋体" w:cs="宋体" w:eastAsia="宋体" w:hint="default"/>
        </w:rPr>
        <w:t>1983</w:t>
      </w:r>
      <w:r>
        <w:rPr/>
        <w:t>年</w:t>
      </w:r>
      <w:r>
        <w:rPr>
          <w:rFonts w:ascii="宋体" w:hAnsi="宋体" w:cs="宋体" w:eastAsia="宋体" w:hint="default"/>
        </w:rPr>
        <w:t>12</w:t>
      </w:r>
      <w:r>
        <w:rPr/>
        <w:t>月出生，硕士学位，研究生同等学历，毕业于加拿</w:t>
      </w:r>
    </w:p>
    <w:p>
      <w:pPr>
        <w:spacing w:after="0" w:line="240" w:lineRule="auto"/>
        <w:jc w:val="left"/>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0" w:firstLine="0"/>
        <w:jc w:val="left"/>
        <w:rPr>
          <w:rFonts w:ascii="宋体" w:hAnsi="宋体" w:cs="宋体" w:eastAsia="宋体" w:hint="default"/>
        </w:rPr>
      </w:pPr>
      <w:r>
        <w:rPr/>
        <w:t>大英属哥伦比亚大学。于</w:t>
      </w:r>
      <w:r>
        <w:rPr>
          <w:rFonts w:ascii="宋体" w:hAnsi="宋体" w:cs="宋体" w:eastAsia="宋体" w:hint="default"/>
        </w:rPr>
        <w:t>2014</w:t>
      </w:r>
      <w:r>
        <w:rPr/>
        <w:t>年</w:t>
      </w:r>
      <w:r>
        <w:rPr>
          <w:rFonts w:ascii="宋体" w:hAnsi="宋体" w:cs="宋体" w:eastAsia="宋体" w:hint="default"/>
        </w:rPr>
        <w:t>8</w:t>
      </w:r>
      <w:r>
        <w:rPr/>
        <w:t>月入职北京四维图新科技股份有限公司，担任副总裁助理。现任公司监</w:t>
      </w:r>
      <w:r>
        <w:rPr>
          <w:spacing w:val="-27"/>
        </w:rPr>
        <w:t> </w:t>
      </w:r>
      <w:r>
        <w:rPr>
          <w:spacing w:val="-27"/>
        </w:rPr>
      </w:r>
      <w:r>
        <w:rPr/>
        <w:t>事，总裁助理。</w:t>
      </w:r>
      <w:r>
        <w:rPr>
          <w:rFonts w:ascii="宋体" w:hAnsi="宋体" w:cs="宋体" w:eastAsia="宋体" w:hint="default"/>
        </w:rPr>
        <w:t> </w:t>
      </w:r>
    </w:p>
    <w:p>
      <w:pPr>
        <w:spacing w:line="240" w:lineRule="auto" w:before="6"/>
        <w:rPr>
          <w:rFonts w:ascii="宋体" w:hAnsi="宋体" w:cs="宋体" w:eastAsia="宋体" w:hint="default"/>
          <w:sz w:val="15"/>
          <w:szCs w:val="15"/>
        </w:rPr>
      </w:pPr>
    </w:p>
    <w:p>
      <w:pPr>
        <w:pStyle w:val="Heading6"/>
        <w:spacing w:line="408" w:lineRule="auto" w:before="0"/>
        <w:ind w:left="573" w:right="5514" w:firstLine="0"/>
        <w:jc w:val="left"/>
        <w:rPr>
          <w:rFonts w:ascii="宋体" w:hAnsi="宋体" w:cs="宋体" w:eastAsia="宋体" w:hint="default"/>
        </w:rPr>
      </w:pPr>
      <w:r>
        <w:rPr/>
        <w:t>（</w:t>
      </w:r>
      <w:r>
        <w:rPr>
          <w:rFonts w:ascii="宋体" w:hAnsi="宋体" w:cs="宋体" w:eastAsia="宋体" w:hint="default"/>
        </w:rPr>
        <w:t>3</w:t>
      </w:r>
      <w:r>
        <w:rPr/>
        <w:t>）公司高级管理人员任职情况</w:t>
      </w:r>
      <w:r>
        <w:rPr>
          <w:rFonts w:ascii="宋体" w:hAnsi="宋体" w:cs="宋体" w:eastAsia="宋体" w:hint="default"/>
          <w:w w:val="100"/>
        </w:rPr>
        <w:t> </w:t>
      </w:r>
      <w:r>
        <w:rPr/>
        <w:t>程鹏先生简历同董事简历。</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毕垒先生，中国国籍，无境外居留权，</w:t>
      </w:r>
      <w:r>
        <w:rPr>
          <w:rFonts w:ascii="宋体" w:hAnsi="宋体" w:cs="宋体" w:eastAsia="宋体" w:hint="default"/>
          <w:spacing w:val="-2"/>
        </w:rPr>
        <w:t>1976</w:t>
      </w:r>
      <w:r>
        <w:rPr>
          <w:spacing w:val="-2"/>
        </w:rPr>
        <w:t>年</w:t>
      </w:r>
      <w:r>
        <w:rPr>
          <w:rFonts w:ascii="宋体" w:hAnsi="宋体" w:cs="宋体" w:eastAsia="宋体" w:hint="default"/>
          <w:spacing w:val="-2"/>
        </w:rPr>
        <w:t>11</w:t>
      </w:r>
      <w:r>
        <w:rPr>
          <w:spacing w:val="-2"/>
        </w:rPr>
        <w:t>月出生，本科学历，高级工程师。曾任中国通信广播</w:t>
      </w:r>
      <w:r>
        <w:rPr>
          <w:w w:val="100"/>
        </w:rPr>
        <w:t> </w:t>
      </w:r>
      <w:r>
        <w:rPr>
          <w:spacing w:val="-2"/>
        </w:rPr>
        <w:t>卫星公司卫星业务监测通信工程师，中国卫星通信集团公司市场营销主办、销售主管，中国东方通信卫星</w:t>
      </w:r>
      <w:r>
        <w:rPr>
          <w:spacing w:val="-44"/>
        </w:rPr>
        <w:t> </w:t>
      </w:r>
      <w:r>
        <w:rPr>
          <w:spacing w:val="-44"/>
        </w:rPr>
      </w:r>
      <w:r>
        <w:rPr>
          <w:spacing w:val="-2"/>
        </w:rPr>
        <w:t>有限责任公司市场营销主管，中国直播卫星有限公司高级项目经理，中国四维测绘技术有限公司战略企划</w:t>
      </w:r>
      <w:r>
        <w:rPr>
          <w:spacing w:val="-44"/>
        </w:rPr>
        <w:t> </w:t>
      </w:r>
      <w:r>
        <w:rPr>
          <w:spacing w:val="-44"/>
        </w:rPr>
      </w:r>
      <w:r>
        <w:rPr>
          <w:spacing w:val="-7"/>
        </w:rPr>
        <w:t>部总经理、业务发展部部长。现任公司副总经理，中寰卫星导航通信有限公司董事、总经理，中交宇科（北</w:t>
      </w:r>
      <w:r>
        <w:rPr>
          <w:spacing w:val="-22"/>
        </w:rPr>
        <w:t> </w:t>
      </w:r>
      <w:r>
        <w:rPr>
          <w:spacing w:val="-22"/>
        </w:rPr>
      </w:r>
      <w:r>
        <w:rPr>
          <w:spacing w:val="-2"/>
        </w:rPr>
        <w:t>京）空间信息技术有限公司、长沙市海图科技有限公司董事长，北京蜂云科创信息技术有限公司、北京四</w:t>
      </w:r>
      <w:r>
        <w:rPr>
          <w:spacing w:val="-50"/>
        </w:rPr>
        <w:t> </w:t>
      </w:r>
      <w:r>
        <w:rPr>
          <w:spacing w:val="-50"/>
        </w:rPr>
      </w:r>
      <w:r>
        <w:rPr>
          <w:spacing w:val="-2"/>
        </w:rPr>
        <w:t>维天盛投资管理有限公司、北京图新数聚科技有限公司董事，合肥杰发科技有限公司、上海安吉四维信息</w:t>
      </w:r>
      <w:r>
        <w:rPr>
          <w:spacing w:val="-45"/>
        </w:rPr>
        <w:t> </w:t>
      </w:r>
      <w:r>
        <w:rPr>
          <w:spacing w:val="-45"/>
        </w:rPr>
      </w:r>
      <w:r>
        <w:rPr/>
        <w:t>技术有限公司监事。</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戴东海先生，中国国籍，有境外居留权，</w:t>
      </w:r>
      <w:r>
        <w:rPr>
          <w:rFonts w:ascii="宋体" w:hAnsi="宋体" w:cs="宋体" w:eastAsia="宋体" w:hint="default"/>
        </w:rPr>
        <w:t>1970</w:t>
      </w:r>
      <w:r>
        <w:rPr/>
        <w:t>年</w:t>
      </w:r>
      <w:r>
        <w:rPr>
          <w:rFonts w:ascii="宋体" w:hAnsi="宋体" w:cs="宋体" w:eastAsia="宋体" w:hint="default"/>
        </w:rPr>
        <w:t>8</w:t>
      </w:r>
      <w:r>
        <w:rPr/>
        <w:t>月出生，博士研究生学历。曾任泰维计算机公司技</w:t>
      </w:r>
      <w:r>
        <w:rPr>
          <w:w w:val="100"/>
        </w:rPr>
        <w:t> </w:t>
      </w:r>
      <w:r>
        <w:rPr/>
        <w:t>术总监，北京图为先科技有限公司副总经理。现任公司副总经理，武汉四维图新科技有限公司执行董事，</w:t>
      </w:r>
      <w:r>
        <w:rPr>
          <w:spacing w:val="-24"/>
        </w:rPr>
        <w:t> </w:t>
      </w:r>
      <w:r>
        <w:rPr>
          <w:spacing w:val="-24"/>
        </w:rPr>
      </w:r>
      <w:r>
        <w:rPr>
          <w:spacing w:val="-2"/>
        </w:rPr>
        <w:t>北京世纪高通科技有限公司、北京未来导航科技有限公司董事，北京腾瑞万里科技有限公司、北京图为先</w:t>
      </w:r>
      <w:r>
        <w:rPr>
          <w:spacing w:val="-43"/>
        </w:rPr>
        <w:t> </w:t>
      </w:r>
      <w:r>
        <w:rPr>
          <w:spacing w:val="-43"/>
        </w:rPr>
      </w:r>
      <w:r>
        <w:rPr/>
        <w:t>科技有限公司、北京图吧科技有限公司、北京图新智盛信息技术有限公司监事。</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spacing w:val="-2"/>
        </w:rPr>
        <w:t>景慕寒先生，中国国籍，无境外居留权，</w:t>
      </w:r>
      <w:r>
        <w:rPr>
          <w:rFonts w:ascii="宋体" w:hAnsi="宋体" w:cs="宋体" w:eastAsia="宋体" w:hint="default"/>
          <w:spacing w:val="-2"/>
        </w:rPr>
        <w:t>1973</w:t>
      </w:r>
      <w:r>
        <w:rPr>
          <w:spacing w:val="-2"/>
        </w:rPr>
        <w:t>年</w:t>
      </w:r>
      <w:r>
        <w:rPr>
          <w:rFonts w:ascii="宋体" w:hAnsi="宋体" w:cs="宋体" w:eastAsia="宋体" w:hint="default"/>
          <w:spacing w:val="-2"/>
        </w:rPr>
        <w:t>5</w:t>
      </w:r>
      <w:r>
        <w:rPr>
          <w:spacing w:val="-2"/>
        </w:rPr>
        <w:t>月出生，硕士学历，美国旧金山大学</w:t>
      </w:r>
      <w:r>
        <w:rPr>
          <w:rFonts w:ascii="宋体" w:hAnsi="宋体" w:cs="宋体" w:eastAsia="宋体" w:hint="default"/>
          <w:spacing w:val="-2"/>
        </w:rPr>
        <w:t>MBA</w:t>
      </w:r>
      <w:r>
        <w:rPr>
          <w:spacing w:val="-2"/>
        </w:rPr>
        <w:t>。曾任北京</w:t>
      </w:r>
      <w:r>
        <w:rPr>
          <w:w w:val="100"/>
        </w:rPr>
        <w:t> </w:t>
      </w:r>
      <w:r>
        <w:rPr>
          <w:spacing w:val="-2"/>
        </w:rPr>
        <w:t>爱而信科技发展有限公司总经理，北京图为先科技有限公司总经理。现任公司副总经理，北京腾瑞万里科</w:t>
      </w:r>
      <w:r>
        <w:rPr>
          <w:spacing w:val="-43"/>
        </w:rPr>
        <w:t> </w:t>
      </w:r>
      <w:r>
        <w:rPr>
          <w:spacing w:val="-43"/>
        </w:rPr>
      </w:r>
      <w:r>
        <w:rPr>
          <w:spacing w:val="-2"/>
        </w:rPr>
        <w:t>技有限公司执行董事、总经理，北京图为先科技有限公司、北京图吧科技有限公司董事、总经理，合肥杰</w:t>
      </w:r>
      <w:r>
        <w:rPr>
          <w:spacing w:val="-43"/>
        </w:rPr>
        <w:t> </w:t>
      </w:r>
      <w:r>
        <w:rPr>
          <w:spacing w:val="-43"/>
        </w:rPr>
      </w:r>
      <w:r>
        <w:rPr>
          <w:spacing w:val="4"/>
        </w:rPr>
        <w:t>发科技有限公司、北京世纪高通科技有限公司、北京图新智盛信息技术有限公司、</w:t>
      </w:r>
      <w:r>
        <w:rPr>
          <w:rFonts w:ascii="宋体" w:hAnsi="宋体" w:cs="宋体" w:eastAsia="宋体" w:hint="default"/>
          <w:spacing w:val="4"/>
        </w:rPr>
        <w:t>Mapbar </w:t>
      </w:r>
      <w:r>
        <w:rPr>
          <w:rFonts w:ascii="宋体" w:hAnsi="宋体" w:cs="宋体" w:eastAsia="宋体" w:hint="default"/>
        </w:rPr>
        <w:t>Technology</w:t>
      </w:r>
      <w:r>
        <w:rPr>
          <w:rFonts w:ascii="宋体" w:hAnsi="宋体" w:cs="宋体" w:eastAsia="宋体" w:hint="default"/>
          <w:spacing w:val="-19"/>
        </w:rPr>
        <w:t> </w:t>
      </w:r>
      <w:r>
        <w:rPr>
          <w:rFonts w:ascii="宋体" w:hAnsi="宋体" w:cs="宋体" w:eastAsia="宋体" w:hint="default"/>
        </w:rPr>
        <w:t>Limited</w:t>
      </w:r>
      <w:r>
        <w:rPr/>
        <w:t>、北京车联天下信息技术有限公司董事。</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t>金水祥先生，中国国籍，无境外居留权，</w:t>
      </w:r>
      <w:r>
        <w:rPr>
          <w:rFonts w:ascii="宋体" w:hAnsi="宋体" w:cs="宋体" w:eastAsia="宋体" w:hint="default"/>
        </w:rPr>
        <w:t>1969</w:t>
      </w:r>
      <w:r>
        <w:rPr/>
        <w:t>年</w:t>
      </w:r>
      <w:r>
        <w:rPr>
          <w:rFonts w:ascii="宋体" w:hAnsi="宋体" w:cs="宋体" w:eastAsia="宋体" w:hint="default"/>
        </w:rPr>
        <w:t>5</w:t>
      </w:r>
      <w:r>
        <w:rPr/>
        <w:t>月出生，本科学历。曾任铁道部专业设计院航测处</w:t>
      </w:r>
      <w:r>
        <w:rPr>
          <w:w w:val="100"/>
        </w:rPr>
        <w:t> </w:t>
      </w:r>
      <w:r>
        <w:rPr>
          <w:spacing w:val="-2"/>
        </w:rPr>
        <w:t>业勘测队技术队长、队长、制图科科长、测图科科长，凯普奇软件</w:t>
      </w:r>
      <w:r>
        <w:rPr>
          <w:rFonts w:ascii="宋体" w:hAnsi="宋体" w:cs="宋体" w:eastAsia="宋体" w:hint="default"/>
          <w:spacing w:val="-2"/>
        </w:rPr>
        <w:t>(</w:t>
      </w:r>
      <w:r>
        <w:rPr>
          <w:spacing w:val="-2"/>
        </w:rPr>
        <w:t>北京</w:t>
      </w:r>
      <w:r>
        <w:rPr>
          <w:rFonts w:ascii="宋体" w:hAnsi="宋体" w:cs="宋体" w:eastAsia="宋体" w:hint="default"/>
          <w:spacing w:val="-2"/>
        </w:rPr>
        <w:t>)</w:t>
      </w:r>
      <w:r>
        <w:rPr>
          <w:spacing w:val="-2"/>
        </w:rPr>
        <w:t>有限公司项目经理，北京安彩星</w:t>
      </w:r>
      <w:r>
        <w:rPr>
          <w:spacing w:val="-40"/>
        </w:rPr>
        <w:t> </w:t>
      </w:r>
      <w:r>
        <w:rPr>
          <w:spacing w:val="-40"/>
        </w:rPr>
      </w:r>
      <w:r>
        <w:rPr>
          <w:spacing w:val="-5"/>
        </w:rPr>
        <w:t>通科技股份有限公司</w:t>
      </w:r>
      <w:r>
        <w:rPr>
          <w:rFonts w:ascii="宋体" w:hAnsi="宋体" w:cs="宋体" w:eastAsia="宋体" w:hint="default"/>
          <w:spacing w:val="-5"/>
        </w:rPr>
        <w:t>GIS</w:t>
      </w:r>
      <w:r>
        <w:rPr>
          <w:spacing w:val="-5"/>
        </w:rPr>
        <w:t>系统部分负责人。现任公司副总经理，西安四维图新信息技术有限公司执行董事，</w:t>
      </w:r>
      <w:r>
        <w:rPr>
          <w:spacing w:val="-4"/>
        </w:rPr>
        <w:t> </w:t>
      </w:r>
      <w:r>
        <w:rPr>
          <w:spacing w:val="-4"/>
        </w:rPr>
      </w:r>
      <w:r>
        <w:rPr>
          <w:spacing w:val="-2"/>
        </w:rPr>
        <w:t>中寰卫星导航通信有限公司、中交宇科（北京）空间信息技术有限公司、北京图新经纬导航系统有限公司</w:t>
      </w:r>
      <w:r>
        <w:rPr>
          <w:spacing w:val="-44"/>
        </w:rPr>
        <w:t> </w:t>
      </w:r>
      <w:r>
        <w:rPr>
          <w:spacing w:val="-44"/>
        </w:rPr>
      </w:r>
      <w:r>
        <w:rPr/>
        <w:t>董事。</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梁永杰先生，中国国籍，无境外居留权，</w:t>
      </w:r>
      <w:r>
        <w:rPr>
          <w:rFonts w:ascii="宋体" w:hAnsi="宋体" w:cs="宋体" w:eastAsia="宋体" w:hint="default"/>
          <w:spacing w:val="-2"/>
        </w:rPr>
        <w:t>1977</w:t>
      </w:r>
      <w:r>
        <w:rPr>
          <w:spacing w:val="-2"/>
        </w:rPr>
        <w:t>年</w:t>
      </w:r>
      <w:r>
        <w:rPr>
          <w:rFonts w:ascii="宋体" w:hAnsi="宋体" w:cs="宋体" w:eastAsia="宋体" w:hint="default"/>
          <w:spacing w:val="-2"/>
        </w:rPr>
        <w:t>11</w:t>
      </w:r>
      <w:r>
        <w:rPr>
          <w:spacing w:val="-2"/>
        </w:rPr>
        <w:t>月出生，本科学历。曾任上海纳维信息科技有限公</w:t>
      </w:r>
      <w:r>
        <w:rPr>
          <w:w w:val="100"/>
        </w:rPr>
        <w:t> </w:t>
      </w:r>
      <w:r>
        <w:rPr>
          <w:spacing w:val="-2"/>
        </w:rPr>
        <w:t>司销售总监，上海安吉四维信息技术有限公司总经理、上海趣驾信息科技有限公司总经理。现任本公司副</w:t>
      </w:r>
      <w:r>
        <w:rPr>
          <w:spacing w:val="-43"/>
        </w:rPr>
        <w:t> </w:t>
      </w:r>
      <w:r>
        <w:rPr>
          <w:spacing w:val="-43"/>
        </w:rPr>
      </w:r>
      <w:r>
        <w:rPr/>
        <w:t>总经理，北京世纪高通科技有限公司总经理、董事。</w:t>
      </w:r>
      <w:r>
        <w:rPr>
          <w:rFonts w:ascii="宋体" w:hAnsi="宋体" w:cs="宋体" w:eastAsia="宋体" w:hint="default"/>
          <w:spacing w:val="-3"/>
        </w:rPr>
        <w:t> </w:t>
      </w:r>
      <w:r>
        <w:rPr>
          <w:rFonts w:ascii="宋体" w:hAnsi="宋体" w:cs="宋体" w:eastAsia="宋体" w:hint="default"/>
        </w:rPr>
        <w:t> </w:t>
      </w:r>
    </w:p>
    <w:p>
      <w:pPr>
        <w:pStyle w:val="Heading6"/>
        <w:spacing w:line="240" w:lineRule="auto"/>
        <w:ind w:left="573" w:right="0" w:firstLine="0"/>
        <w:jc w:val="left"/>
      </w:pPr>
      <w:r>
        <w:rPr>
          <w:spacing w:val="-5"/>
        </w:rPr>
        <w:t>孟庆昕女士，中国国籍，无境外居留权，</w:t>
      </w:r>
      <w:r>
        <w:rPr>
          <w:rFonts w:ascii="宋体" w:hAnsi="宋体" w:cs="宋体" w:eastAsia="宋体" w:hint="default"/>
          <w:spacing w:val="-5"/>
        </w:rPr>
        <w:t>1974</w:t>
      </w:r>
      <w:r>
        <w:rPr>
          <w:spacing w:val="-5"/>
        </w:rPr>
        <w:t>年</w:t>
      </w:r>
      <w:r>
        <w:rPr>
          <w:rFonts w:ascii="宋体" w:hAnsi="宋体" w:cs="宋体" w:eastAsia="宋体" w:hint="default"/>
          <w:spacing w:val="-5"/>
        </w:rPr>
        <w:t>4</w:t>
      </w:r>
      <w:r>
        <w:rPr>
          <w:spacing w:val="-5"/>
        </w:rPr>
        <w:t>月出生，硕士，高级经济师。曾任中交宇科（北京）</w:t>
      </w:r>
    </w:p>
    <w:p>
      <w:pPr>
        <w:spacing w:after="0" w:line="240" w:lineRule="auto"/>
        <w:jc w:val="left"/>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0" w:firstLine="0"/>
        <w:jc w:val="left"/>
        <w:rPr>
          <w:rFonts w:ascii="宋体" w:hAnsi="宋体" w:cs="宋体" w:eastAsia="宋体" w:hint="default"/>
        </w:rPr>
      </w:pPr>
      <w:r>
        <w:rPr>
          <w:spacing w:val="-2"/>
        </w:rPr>
        <w:t>空间信息技术有限公司常务副总经理、总经理。现任公司副总经理、董事会秘书，中交宇科（北京）空间</w:t>
      </w:r>
      <w:r>
        <w:rPr>
          <w:spacing w:val="-42"/>
        </w:rPr>
        <w:t> </w:t>
      </w:r>
      <w:r>
        <w:rPr>
          <w:spacing w:val="-42"/>
        </w:rPr>
      </w:r>
      <w:r>
        <w:rPr/>
        <w:t>信息技术有限公司董事、总经理，天地图有限公司副董事长，长沙市海图科技有限公司。</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spacing w:val="-2"/>
        </w:rPr>
        <w:t>宋铁辉先生，中国国籍，拥有澳大利亚居留权，</w:t>
      </w:r>
      <w:r>
        <w:rPr>
          <w:rFonts w:ascii="宋体" w:hAnsi="宋体" w:cs="宋体" w:eastAsia="宋体" w:hint="default"/>
          <w:spacing w:val="-2"/>
        </w:rPr>
        <w:t>1968</w:t>
      </w:r>
      <w:r>
        <w:rPr>
          <w:spacing w:val="-2"/>
        </w:rPr>
        <w:t>年</w:t>
      </w:r>
      <w:r>
        <w:rPr>
          <w:rFonts w:ascii="宋体" w:hAnsi="宋体" w:cs="宋体" w:eastAsia="宋体" w:hint="default"/>
          <w:spacing w:val="-2"/>
        </w:rPr>
        <w:t>11</w:t>
      </w:r>
      <w:r>
        <w:rPr>
          <w:spacing w:val="-2"/>
        </w:rPr>
        <w:t>月出生，本科学历。曾任惠州市德赛西威汽</w:t>
      </w:r>
      <w:r>
        <w:rPr>
          <w:w w:val="100"/>
        </w:rPr>
        <w:t> </w:t>
      </w:r>
      <w:r>
        <w:rPr>
          <w:spacing w:val="-2"/>
        </w:rPr>
        <w:t>车电子有限公司中国大众业务线销售经理和上海区销售经理、业务发展部经理、业务发展总监，大客户管</w:t>
      </w:r>
      <w:r>
        <w:rPr>
          <w:spacing w:val="-44"/>
        </w:rPr>
        <w:t> </w:t>
      </w:r>
      <w:r>
        <w:rPr>
          <w:spacing w:val="-44"/>
        </w:rPr>
      </w:r>
      <w:r>
        <w:rPr>
          <w:spacing w:val="-2"/>
        </w:rPr>
        <w:t>理副总经理。现任公司副总经理，北京图新经纬导航系统有限公司董事、总经理，北京图为先科技有限公</w:t>
      </w:r>
      <w:r>
        <w:rPr>
          <w:spacing w:val="-50"/>
        </w:rPr>
        <w:t> </w:t>
      </w:r>
      <w:r>
        <w:rPr>
          <w:spacing w:val="-50"/>
        </w:rPr>
      </w:r>
      <w:r>
        <w:rPr/>
        <w:t>司、北京图吧科技有限公司、上海趣驾信息科技有限公司、</w:t>
      </w:r>
      <w:r>
        <w:rPr>
          <w:rFonts w:ascii="宋体" w:hAnsi="宋体" w:cs="宋体" w:eastAsia="宋体" w:hint="default"/>
        </w:rPr>
        <w:t>Mapbar</w:t>
      </w:r>
      <w:r>
        <w:rPr>
          <w:rFonts w:ascii="宋体" w:hAnsi="宋体" w:cs="宋体" w:eastAsia="宋体" w:hint="default"/>
          <w:spacing w:val="-67"/>
        </w:rPr>
        <w:t> </w:t>
      </w:r>
      <w:r>
        <w:rPr>
          <w:rFonts w:ascii="宋体" w:hAnsi="宋体" w:cs="宋体" w:eastAsia="宋体" w:hint="default"/>
        </w:rPr>
        <w:t>Technology</w:t>
      </w:r>
      <w:r>
        <w:rPr>
          <w:rFonts w:ascii="宋体" w:hAnsi="宋体" w:cs="宋体" w:eastAsia="宋体" w:hint="default"/>
          <w:spacing w:val="-64"/>
        </w:rPr>
        <w:t> </w:t>
      </w:r>
      <w:r>
        <w:rPr>
          <w:rFonts w:ascii="宋体" w:hAnsi="宋体" w:cs="宋体" w:eastAsia="宋体" w:hint="default"/>
        </w:rPr>
        <w:t>Limited</w:t>
      </w:r>
      <w:r>
        <w:rPr/>
        <w:t>、和骊安（中国）</w:t>
      </w:r>
      <w:r>
        <w:rPr>
          <w:w w:val="100"/>
        </w:rPr>
        <w:t> </w:t>
      </w:r>
      <w:r>
        <w:rPr/>
        <w:t>汽车信息系统有限公司、上海安吉四维信息技术有限公司董事。</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spacing w:val="-2"/>
        </w:rPr>
        <w:t>唐伟先生，中国国籍，无境外居留权，</w:t>
      </w:r>
      <w:r>
        <w:rPr>
          <w:rFonts w:ascii="宋体" w:hAnsi="宋体" w:cs="宋体" w:eastAsia="宋体" w:hint="default"/>
          <w:spacing w:val="-2"/>
        </w:rPr>
        <w:t>1975</w:t>
      </w:r>
      <w:r>
        <w:rPr>
          <w:spacing w:val="-2"/>
        </w:rPr>
        <w:t>年</w:t>
      </w:r>
      <w:r>
        <w:rPr>
          <w:rFonts w:ascii="宋体" w:hAnsi="宋体" w:cs="宋体" w:eastAsia="宋体" w:hint="default"/>
          <w:spacing w:val="-2"/>
        </w:rPr>
        <w:t>12</w:t>
      </w:r>
      <w:r>
        <w:rPr>
          <w:spacing w:val="-2"/>
        </w:rPr>
        <w:t>月出生，硕士研究生学历，注册会计师。曾任中银国</w:t>
      </w:r>
      <w:r>
        <w:rPr>
          <w:w w:val="100"/>
        </w:rPr>
        <w:t> </w:t>
      </w:r>
      <w:r>
        <w:rPr>
          <w:spacing w:val="-2"/>
        </w:rPr>
        <w:t>际证券有限公司投资银行部助理副总裁，中国国际金融有限公司投资银行部副总经理，高盛高华证券有限</w:t>
      </w:r>
      <w:r>
        <w:rPr>
          <w:spacing w:val="-42"/>
        </w:rPr>
        <w:t> </w:t>
      </w:r>
      <w:r>
        <w:rPr>
          <w:spacing w:val="-42"/>
        </w:rPr>
      </w:r>
      <w:r>
        <w:rPr>
          <w:spacing w:val="-7"/>
        </w:rPr>
        <w:t>责任公司投资银行部执行董事，国新国际（中国）投资有限公司投资总监。现任公司副总经理、财务总监，</w:t>
      </w:r>
      <w:r>
        <w:rPr>
          <w:spacing w:val="-18"/>
        </w:rPr>
        <w:t> </w:t>
      </w:r>
      <w:r>
        <w:rPr>
          <w:spacing w:val="-18"/>
        </w:rPr>
      </w:r>
      <w:r>
        <w:rPr>
          <w:spacing w:val="-2"/>
        </w:rPr>
        <w:t>北京四维天盛投资管理有限公司董事长，中交宇科（北京）空间信息技术有限公司、图新投资（香港）科</w:t>
      </w:r>
      <w:r>
        <w:rPr>
          <w:spacing w:val="-41"/>
        </w:rPr>
        <w:t> </w:t>
      </w:r>
      <w:r>
        <w:rPr>
          <w:spacing w:val="-41"/>
        </w:rPr>
      </w:r>
      <w:r>
        <w:rPr/>
        <w:t>技有限公司、SIWAY Coöperatief</w:t>
      </w:r>
      <w:r>
        <w:rPr>
          <w:spacing w:val="-11"/>
        </w:rPr>
        <w:t> </w:t>
      </w:r>
      <w:r>
        <w:rPr/>
        <w:t>U.A.、合肥杰发科技有限公司董事。</w:t>
      </w:r>
      <w:r>
        <w:rPr>
          <w:rFonts w:ascii="宋体" w:hAnsi="宋体" w:cs="宋体" w:eastAsia="宋体" w:hint="default"/>
        </w:rPr>
        <w:t> </w:t>
      </w:r>
    </w:p>
    <w:p>
      <w:pPr>
        <w:pStyle w:val="BodyText"/>
        <w:spacing w:line="240" w:lineRule="auto" w:before="31"/>
        <w:ind w:right="0"/>
        <w:jc w:val="left"/>
      </w:pPr>
      <w:r>
        <w:rPr/>
        <w:t>在股东单位任职情况</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17"/>
        <w:gridCol w:w="2612"/>
        <w:gridCol w:w="1697"/>
        <w:gridCol w:w="1212"/>
        <w:gridCol w:w="1347"/>
        <w:gridCol w:w="1486"/>
      </w:tblGrid>
      <w:tr>
        <w:trPr>
          <w:trHeight w:val="713" w:hRule="exact"/>
        </w:trPr>
        <w:tc>
          <w:tcPr>
            <w:tcW w:w="12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4"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2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60"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6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53" w:right="33" w:hanging="720"/>
              <w:jc w:val="left"/>
              <w:rPr>
                <w:rFonts w:ascii="宋体" w:hAnsi="宋体" w:cs="宋体" w:eastAsia="宋体" w:hint="default"/>
                <w:sz w:val="18"/>
                <w:szCs w:val="18"/>
              </w:rPr>
            </w:pPr>
            <w:r>
              <w:rPr>
                <w:rFonts w:ascii="宋体" w:hAnsi="宋体" w:cs="宋体" w:eastAsia="宋体" w:hint="default"/>
                <w:sz w:val="18"/>
                <w:szCs w:val="18"/>
              </w:rPr>
              <w:t>在股东单位担任的职 务</w:t>
            </w:r>
          </w:p>
        </w:tc>
        <w:tc>
          <w:tcPr>
            <w:tcW w:w="12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2" w:right="0"/>
              <w:jc w:val="left"/>
              <w:rPr>
                <w:rFonts w:ascii="宋体" w:hAnsi="宋体" w:cs="宋体" w:eastAsia="宋体" w:hint="default"/>
                <w:sz w:val="18"/>
                <w:szCs w:val="18"/>
              </w:rPr>
            </w:pPr>
            <w:r>
              <w:rPr>
                <w:rFonts w:ascii="宋体" w:hAnsi="宋体" w:cs="宋体" w:eastAsia="宋体" w:hint="default"/>
                <w:sz w:val="18"/>
                <w:szCs w:val="18"/>
              </w:rPr>
              <w:t>任期起始日期</w:t>
            </w:r>
          </w:p>
        </w:tc>
        <w:tc>
          <w:tcPr>
            <w:tcW w:w="1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4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96" w:right="107" w:hanging="89"/>
              <w:jc w:val="left"/>
              <w:rPr>
                <w:rFonts w:ascii="宋体" w:hAnsi="宋体" w:cs="宋体" w:eastAsia="宋体" w:hint="default"/>
                <w:sz w:val="18"/>
                <w:szCs w:val="18"/>
              </w:rPr>
            </w:pPr>
            <w:r>
              <w:rPr>
                <w:rFonts w:ascii="宋体" w:hAnsi="宋体" w:cs="宋体" w:eastAsia="宋体" w:hint="default"/>
                <w:sz w:val="18"/>
                <w:szCs w:val="18"/>
              </w:rPr>
              <w:t>在股东单位是否 领取报酬津贴</w:t>
            </w:r>
          </w:p>
        </w:tc>
      </w:tr>
      <w:tr>
        <w:trPr>
          <w:trHeight w:val="716"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郑永进</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47"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刘铮</w:t>
            </w:r>
          </w:p>
        </w:tc>
        <w:tc>
          <w:tcPr>
            <w:tcW w:w="26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职工监事、党群工作</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（企业文化）部部长</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347" w:type="dxa"/>
            <w:tcBorders>
              <w:top w:val="single" w:sz="4" w:space="0" w:color="000000"/>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01"/>
              <w:jc w:val="left"/>
              <w:rPr>
                <w:rFonts w:ascii="宋体" w:hAnsi="宋体" w:cs="宋体" w:eastAsia="宋体" w:hint="default"/>
                <w:sz w:val="18"/>
                <w:szCs w:val="18"/>
              </w:rPr>
            </w:pPr>
            <w:r>
              <w:rPr>
                <w:rFonts w:ascii="宋体" w:hAnsi="宋体" w:cs="宋体" w:eastAsia="宋体" w:hint="default"/>
                <w:sz w:val="18"/>
                <w:szCs w:val="18"/>
              </w:rPr>
              <w:t>在股东单位任 职情况的说明</w:t>
            </w:r>
          </w:p>
        </w:tc>
        <w:tc>
          <w:tcPr>
            <w:tcW w:w="8354"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49"/>
        <w:ind w:right="0"/>
        <w:jc w:val="left"/>
      </w:pPr>
      <w:r>
        <w:rPr/>
        <w:t>在其他单位任职情况</w:t>
      </w:r>
    </w:p>
    <w:p>
      <w:pPr>
        <w:pStyle w:val="BodyText"/>
        <w:spacing w:line="240" w:lineRule="auto" w:before="115"/>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234"/>
        <w:gridCol w:w="2737"/>
        <w:gridCol w:w="1632"/>
        <w:gridCol w:w="1229"/>
        <w:gridCol w:w="1393"/>
        <w:gridCol w:w="1344"/>
      </w:tblGrid>
      <w:tr>
        <w:trPr>
          <w:trHeight w:val="716"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2"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2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823"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6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631" w:right="89" w:hanging="540"/>
              <w:jc w:val="left"/>
              <w:rPr>
                <w:rFonts w:ascii="宋体" w:hAnsi="宋体" w:cs="宋体" w:eastAsia="宋体" w:hint="default"/>
                <w:sz w:val="18"/>
                <w:szCs w:val="18"/>
              </w:rPr>
            </w:pPr>
            <w:r>
              <w:rPr>
                <w:rFonts w:ascii="宋体" w:hAnsi="宋体" w:cs="宋体" w:eastAsia="宋体" w:hint="default"/>
                <w:sz w:val="18"/>
                <w:szCs w:val="18"/>
              </w:rPr>
              <w:t>在其他单位担任的 职务</w:t>
            </w:r>
          </w:p>
        </w:tc>
        <w:tc>
          <w:tcPr>
            <w:tcW w:w="12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7" w:right="35" w:hanging="89"/>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吴劲风</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中国航天科技集团公司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总工程师</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物联网技术应用研究院</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理事长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工业和信息化部通信科技委员会</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常委</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孙玉国</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中国地理信息产业协会</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会长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234" w:type="dxa"/>
            <w:vMerge/>
            <w:tcBorders>
              <w:left w:val="single" w:sz="4" w:space="0" w:color="000000"/>
              <w:bottom w:val="nil" w:sz="6" w:space="0" w:color="auto"/>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中国测绘地理信息学会</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常务理事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34"/>
        <w:gridCol w:w="2737"/>
        <w:gridCol w:w="1632"/>
        <w:gridCol w:w="1229"/>
        <w:gridCol w:w="1393"/>
        <w:gridCol w:w="1344"/>
      </w:tblGrid>
      <w:tr>
        <w:trPr>
          <w:trHeight w:val="363" w:hRule="exact"/>
        </w:trPr>
        <w:tc>
          <w:tcPr>
            <w:tcW w:w="1234" w:type="dxa"/>
            <w:vMerge w:val="restart"/>
            <w:tcBorders>
              <w:top w:val="nil" w:sz="6" w:space="0" w:color="auto"/>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北京万兔思睿科技有限公司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程鹏</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月</w:t>
            </w:r>
            <w:r>
              <w:rPr>
                <w:rFonts w:ascii="宋体" w:hAnsi="宋体" w:cs="宋体" w:eastAsia="宋体" w:hint="default"/>
                <w:spacing w:val="-67"/>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禾多科技</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北京万兔思睿科技有限公司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9"/>
              <w:ind w:left="24" w:right="0"/>
              <w:jc w:val="left"/>
              <w:rPr>
                <w:rFonts w:ascii="宋体" w:hAnsi="宋体" w:cs="宋体" w:eastAsia="宋体" w:hint="default"/>
                <w:sz w:val="18"/>
                <w:szCs w:val="18"/>
              </w:rPr>
            </w:pPr>
            <w:r>
              <w:rPr>
                <w:rFonts w:ascii="宋体" w:hAnsi="宋体" w:cs="宋体" w:eastAsia="宋体" w:hint="default"/>
                <w:sz w:val="18"/>
                <w:szCs w:val="18"/>
              </w:rPr>
              <w:t>李想</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北京车和家信息技术有限公司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上海蔚来汽车有限公司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任光明</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北京星轨科技有限公司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北京荣之联科技股份有限公司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碧生源控股有限公司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吴艾今</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北京天润坤泽财务管理咨询公司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总经理、合伙人</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湛炜标</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腾讯公司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6"/>
              <w:jc w:val="left"/>
              <w:rPr>
                <w:rFonts w:ascii="宋体" w:hAnsi="宋体" w:cs="宋体" w:eastAsia="宋体" w:hint="default"/>
                <w:sz w:val="18"/>
                <w:szCs w:val="18"/>
              </w:rPr>
            </w:pPr>
            <w:r>
              <w:rPr>
                <w:rFonts w:ascii="宋体" w:hAnsi="宋体" w:cs="宋体" w:eastAsia="宋体" w:hint="default"/>
                <w:sz w:val="18"/>
                <w:szCs w:val="18"/>
              </w:rPr>
              <w:t>腾讯投资董事总经 理</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北京转转精神科技有限责任公司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深圳市泰捷软件技术有限公司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上海益盟软件技术股份有限公司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北京知道创宇信息技术有限公司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深圳市壹信网络科技有限公司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82"/>
              <w:jc w:val="left"/>
              <w:rPr>
                <w:rFonts w:ascii="宋体" w:hAnsi="宋体" w:cs="宋体" w:eastAsia="宋体" w:hint="default"/>
                <w:sz w:val="18"/>
                <w:szCs w:val="18"/>
              </w:rPr>
            </w:pPr>
            <w:r>
              <w:rPr>
                <w:rFonts w:ascii="宋体" w:hAnsi="宋体" w:cs="宋体" w:eastAsia="宋体" w:hint="default"/>
                <w:sz w:val="18"/>
                <w:szCs w:val="18"/>
              </w:rPr>
              <w:t>上海灿谷投资管理咨询服务有限 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Cango</w:t>
            </w:r>
            <w:r>
              <w:rPr>
                <w:rFonts w:ascii="Times New Roman"/>
                <w:spacing w:val="-1"/>
                <w:sz w:val="18"/>
              </w:rPr>
              <w:t> </w:t>
            </w:r>
            <w:r>
              <w:rPr>
                <w:rFonts w:ascii="Times New Roman"/>
                <w:sz w:val="18"/>
              </w:rPr>
              <w:t>Inc.</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82"/>
              <w:jc w:val="left"/>
              <w:rPr>
                <w:rFonts w:ascii="宋体" w:hAnsi="宋体" w:cs="宋体" w:eastAsia="宋体" w:hint="default"/>
                <w:sz w:val="18"/>
                <w:szCs w:val="18"/>
              </w:rPr>
            </w:pPr>
            <w:r>
              <w:rPr>
                <w:rFonts w:ascii="宋体" w:hAnsi="宋体" w:cs="宋体" w:eastAsia="宋体" w:hint="default"/>
                <w:sz w:val="18"/>
                <w:szCs w:val="18"/>
              </w:rPr>
              <w:t>深圳微众金融科技集团股份有限 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广东腾南网络信息科技有限公司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湖北腾楚网络科技有限责任公司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天津猫眼微影文化传媒有限公司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钟翔平</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腾讯公司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234"/>
        <w:gridCol w:w="2737"/>
        <w:gridCol w:w="1632"/>
        <w:gridCol w:w="1229"/>
        <w:gridCol w:w="1393"/>
        <w:gridCol w:w="1344"/>
      </w:tblGrid>
      <w:tr>
        <w:trPr>
          <w:trHeight w:val="363" w:hRule="exact"/>
        </w:trPr>
        <w:tc>
          <w:tcPr>
            <w:tcW w:w="1234" w:type="dxa"/>
            <w:vMerge w:val="restart"/>
            <w:tcBorders>
              <w:top w:val="single" w:sz="4" w:space="0" w:color="000000"/>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
        </w:tc>
        <w:tc>
          <w:tcPr>
            <w:tcW w:w="1632" w:type="dxa"/>
            <w:tcBorders>
              <w:top w:val="single" w:sz="4" w:space="0" w:color="000000"/>
              <w:left w:val="single" w:sz="4" w:space="0" w:color="000000"/>
              <w:bottom w:val="single" w:sz="4" w:space="0" w:color="000000"/>
              <w:right w:val="single" w:sz="4" w:space="0" w:color="000000"/>
            </w:tcBorders>
          </w:tcPr>
          <w:p>
            <w:pP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NIO</w:t>
            </w:r>
            <w:r>
              <w:rPr>
                <w:rFonts w:ascii="Times New Roman"/>
                <w:spacing w:val="-2"/>
                <w:sz w:val="18"/>
              </w:rPr>
              <w:t> </w:t>
            </w:r>
            <w:r>
              <w:rPr>
                <w:rFonts w:ascii="Times New Roman"/>
                <w:sz w:val="18"/>
              </w:rPr>
              <w:t>Inc.</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24" w:right="0"/>
              <w:jc w:val="left"/>
              <w:rPr>
                <w:rFonts w:ascii="宋体" w:hAnsi="宋体" w:cs="宋体" w:eastAsia="宋体" w:hint="default"/>
                <w:sz w:val="18"/>
                <w:szCs w:val="18"/>
              </w:rPr>
            </w:pPr>
            <w:r>
              <w:rPr>
                <w:rFonts w:ascii="宋体" w:hAnsi="宋体" w:cs="宋体" w:eastAsia="宋体" w:hint="default"/>
                <w:sz w:val="18"/>
                <w:szCs w:val="18"/>
              </w:rPr>
              <w:t>郑永进</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北京四维天和科技有限公司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包头四维智慧城市科技有限公司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22</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徐晋晖</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中科劲点（北京）科技有限公司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毕垒</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北京蜂云科创信息技术有限公司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tcBorders>
              <w:left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北京四维天盛投资管理有限公司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戴东海</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北京未来导航科技有限公司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6"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景慕寒</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北京车联天下信息技术有限公司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孟庆昕</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天地图有限公司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15</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宋铁辉</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24" w:right="0"/>
              <w:jc w:val="left"/>
              <w:rPr>
                <w:rFonts w:ascii="宋体" w:hAnsi="宋体" w:cs="宋体" w:eastAsia="宋体" w:hint="default"/>
                <w:sz w:val="18"/>
                <w:szCs w:val="18"/>
              </w:rPr>
            </w:pPr>
            <w:r>
              <w:rPr>
                <w:rFonts w:ascii="宋体" w:hAnsi="宋体" w:cs="宋体" w:eastAsia="宋体" w:hint="default"/>
                <w:sz w:val="18"/>
                <w:szCs w:val="18"/>
              </w:rPr>
              <w:t>唐伟</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北京四维天盛投资管理有限公司</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234" w:type="dxa"/>
            <w:vMerge/>
            <w:tcBorders>
              <w:left w:val="single" w:sz="4" w:space="0" w:color="000000"/>
              <w:bottom w:val="single" w:sz="4" w:space="0" w:color="000000"/>
              <w:right w:val="single" w:sz="4" w:space="0" w:color="000000"/>
            </w:tcBorders>
          </w:tcPr>
          <w:p>
            <w:pP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spacing w:val="-8"/>
                <w:sz w:val="18"/>
              </w:rPr>
              <w:t>SIWAY </w:t>
            </w:r>
            <w:r>
              <w:rPr>
                <w:rFonts w:ascii="Times New Roman" w:hAnsi="Times New Roman"/>
                <w:sz w:val="18"/>
              </w:rPr>
              <w:t>Coöperatief</w:t>
            </w:r>
            <w:r>
              <w:rPr>
                <w:rFonts w:ascii="Times New Roman" w:hAnsi="Times New Roman"/>
                <w:spacing w:val="-7"/>
                <w:sz w:val="18"/>
              </w:rPr>
              <w:t> </w:t>
            </w:r>
            <w:r>
              <w:rPr>
                <w:rFonts w:ascii="Times New Roman" w:hAnsi="Times New Roman"/>
                <w:sz w:val="18"/>
              </w:rPr>
              <w:t>U.A.</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2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年</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月</w:t>
            </w:r>
            <w:r>
              <w:rPr>
                <w:rFonts w:ascii="宋体" w:hAnsi="宋体" w:cs="宋体" w:eastAsia="宋体" w:hint="default"/>
                <w:spacing w:val="-69"/>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393" w:type="dxa"/>
            <w:tcBorders>
              <w:top w:val="single" w:sz="4" w:space="0" w:color="000000"/>
              <w:left w:val="single" w:sz="4" w:space="0" w:color="000000"/>
              <w:bottom w:val="single" w:sz="4" w:space="0" w:color="000000"/>
              <w:right w:val="single" w:sz="4" w:space="0" w:color="000000"/>
            </w:tcBorders>
          </w:tcPr>
          <w:p>
            <w:pP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3" w:hRule="exact"/>
        </w:trPr>
        <w:tc>
          <w:tcPr>
            <w:tcW w:w="12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在其他单位任 职情况的说明</w:t>
            </w:r>
          </w:p>
        </w:tc>
        <w:tc>
          <w:tcPr>
            <w:tcW w:w="8334"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49"/>
        <w:ind w:right="0"/>
        <w:jc w:val="left"/>
      </w:pPr>
      <w:r>
        <w:rPr/>
        <w:t>公司现任及报告期内离任董事、监事和高级管理人员近三年证券监管机构处罚的情况</w:t>
      </w:r>
    </w:p>
    <w:p>
      <w:pPr>
        <w:pStyle w:val="BodyText"/>
        <w:spacing w:line="240" w:lineRule="auto" w:before="117"/>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3"/>
        <w:spacing w:line="240" w:lineRule="auto"/>
        <w:ind w:right="0"/>
        <w:jc w:val="left"/>
        <w:rPr>
          <w:b w:val="0"/>
          <w:bCs w:val="0"/>
        </w:rPr>
      </w:pPr>
      <w:r>
        <w:rPr/>
        <w:t>四、董事、监事、高级管理人员报酬情况</w:t>
      </w:r>
      <w:r>
        <w:rPr>
          <w:b w:val="0"/>
          <w:bCs w:val="0"/>
        </w:rPr>
      </w:r>
    </w:p>
    <w:p>
      <w:pPr>
        <w:spacing w:line="240" w:lineRule="auto" w:before="6"/>
        <w:rPr>
          <w:rFonts w:ascii="宋体" w:hAnsi="宋体" w:cs="宋体" w:eastAsia="宋体" w:hint="default"/>
          <w:b/>
          <w:bCs/>
          <w:sz w:val="26"/>
          <w:szCs w:val="26"/>
        </w:rPr>
      </w:pPr>
    </w:p>
    <w:p>
      <w:pPr>
        <w:pStyle w:val="BodyText"/>
        <w:spacing w:line="360" w:lineRule="auto"/>
        <w:ind w:left="513" w:right="138" w:hanging="361"/>
        <w:jc w:val="left"/>
      </w:pPr>
      <w:r>
        <w:rPr/>
        <w:t>董事、监事、高级管理人员报酬的决策程序、确定依据、实际支付情况 </w:t>
      </w:r>
      <w:r>
        <w:rPr>
          <w:spacing w:val="-5"/>
        </w:rPr>
        <w:t>公司按照《公司章程》的规定，确定董事、监事和高级管理人员的报酬。不在公司任职的董事、监事不在公司领取报酬，</w:t>
      </w:r>
    </w:p>
    <w:p>
      <w:pPr>
        <w:pStyle w:val="BodyText"/>
        <w:spacing w:line="222" w:lineRule="exact"/>
        <w:ind w:right="0"/>
        <w:jc w:val="left"/>
      </w:pPr>
      <w:r>
        <w:rPr/>
        <w:t>独立董事的报酬与支付由股东大会确定</w:t>
      </w:r>
      <w:r>
        <w:rPr>
          <w:spacing w:val="-82"/>
        </w:rPr>
        <w:t>。</w:t>
      </w:r>
      <w:r>
        <w:rPr/>
        <w:t>董事会薪酬与考核委员会根据年度绩效进行考核并报董事会批准高级管理人员的年</w:t>
      </w:r>
    </w:p>
    <w:p>
      <w:pPr>
        <w:pStyle w:val="BodyText"/>
        <w:spacing w:line="240" w:lineRule="auto" w:before="76"/>
        <w:ind w:right="0"/>
        <w:jc w:val="left"/>
      </w:pPr>
      <w:r>
        <w:rPr/>
        <w:t>度薪金与绩效。</w:t>
      </w:r>
    </w:p>
    <w:p>
      <w:pPr>
        <w:spacing w:after="0" w:line="240" w:lineRule="auto"/>
        <w:jc w:val="left"/>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t>公司报告期内董事、监事和高级管理人员报酬情况</w:t>
      </w:r>
    </w:p>
    <w:p>
      <w:pPr>
        <w:pStyle w:val="BodyText"/>
        <w:spacing w:line="240" w:lineRule="auto" w:before="117"/>
        <w:ind w:left="0" w:right="151"/>
        <w:jc w:val="right"/>
      </w:pPr>
      <w:r>
        <w:rPr/>
        <w:t>单位：万元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职务</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6" w:hanging="180"/>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7" w:right="48"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吴劲风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孙玉国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程 </w:t>
            </w:r>
            <w:r>
              <w:rPr>
                <w:rFonts w:ascii="宋体" w:hAnsi="宋体" w:cs="宋体" w:eastAsia="宋体" w:hint="default"/>
                <w:spacing w:val="2"/>
                <w:sz w:val="18"/>
                <w:szCs w:val="18"/>
              </w:rPr>
              <w:t> </w:t>
            </w:r>
            <w:r>
              <w:rPr>
                <w:rFonts w:ascii="宋体" w:hAnsi="宋体" w:cs="宋体" w:eastAsia="宋体" w:hint="default"/>
                <w:sz w:val="18"/>
                <w:szCs w:val="18"/>
              </w:rPr>
              <w:t>鹏</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196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李 </w:t>
            </w:r>
            <w:r>
              <w:rPr>
                <w:rFonts w:ascii="宋体" w:hAnsi="宋体" w:cs="宋体" w:eastAsia="宋体" w:hint="default"/>
                <w:spacing w:val="2"/>
                <w:sz w:val="18"/>
                <w:szCs w:val="18"/>
              </w:rPr>
              <w:t> </w:t>
            </w:r>
            <w:r>
              <w:rPr>
                <w:rFonts w:ascii="宋体" w:hAnsi="宋体" w:cs="宋体" w:eastAsia="宋体" w:hint="default"/>
                <w:sz w:val="18"/>
                <w:szCs w:val="18"/>
              </w:rPr>
              <w:t>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任光明</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吴艾今</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湛炜标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钟翔平</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郑永进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徐晋晖</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51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刘 </w:t>
            </w:r>
            <w:r>
              <w:rPr>
                <w:rFonts w:ascii="宋体" w:hAnsi="宋体" w:cs="宋体" w:eastAsia="宋体" w:hint="default"/>
                <w:spacing w:val="2"/>
                <w:sz w:val="18"/>
                <w:szCs w:val="18"/>
              </w:rPr>
              <w:t> </w:t>
            </w:r>
            <w:r>
              <w:rPr>
                <w:rFonts w:ascii="宋体" w:hAnsi="宋体" w:cs="宋体" w:eastAsia="宋体" w:hint="default"/>
                <w:sz w:val="18"/>
                <w:szCs w:val="18"/>
              </w:rPr>
              <w:t>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张雪娇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35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毕 </w:t>
            </w:r>
            <w:r>
              <w:rPr>
                <w:rFonts w:ascii="宋体" w:hAnsi="宋体" w:cs="宋体" w:eastAsia="宋体" w:hint="default"/>
                <w:spacing w:val="2"/>
                <w:sz w:val="18"/>
                <w:szCs w:val="18"/>
              </w:rPr>
              <w:t> </w:t>
            </w:r>
            <w:r>
              <w:rPr>
                <w:rFonts w:ascii="宋体" w:hAnsi="宋体" w:cs="宋体" w:eastAsia="宋体" w:hint="default"/>
                <w:sz w:val="18"/>
                <w:szCs w:val="18"/>
              </w:rPr>
              <w:t>垒</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戴东海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景慕寒</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106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金水祥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梁永杰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孟庆昕</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1"/>
              <w:jc w:val="left"/>
              <w:rPr>
                <w:rFonts w:ascii="宋体" w:hAnsi="宋体" w:cs="宋体" w:eastAsia="宋体" w:hint="default"/>
                <w:sz w:val="18"/>
                <w:szCs w:val="18"/>
              </w:rPr>
            </w:pPr>
            <w:r>
              <w:rPr>
                <w:rFonts w:ascii="宋体" w:hAnsi="宋体" w:cs="宋体" w:eastAsia="宋体" w:hint="default"/>
                <w:sz w:val="18"/>
                <w:szCs w:val="18"/>
              </w:rPr>
              <w:t>副总经理、董事 会秘书</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宋铁辉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110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唐 </w:t>
            </w:r>
            <w:r>
              <w:rPr>
                <w:rFonts w:ascii="宋体" w:hAnsi="宋体" w:cs="宋体" w:eastAsia="宋体" w:hint="default"/>
                <w:spacing w:val="2"/>
                <w:sz w:val="18"/>
                <w:szCs w:val="18"/>
              </w:rPr>
              <w:t> </w:t>
            </w:r>
            <w:r>
              <w:rPr>
                <w:rFonts w:ascii="宋体" w:hAnsi="宋体" w:cs="宋体" w:eastAsia="宋体" w:hint="default"/>
                <w:sz w:val="18"/>
                <w:szCs w:val="18"/>
              </w:rPr>
              <w:t>伟</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1,172</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619" w:right="0"/>
              <w:jc w:val="left"/>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公司董事、高级管理人员报告期内被授予的股权激励情况</w:t>
      </w:r>
    </w:p>
    <w:p>
      <w:pPr>
        <w:pStyle w:val="BodyText"/>
        <w:spacing w:line="240" w:lineRule="auto" w:before="118"/>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3"/>
        <w:spacing w:line="240" w:lineRule="auto"/>
        <w:ind w:right="0"/>
        <w:jc w:val="left"/>
        <w:rPr>
          <w:b w:val="0"/>
          <w:bCs w:val="0"/>
        </w:rPr>
      </w:pPr>
      <w:r>
        <w:rPr/>
        <w:t>五、公司员工情况</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2,421</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2,341</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4,762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4,762</w:t>
            </w:r>
          </w:p>
        </w:tc>
      </w:tr>
      <w:tr>
        <w:trPr>
          <w:trHeight w:val="407"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r>
      <w:tr>
        <w:trPr>
          <w:trHeight w:val="397"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397"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577"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7"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z w:val="18"/>
              </w:rPr>
              <w:t>1,288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249</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2,691</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78</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456</w:t>
            </w:r>
          </w:p>
        </w:tc>
      </w:tr>
      <w:tr>
        <w:trPr>
          <w:trHeight w:val="407"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4,762</w:t>
            </w:r>
          </w:p>
        </w:tc>
      </w:tr>
      <w:tr>
        <w:trPr>
          <w:trHeight w:val="397"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大学本科以上学历</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742</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大学本科</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2,319</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大学本科以下学历</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1,701</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4,762</w:t>
            </w:r>
          </w:p>
        </w:tc>
      </w:tr>
    </w:tbl>
    <w:p>
      <w:pPr>
        <w:pStyle w:val="BodyText"/>
        <w:spacing w:line="240" w:lineRule="auto" w:before="49"/>
        <w:ind w:right="0"/>
        <w:jc w:val="left"/>
      </w:pPr>
      <w:r>
        <w:rPr/>
        <w:t>注：上述行政人员包含公司法务部、人力资源部、投资管理部、董事会办公室等管理部门人员。</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2</w:t>
      </w:r>
      <w:r>
        <w:rPr/>
        <w:t>、薪酬政策</w:t>
      </w:r>
      <w:r>
        <w:rPr>
          <w:b w:val="0"/>
          <w:bCs w:val="0"/>
        </w:rPr>
      </w:r>
    </w:p>
    <w:p>
      <w:pPr>
        <w:spacing w:line="240" w:lineRule="auto" w:before="8"/>
        <w:rPr>
          <w:rFonts w:ascii="宋体" w:hAnsi="宋体" w:cs="宋体" w:eastAsia="宋体" w:hint="default"/>
          <w:b/>
          <w:bCs/>
          <w:sz w:val="30"/>
          <w:szCs w:val="30"/>
        </w:rPr>
      </w:pPr>
    </w:p>
    <w:p>
      <w:pPr>
        <w:pStyle w:val="Heading6"/>
        <w:spacing w:line="408" w:lineRule="auto" w:before="0"/>
        <w:ind w:right="0"/>
        <w:jc w:val="left"/>
        <w:rPr>
          <w:rFonts w:ascii="宋体" w:hAnsi="宋体" w:cs="宋体" w:eastAsia="宋体" w:hint="default"/>
        </w:rPr>
      </w:pPr>
      <w:r>
        <w:rPr>
          <w:spacing w:val="-5"/>
        </w:rPr>
        <w:t>公司依据员工所在岗位和级别不同，参考市场薪酬确定公司薪酬标准。遵循合理合法的薪酬支付理念，</w:t>
      </w:r>
      <w:r>
        <w:rPr>
          <w:w w:val="100"/>
        </w:rPr>
        <w:t> </w:t>
      </w:r>
      <w:r>
        <w:rPr/>
        <w:t>在成本预算合理控制的前提下，保证薪酬水平对外竞争性、对内公正性。</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薪酬结构上，员工现金薪酬包括：基本工资、岗位工资、司龄工资、各项补助、年终奖金。其中，基</w:t>
      </w:r>
      <w:r>
        <w:rPr>
          <w:w w:val="100"/>
        </w:rPr>
        <w:t> </w:t>
      </w:r>
      <w:r>
        <w:rPr>
          <w:spacing w:val="-2"/>
        </w:rPr>
        <w:t>本工资、岗位工资根据员工不同岗位价值评估确定。司龄工资是为肯定员工连续服务、鼓励员工工作稳定</w:t>
      </w:r>
      <w:r>
        <w:rPr>
          <w:spacing w:val="-44"/>
        </w:rPr>
        <w:t> </w:t>
      </w:r>
      <w:r>
        <w:rPr>
          <w:spacing w:val="-44"/>
        </w:rPr>
      </w:r>
      <w:r>
        <w:rPr>
          <w:spacing w:val="-2"/>
        </w:rPr>
        <w:t>性而设定。各项补助根据实际发生支付。年终奖金则根据公司年度收益状况，将收益的一定比例与各级员</w:t>
      </w:r>
      <w:r>
        <w:rPr>
          <w:spacing w:val="-45"/>
        </w:rPr>
        <w:t> </w:t>
      </w:r>
      <w:r>
        <w:rPr>
          <w:spacing w:val="-45"/>
        </w:rPr>
      </w:r>
      <w:r>
        <w:rPr>
          <w:spacing w:val="-2"/>
        </w:rPr>
        <w:t>工共享，体现个人利益与公司总体效益之间的紧密联系。为了更好地吸引和保留人才，公司面向核心管理</w:t>
      </w:r>
      <w:r>
        <w:rPr>
          <w:spacing w:val="-44"/>
        </w:rPr>
        <w:t> </w:t>
      </w:r>
      <w:r>
        <w:rPr>
          <w:spacing w:val="-44"/>
        </w:rPr>
      </w:r>
      <w:r>
        <w:rPr/>
        <w:t>人员、核心业务骨干实施股权激励计划。短期、长期激励相结合，丰富薪酬给付形式。</w:t>
      </w:r>
      <w:r>
        <w:rPr>
          <w:rFonts w:ascii="宋体" w:hAnsi="宋体" w:cs="宋体" w:eastAsia="宋体" w:hint="default"/>
        </w:rPr>
        <w:t> </w:t>
      </w:r>
    </w:p>
    <w:p>
      <w:pPr>
        <w:pStyle w:val="Heading6"/>
        <w:spacing w:line="408" w:lineRule="auto"/>
        <w:ind w:right="206"/>
        <w:jc w:val="both"/>
        <w:rPr>
          <w:rFonts w:ascii="宋体" w:hAnsi="宋体" w:cs="宋体" w:eastAsia="宋体" w:hint="default"/>
        </w:rPr>
      </w:pPr>
      <w:r>
        <w:rPr>
          <w:spacing w:val="-2"/>
        </w:rPr>
        <w:t>根据国家及当地有关的法律法规规定、上年度的社会平均工资、公司的经营状况、员工年度绩效考核</w:t>
      </w:r>
      <w:r>
        <w:rPr>
          <w:w w:val="100"/>
        </w:rPr>
        <w:t> </w:t>
      </w:r>
      <w:r>
        <w:rPr>
          <w:spacing w:val="-2"/>
        </w:rPr>
        <w:t>结果、同行业劳动力市场薪酬水平的变化等因素综合评判，规范公司内部薪资的确定、调整、结算等一系</w:t>
      </w:r>
      <w:r>
        <w:rPr>
          <w:spacing w:val="-47"/>
        </w:rPr>
        <w:t> </w:t>
      </w:r>
      <w:r>
        <w:rPr>
          <w:spacing w:val="-47"/>
        </w:rPr>
      </w:r>
      <w:r>
        <w:rPr/>
        <w:t>列管理程序。</w:t>
      </w:r>
      <w:r>
        <w:rPr>
          <w:rFonts w:ascii="宋体" w:hAnsi="宋体" w:cs="宋体" w:eastAsia="宋体" w:hint="default"/>
        </w:rPr>
        <w:t> </w:t>
      </w:r>
    </w:p>
    <w:p>
      <w:pPr>
        <w:spacing w:line="240" w:lineRule="auto" w:before="8"/>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3</w:t>
      </w:r>
      <w:r>
        <w:rPr/>
        <w:t>、培训计划</w:t>
      </w:r>
      <w:r>
        <w:rPr>
          <w:b w:val="0"/>
          <w:bCs w:val="0"/>
        </w:rPr>
      </w:r>
    </w:p>
    <w:p>
      <w:pPr>
        <w:spacing w:line="240" w:lineRule="auto" w:before="8"/>
        <w:rPr>
          <w:rFonts w:ascii="宋体" w:hAnsi="宋体" w:cs="宋体" w:eastAsia="宋体" w:hint="default"/>
          <w:b/>
          <w:bCs/>
          <w:sz w:val="30"/>
          <w:szCs w:val="30"/>
        </w:rPr>
      </w:pPr>
    </w:p>
    <w:p>
      <w:pPr>
        <w:pStyle w:val="Heading6"/>
        <w:spacing w:line="240" w:lineRule="auto" w:before="0"/>
        <w:ind w:left="573" w:right="0" w:firstLine="0"/>
        <w:jc w:val="left"/>
      </w:pPr>
      <w:r>
        <w:rPr>
          <w:spacing w:val="-5"/>
        </w:rPr>
        <w:t>公司不断优化基于员工发展的培训体系。结合问卷调研以及访谈等方式，公司设计了</w:t>
      </w:r>
      <w:r>
        <w:rPr>
          <w:rFonts w:ascii="宋体" w:hAnsi="宋体" w:cs="宋体" w:eastAsia="宋体" w:hint="default"/>
          <w:spacing w:val="-5"/>
        </w:rPr>
        <w:t>2017</w:t>
      </w:r>
      <w:r>
        <w:rPr>
          <w:spacing w:val="-5"/>
        </w:rPr>
        <w:t>年培训计划。</w:t>
      </w:r>
    </w:p>
    <w:p>
      <w:pPr>
        <w:spacing w:after="0" w:line="240" w:lineRule="auto"/>
        <w:jc w:val="left"/>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pStyle w:val="Heading6"/>
        <w:spacing w:line="408" w:lineRule="auto" w:before="176"/>
        <w:ind w:right="0" w:firstLine="0"/>
        <w:jc w:val="left"/>
        <w:rPr>
          <w:rFonts w:ascii="宋体" w:hAnsi="宋体" w:cs="宋体" w:eastAsia="宋体" w:hint="default"/>
        </w:rPr>
      </w:pPr>
      <w:r>
        <w:rPr>
          <w:spacing w:val="-2"/>
        </w:rPr>
        <w:t>全年培训课程从“专业力”、“通用力”、“领导力”、“新员工”、“特色课程”五大方面展开。“专</w:t>
      </w:r>
      <w:r>
        <w:rPr>
          <w:spacing w:val="-43"/>
        </w:rPr>
        <w:t> </w:t>
      </w:r>
      <w:r>
        <w:rPr>
          <w:spacing w:val="-43"/>
        </w:rPr>
      </w:r>
      <w:r>
        <w:rPr>
          <w:spacing w:val="-2"/>
        </w:rPr>
        <w:t>业力”项目为公司四大职系、五大职级员工搭建了完整的课程体系，对不同工作性质的员工开展有针对性</w:t>
      </w:r>
      <w:r>
        <w:rPr>
          <w:spacing w:val="-44"/>
        </w:rPr>
        <w:t> </w:t>
      </w:r>
      <w:r>
        <w:rPr>
          <w:spacing w:val="-44"/>
        </w:rPr>
      </w:r>
      <w:r>
        <w:rPr>
          <w:spacing w:val="-2"/>
        </w:rPr>
        <w:t>的培养，满足了员工能力发展和职业发展的需求。“通用力”项目，为公司基层员工及核心员工提供了通</w:t>
      </w:r>
      <w:r>
        <w:rPr>
          <w:spacing w:val="-43"/>
        </w:rPr>
        <w:t> </w:t>
      </w:r>
      <w:r>
        <w:rPr>
          <w:spacing w:val="-43"/>
        </w:rPr>
      </w:r>
      <w:r>
        <w:rPr/>
        <w:t>用素质能力的培训，提升员工在沟通协作、执行力及目标管理等方面的能力，全面提升员工的综合素质。</w:t>
      </w:r>
      <w:r>
        <w:rPr>
          <w:spacing w:val="-24"/>
        </w:rPr>
        <w:t> </w:t>
      </w:r>
      <w:r>
        <w:rPr>
          <w:spacing w:val="-24"/>
        </w:rPr>
      </w:r>
      <w:r>
        <w:rPr>
          <w:spacing w:val="-2"/>
        </w:rPr>
        <w:t>针对管理干部，根据基层、中层、高层的不同特点，持续开展行业动态、公司战略及新兴技术、管理理念</w:t>
      </w:r>
      <w:r>
        <w:rPr>
          <w:spacing w:val="-42"/>
        </w:rPr>
        <w:t> </w:t>
      </w:r>
      <w:r>
        <w:rPr>
          <w:spacing w:val="-42"/>
        </w:rPr>
      </w:r>
      <w:r>
        <w:rPr>
          <w:spacing w:val="-2"/>
        </w:rPr>
        <w:t>及方法的培训，拓展管理干部视野，转变思维方式，提升管理团队能力。“新员工”项目，区别社招和校</w:t>
      </w:r>
      <w:r>
        <w:rPr>
          <w:spacing w:val="-43"/>
        </w:rPr>
        <w:t> </w:t>
      </w:r>
      <w:r>
        <w:rPr>
          <w:spacing w:val="-43"/>
        </w:rPr>
      </w:r>
      <w:r>
        <w:rPr>
          <w:spacing w:val="-2"/>
        </w:rPr>
        <w:t>招新员工的不同特点，分别开展不同课程。旨在帮助新员工在文化融入、公司业务了解和能力提升方面有</w:t>
      </w:r>
      <w:r>
        <w:rPr>
          <w:spacing w:val="-45"/>
        </w:rPr>
        <w:t> </w:t>
      </w:r>
      <w:r>
        <w:rPr>
          <w:spacing w:val="-45"/>
        </w:rPr>
      </w:r>
      <w:r>
        <w:rPr>
          <w:spacing w:val="-2"/>
        </w:rPr>
        <w:t>所提高。针对校招应届生，更要帮助其养成良好的职业素养、树立良好的职业心态，帮助新人顺利度过初</w:t>
      </w:r>
      <w:r>
        <w:rPr>
          <w:spacing w:val="-50"/>
        </w:rPr>
        <w:t> </w:t>
      </w:r>
      <w:r>
        <w:rPr>
          <w:spacing w:val="-50"/>
        </w:rPr>
      </w:r>
      <w:r>
        <w:rPr>
          <w:spacing w:val="-2"/>
        </w:rPr>
        <w:t>入公司的迷茫阶段。“特色课程”项目，根据公司所处行业以及业务的特点，在公司内部大力开展业务相</w:t>
      </w:r>
      <w:r>
        <w:rPr>
          <w:spacing w:val="-44"/>
        </w:rPr>
        <w:t> </w:t>
      </w:r>
      <w:r>
        <w:rPr>
          <w:spacing w:val="-44"/>
        </w:rPr>
      </w:r>
      <w:r>
        <w:rPr>
          <w:spacing w:val="-2"/>
        </w:rPr>
        <w:t>关特色培训，促进知识在集团内部共享，形成知识沉淀和管理。公司还与多所国内一流大学合作，开设了</w:t>
      </w:r>
      <w:r>
        <w:rPr>
          <w:spacing w:val="-50"/>
        </w:rPr>
        <w:t> </w:t>
      </w:r>
      <w:r>
        <w:rPr>
          <w:spacing w:val="-50"/>
        </w:rPr>
      </w:r>
      <w:r>
        <w:rPr>
          <w:spacing w:val="-2"/>
        </w:rPr>
        <w:t>多个专业的在职研究生班，并鼓励支持员工报考，满足在岗员工接受学历教育的需求，丰富了公司员工的</w:t>
      </w:r>
      <w:r>
        <w:rPr>
          <w:spacing w:val="-44"/>
        </w:rPr>
        <w:t> </w:t>
      </w:r>
      <w:r>
        <w:rPr>
          <w:spacing w:val="-44"/>
        </w:rPr>
      </w:r>
      <w:r>
        <w:rPr/>
        <w:t>知识与学历结构。</w:t>
      </w:r>
      <w:r>
        <w:rPr>
          <w:rFonts w:ascii="宋体" w:hAnsi="宋体" w:cs="宋体" w:eastAsia="宋体" w:hint="default"/>
        </w:rPr>
        <w:t> </w:t>
      </w:r>
    </w:p>
    <w:p>
      <w:pPr>
        <w:pStyle w:val="Heading6"/>
        <w:spacing w:line="408" w:lineRule="auto"/>
        <w:ind w:right="207"/>
        <w:jc w:val="both"/>
        <w:rPr>
          <w:rFonts w:ascii="宋体" w:hAnsi="宋体" w:cs="宋体" w:eastAsia="宋体" w:hint="default"/>
        </w:rPr>
      </w:pPr>
      <w:r>
        <w:rPr>
          <w:spacing w:val="-2"/>
        </w:rPr>
        <w:t>除完善的课程体系之外，公司在讲师队伍建设、培养以及各种培训资源的发掘、利用上，也取得了长</w:t>
      </w:r>
      <w:r>
        <w:rPr>
          <w:w w:val="100"/>
        </w:rPr>
        <w:t> </w:t>
      </w:r>
      <w:r>
        <w:rPr>
          <w:spacing w:val="-2"/>
        </w:rPr>
        <w:t>足进步。培训形式除传统授课之外，也增加了体验式培训、互动式培训、案例培训等等方式，让员工更好</w:t>
      </w:r>
      <w:r>
        <w:rPr>
          <w:spacing w:val="-43"/>
        </w:rPr>
        <w:t> </w:t>
      </w:r>
      <w:r>
        <w:rPr>
          <w:spacing w:val="-43"/>
        </w:rPr>
      </w:r>
      <w:r>
        <w:rPr>
          <w:spacing w:val="-2"/>
        </w:rPr>
        <w:t>的学习知识，得到启发。各项数据显示，公司的人才培养工作起到了良好的效果，对于公司人才队伍的稳</w:t>
      </w:r>
      <w:r>
        <w:rPr>
          <w:spacing w:val="-47"/>
        </w:rPr>
        <w:t> </w:t>
      </w:r>
      <w:r>
        <w:rPr>
          <w:spacing w:val="-47"/>
        </w:rPr>
      </w:r>
      <w:r>
        <w:rPr/>
        <w:t>定及发展起到积极的促进作用。</w:t>
      </w:r>
      <w:r>
        <w:rPr>
          <w:rFonts w:ascii="宋体" w:hAnsi="宋体" w:cs="宋体" w:eastAsia="宋体" w:hint="default"/>
        </w:rPr>
        <w:t> </w:t>
      </w:r>
    </w:p>
    <w:p>
      <w:pPr>
        <w:spacing w:line="240" w:lineRule="auto" w:before="8"/>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4</w:t>
      </w:r>
      <w:r>
        <w:rPr/>
        <w:t>、劳务外包情况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after="0" w:line="240" w:lineRule="auto"/>
        <w:jc w:val="left"/>
        <w:sectPr>
          <w:pgSz w:w="11910" w:h="16840"/>
          <w:pgMar w:header="745" w:footer="979" w:top="1060" w:bottom="1160" w:left="980" w:right="9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170" w:right="226"/>
        <w:jc w:val="center"/>
        <w:rPr>
          <w:b w:val="0"/>
          <w:bCs w:val="0"/>
        </w:rPr>
      </w:pPr>
      <w:bookmarkStart w:name="_bookmark8" w:id="9"/>
      <w:bookmarkEnd w:id="9"/>
      <w:r>
        <w:rPr>
          <w:b w:val="0"/>
          <w:bCs w:val="0"/>
        </w:rPr>
      </w:r>
      <w:r>
        <w:rPr/>
        <w:t>第九节</w:t>
      </w:r>
      <w:r>
        <w:rPr>
          <w:spacing w:val="-2"/>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3"/>
        <w:spacing w:line="240" w:lineRule="auto" w:before="26"/>
        <w:ind w:right="0"/>
        <w:jc w:val="left"/>
        <w:rPr>
          <w:b w:val="0"/>
          <w:bCs w:val="0"/>
        </w:rPr>
      </w:pPr>
      <w:r>
        <w:rPr/>
        <w:t>一、公司治理的基本状况</w:t>
      </w:r>
      <w:r>
        <w:rPr>
          <w:b w:val="0"/>
          <w:bCs w:val="0"/>
        </w:rPr>
      </w:r>
    </w:p>
    <w:p>
      <w:pPr>
        <w:spacing w:line="240" w:lineRule="auto" w:before="8"/>
        <w:rPr>
          <w:rFonts w:ascii="宋体" w:hAnsi="宋体" w:cs="宋体" w:eastAsia="宋体" w:hint="default"/>
          <w:b/>
          <w:bCs/>
          <w:sz w:val="30"/>
          <w:szCs w:val="30"/>
        </w:rPr>
      </w:pPr>
    </w:p>
    <w:p>
      <w:pPr>
        <w:pStyle w:val="Heading6"/>
        <w:spacing w:line="405" w:lineRule="auto" w:before="0"/>
        <w:ind w:right="0"/>
        <w:jc w:val="left"/>
        <w:rPr>
          <w:sz w:val="18"/>
          <w:szCs w:val="18"/>
        </w:rPr>
      </w:pPr>
      <w:r>
        <w:rPr>
          <w:spacing w:val="-7"/>
        </w:rPr>
        <w:t>报告期内，公司始终坚持规范运作，严格按照《公司法》、《证券法》、《上市公司治理准则》、《深</w:t>
      </w:r>
      <w:r>
        <w:rPr>
          <w:w w:val="100"/>
        </w:rPr>
        <w:t> </w:t>
      </w:r>
      <w:r>
        <w:rPr>
          <w:spacing w:val="-7"/>
          <w:w w:val="100"/>
        </w:rPr>
        <w:t>圳证券交易所股票上市规则》、《深圳证券交易所中小企业板上市公司规范运作指引》等法律法规以及《公</w:t>
      </w:r>
      <w:r>
        <w:rPr>
          <w:spacing w:val="-75"/>
          <w:w w:val="100"/>
        </w:rPr>
        <w:t> </w:t>
      </w:r>
      <w:r>
        <w:rPr>
          <w:spacing w:val="-75"/>
          <w:w w:val="100"/>
        </w:rPr>
      </w:r>
      <w:r>
        <w:rPr>
          <w:spacing w:val="-2"/>
        </w:rPr>
        <w:t>司章程》的要求，不断完善公司法人治理结构，建立、健全内部控制制度，提升公司治理水平。截至</w:t>
      </w:r>
      <w:r>
        <w:rPr>
          <w:rFonts w:ascii="宋体" w:hAnsi="宋体" w:cs="宋体" w:eastAsia="宋体" w:hint="default"/>
          <w:spacing w:val="-2"/>
        </w:rPr>
        <w:t>2017</w:t>
      </w:r>
      <w:r>
        <w:rPr>
          <w:rFonts w:ascii="宋体" w:hAnsi="宋体" w:cs="宋体" w:eastAsia="宋体" w:hint="default"/>
          <w:spacing w:val="-37"/>
        </w:rPr>
        <w:t> </w:t>
      </w:r>
      <w:r>
        <w:rPr>
          <w:rFonts w:ascii="宋体" w:hAnsi="宋体" w:cs="宋体" w:eastAsia="宋体" w:hint="default"/>
          <w:spacing w:val="-37"/>
        </w:rPr>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日，公司治理与《公司法》和中国证监会相关规定的要求不存在差异，也未收到监管部门行政监</w:t>
      </w:r>
      <w:r>
        <w:rPr>
          <w:spacing w:val="-43"/>
        </w:rPr>
        <w:t> </w:t>
      </w:r>
      <w:r>
        <w:rPr>
          <w:spacing w:val="-43"/>
        </w:rPr>
      </w:r>
      <w:r>
        <w:rPr/>
        <w:t>管措施需限期整改的有关文件。</w:t>
      </w:r>
      <w:r>
        <w:rPr>
          <w:w w:val="100"/>
        </w:rPr>
        <w:t> </w:t>
      </w:r>
      <w:r>
        <w:rPr>
          <w:sz w:val="18"/>
          <w:szCs w:val="18"/>
        </w:rPr>
        <w:t>公司治理的实际状况与中国证监会发布的有关上市公司治理的规范性文件是否存在重大差异</w:t>
      </w:r>
    </w:p>
    <w:p>
      <w:pPr>
        <w:pStyle w:val="BodyText"/>
        <w:spacing w:line="340" w:lineRule="auto"/>
        <w:ind w:right="26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公司治理的实际状况与中国证监会发布的有关上市公司治理的规范性文件不存在重大差异。</w:t>
      </w:r>
    </w:p>
    <w:p>
      <w:pPr>
        <w:spacing w:line="240" w:lineRule="auto" w:before="6"/>
        <w:rPr>
          <w:rFonts w:ascii="宋体" w:hAnsi="宋体" w:cs="宋体" w:eastAsia="宋体" w:hint="default"/>
          <w:sz w:val="19"/>
          <w:szCs w:val="19"/>
        </w:rPr>
      </w:pPr>
    </w:p>
    <w:p>
      <w:pPr>
        <w:pStyle w:val="Heading3"/>
        <w:spacing w:line="240" w:lineRule="auto"/>
        <w:ind w:right="0"/>
        <w:jc w:val="left"/>
        <w:rPr>
          <w:b w:val="0"/>
          <w:bCs w:val="0"/>
        </w:rPr>
      </w:pPr>
      <w:r>
        <w:rPr/>
        <w:t>二、公司相对于控股股东在业务、人员、资产、机构、财务等方面的独立情况</w:t>
      </w:r>
      <w:r>
        <w:rPr>
          <w:b w:val="0"/>
          <w:bCs w:val="0"/>
        </w:rPr>
      </w:r>
    </w:p>
    <w:p>
      <w:pPr>
        <w:spacing w:line="240" w:lineRule="auto" w:before="10"/>
        <w:rPr>
          <w:rFonts w:ascii="宋体" w:hAnsi="宋体" w:cs="宋体" w:eastAsia="宋体" w:hint="default"/>
          <w:b/>
          <w:bCs/>
          <w:sz w:val="30"/>
          <w:szCs w:val="30"/>
        </w:rPr>
      </w:pPr>
    </w:p>
    <w:p>
      <w:pPr>
        <w:pStyle w:val="Heading6"/>
        <w:spacing w:line="408" w:lineRule="auto" w:before="0"/>
        <w:ind w:right="0"/>
        <w:jc w:val="left"/>
        <w:rPr>
          <w:rFonts w:ascii="宋体" w:hAnsi="宋体" w:cs="宋体" w:eastAsia="宋体" w:hint="default"/>
        </w:rPr>
      </w:pPr>
      <w:r>
        <w:rPr/>
        <w:t>公司为无实际控制人、无控股股东的上市公司。公司与持股</w:t>
      </w:r>
      <w:r>
        <w:rPr>
          <w:rFonts w:ascii="宋体" w:hAnsi="宋体" w:cs="宋体" w:eastAsia="宋体" w:hint="default"/>
        </w:rPr>
        <w:t>5%</w:t>
      </w:r>
      <w:r>
        <w:rPr/>
        <w:t>以上股东在业务、人员、资产、机构、</w:t>
      </w:r>
      <w:r>
        <w:rPr>
          <w:w w:val="100"/>
        </w:rPr>
        <w:t> </w:t>
      </w:r>
      <w:r>
        <w:rPr/>
        <w:t>财务等方面的独立情况如下：</w:t>
      </w:r>
      <w:r>
        <w:rPr>
          <w:rFonts w:ascii="宋体" w:hAnsi="宋体" w:cs="宋体" w:eastAsia="宋体" w:hint="default"/>
        </w:rPr>
        <w:t> </w:t>
      </w:r>
    </w:p>
    <w:p>
      <w:pPr>
        <w:pStyle w:val="Heading6"/>
        <w:spacing w:line="240" w:lineRule="auto"/>
        <w:ind w:left="573" w:right="0" w:firstLine="0"/>
        <w:jc w:val="left"/>
        <w:rPr>
          <w:rFonts w:ascii="宋体" w:hAnsi="宋体" w:cs="宋体" w:eastAsia="宋体" w:hint="default"/>
        </w:rPr>
      </w:pPr>
      <w:r>
        <w:rPr/>
        <w:t>（一）业务方面：公司业务独立于公司持股</w:t>
      </w:r>
      <w:r>
        <w:rPr>
          <w:rFonts w:ascii="宋体" w:hAnsi="宋体" w:cs="宋体" w:eastAsia="宋体" w:hint="default"/>
        </w:rPr>
        <w:t>5%</w:t>
      </w:r>
      <w:r>
        <w:rPr/>
        <w:t>以上股东，自主经营，业务结构完整。</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Heading6"/>
        <w:spacing w:line="240" w:lineRule="auto" w:before="0"/>
        <w:ind w:left="573" w:right="0" w:firstLine="0"/>
        <w:jc w:val="left"/>
        <w:rPr>
          <w:rFonts w:ascii="宋体" w:hAnsi="宋体" w:cs="宋体" w:eastAsia="宋体" w:hint="default"/>
        </w:rPr>
      </w:pPr>
      <w:r>
        <w:rPr/>
        <w:t>（二）人员方面：公司在人事及薪酬福利管理方面独立运作。</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Heading6"/>
        <w:spacing w:line="240" w:lineRule="auto" w:before="0"/>
        <w:ind w:left="573" w:right="0" w:firstLine="0"/>
        <w:jc w:val="left"/>
        <w:rPr>
          <w:rFonts w:ascii="宋体" w:hAnsi="宋体" w:cs="宋体" w:eastAsia="宋体" w:hint="default"/>
        </w:rPr>
      </w:pPr>
      <w:r>
        <w:rPr/>
        <w:t>（三）资产方面：公司拥有独立的经营场所以及配套设施。</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Heading6"/>
        <w:spacing w:line="408" w:lineRule="auto" w:before="0"/>
        <w:ind w:right="0"/>
        <w:jc w:val="left"/>
        <w:rPr>
          <w:rFonts w:ascii="宋体" w:hAnsi="宋体" w:cs="宋体" w:eastAsia="宋体" w:hint="default"/>
        </w:rPr>
      </w:pPr>
      <w:r>
        <w:rPr>
          <w:spacing w:val="-7"/>
        </w:rPr>
        <w:t>（四）机构方面：公司设立了健全的组织机构体系，董事会、监事会及公司职能部门等机构独立运作，</w:t>
      </w:r>
      <w:r>
        <w:rPr>
          <w:w w:val="100"/>
        </w:rPr>
        <w:t> </w:t>
      </w:r>
      <w:r>
        <w:rPr/>
        <w:t>职能明确，不与公司持股</w:t>
      </w:r>
      <w:r>
        <w:rPr>
          <w:spacing w:val="-6"/>
        </w:rPr>
        <w:t> </w:t>
      </w:r>
      <w:r>
        <w:rPr>
          <w:rFonts w:ascii="宋体" w:hAnsi="宋体" w:cs="宋体" w:eastAsia="宋体" w:hint="default"/>
          <w:spacing w:val="-6"/>
        </w:rPr>
      </w:r>
      <w:r>
        <w:rPr>
          <w:rFonts w:ascii="宋体" w:hAnsi="宋体" w:cs="宋体" w:eastAsia="宋体" w:hint="default"/>
        </w:rPr>
        <w:t>5%</w:t>
      </w:r>
      <w:r>
        <w:rPr/>
        <w:t>以上股东单位职能部门存在从属关系。</w:t>
      </w:r>
      <w:r>
        <w:rPr>
          <w:rFonts w:ascii="宋体" w:hAnsi="宋体" w:cs="宋体" w:eastAsia="宋体" w:hint="default"/>
          <w:spacing w:val="-3"/>
        </w:rPr>
        <w:t> </w:t>
      </w:r>
      <w:r>
        <w:rPr>
          <w:rFonts w:ascii="宋体" w:hAnsi="宋体" w:cs="宋体" w:eastAsia="宋体" w:hint="default"/>
        </w:rPr>
        <w:t> </w:t>
      </w:r>
    </w:p>
    <w:p>
      <w:pPr>
        <w:pStyle w:val="Heading6"/>
        <w:spacing w:line="408" w:lineRule="auto"/>
        <w:ind w:right="0"/>
        <w:jc w:val="left"/>
        <w:rPr>
          <w:rFonts w:ascii="宋体" w:hAnsi="宋体" w:cs="宋体" w:eastAsia="宋体" w:hint="default"/>
        </w:rPr>
      </w:pPr>
      <w:r>
        <w:rPr/>
        <w:t>（五）财务方面：公司设立了独立的的财务部门以及审计部门，配备了专门的财务人员和审计人员，</w:t>
      </w:r>
      <w:r>
        <w:rPr>
          <w:w w:val="100"/>
        </w:rPr>
        <w:t> </w:t>
      </w:r>
      <w:r>
        <w:rPr/>
        <w:t>并建立了独立的会计核算体系和财务管理制度。</w:t>
      </w:r>
      <w:r>
        <w:rPr>
          <w:rFonts w:ascii="宋体" w:hAnsi="宋体" w:cs="宋体" w:eastAsia="宋体" w:hint="default"/>
          <w:spacing w:val="-3"/>
        </w:rPr>
        <w:t> </w:t>
      </w:r>
      <w:r>
        <w:rPr>
          <w:rFonts w:ascii="宋体" w:hAnsi="宋体" w:cs="宋体" w:eastAsia="宋体" w:hint="default"/>
        </w:rPr>
        <w:t> </w:t>
      </w:r>
    </w:p>
    <w:p>
      <w:pPr>
        <w:spacing w:line="240" w:lineRule="auto" w:before="9"/>
        <w:rPr>
          <w:rFonts w:ascii="宋体" w:hAnsi="宋体" w:cs="宋体" w:eastAsia="宋体" w:hint="default"/>
          <w:sz w:val="18"/>
          <w:szCs w:val="18"/>
        </w:rPr>
      </w:pPr>
    </w:p>
    <w:p>
      <w:pPr>
        <w:pStyle w:val="Heading3"/>
        <w:spacing w:line="240" w:lineRule="auto"/>
        <w:ind w:right="0"/>
        <w:jc w:val="left"/>
        <w:rPr>
          <w:b w:val="0"/>
          <w:bCs w:val="0"/>
        </w:rPr>
      </w:pPr>
      <w:r>
        <w:rPr/>
        <w:t>三、同业竞争情况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4"/>
          <w:szCs w:val="24"/>
        </w:rPr>
      </w:pPr>
    </w:p>
    <w:p>
      <w:pPr>
        <w:pStyle w:val="Heading3"/>
        <w:spacing w:line="240" w:lineRule="auto"/>
        <w:ind w:right="0"/>
        <w:jc w:val="left"/>
        <w:rPr>
          <w:b w:val="0"/>
          <w:bCs w:val="0"/>
        </w:rPr>
      </w:pPr>
      <w:r>
        <w:rPr/>
        <w:t>四、报告期内召开的年度股东大会和临时股东大会的有关情况</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、本报告期股东大会情况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5"/>
        <w:gridCol w:w="1239"/>
        <w:gridCol w:w="1418"/>
        <w:gridCol w:w="1277"/>
        <w:gridCol w:w="1416"/>
        <w:gridCol w:w="2621"/>
      </w:tblGrid>
      <w:tr>
        <w:trPr>
          <w:trHeight w:val="403"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3"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4"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73"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92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1596"/>
        <w:gridCol w:w="1239"/>
        <w:gridCol w:w="1418"/>
        <w:gridCol w:w="1277"/>
        <w:gridCol w:w="1416"/>
        <w:gridCol w:w="2621"/>
      </w:tblGrid>
      <w:tr>
        <w:trPr>
          <w:trHeight w:val="360" w:hRule="exact"/>
        </w:trPr>
        <w:tc>
          <w:tcPr>
            <w:tcW w:w="1596" w:type="dxa"/>
            <w:tcBorders>
              <w:top w:val="single" w:sz="4" w:space="0" w:color="000000"/>
              <w:left w:val="single" w:sz="4" w:space="0" w:color="000000"/>
              <w:bottom w:val="nil" w:sz="6" w:space="0" w:color="auto"/>
              <w:right w:val="single" w:sz="4" w:space="0" w:color="000000"/>
            </w:tcBorders>
          </w:tcPr>
          <w:p>
            <w:pPr/>
          </w:p>
        </w:tc>
        <w:tc>
          <w:tcPr>
            <w:tcW w:w="1239"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1416" w:type="dxa"/>
            <w:tcBorders>
              <w:top w:val="single" w:sz="4" w:space="0" w:color="000000"/>
              <w:left w:val="single" w:sz="4" w:space="0" w:color="000000"/>
              <w:bottom w:val="nil" w:sz="6" w:space="0" w:color="auto"/>
              <w:right w:val="single" w:sz="4" w:space="0" w:color="000000"/>
            </w:tcBorders>
          </w:tcPr>
          <w:p>
            <w:pPr/>
          </w:p>
        </w:tc>
        <w:tc>
          <w:tcPr>
            <w:tcW w:w="26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2017-003</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公告名称：</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年度第一次临时</w:t>
            </w:r>
          </w:p>
        </w:tc>
      </w:tr>
      <w:tr>
        <w:trPr>
          <w:trHeight w:val="307"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股东大会决议公告</w:t>
            </w:r>
          </w:p>
        </w:tc>
      </w:tr>
      <w:tr>
        <w:trPr>
          <w:trHeight w:val="634" w:hRule="exact"/>
        </w:trPr>
        <w:tc>
          <w:tcPr>
            <w:tcW w:w="1596"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24" w:right="72"/>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年度第一次临 时股东大会</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36.47%</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13</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118"/>
              <w:ind w:left="24" w:right="0"/>
              <w:jc w:val="left"/>
              <w:rPr>
                <w:rFonts w:ascii="Times New Roman" w:hAnsi="Times New Roman" w:cs="Times New Roman" w:eastAsia="Times New Roman" w:hint="default"/>
                <w:sz w:val="18"/>
                <w:szCs w:val="18"/>
              </w:rPr>
            </w:pPr>
            <w:hyperlink r:id="rId39">
              <w:r>
                <w:rPr>
                  <w:rFonts w:ascii="Times New Roman"/>
                  <w:sz w:val="18"/>
                </w:rPr>
                <w:t>http://www.cninfo.com.cn/cninfo-n</w:t>
              </w:r>
            </w:hyperlink>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4" w:right="0"/>
              <w:jc w:val="left"/>
              <w:rPr>
                <w:rFonts w:ascii="Times New Roman" w:hAnsi="Times New Roman" w:cs="Times New Roman" w:eastAsia="Times New Roman" w:hint="default"/>
                <w:sz w:val="18"/>
                <w:szCs w:val="18"/>
              </w:rPr>
            </w:pPr>
            <w:r>
              <w:rPr>
                <w:rFonts w:ascii="Times New Roman"/>
                <w:sz w:val="18"/>
              </w:rPr>
              <w:t>ew/disclosure/szse_sme/bulletin_d</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4" w:right="0"/>
              <w:jc w:val="left"/>
              <w:rPr>
                <w:rFonts w:ascii="Times New Roman" w:hAnsi="Times New Roman" w:cs="Times New Roman" w:eastAsia="Times New Roman" w:hint="default"/>
                <w:sz w:val="18"/>
                <w:szCs w:val="18"/>
              </w:rPr>
            </w:pPr>
            <w:r>
              <w:rPr>
                <w:rFonts w:ascii="Times New Roman"/>
                <w:sz w:val="18"/>
              </w:rPr>
              <w:t>etail/true/1203014404?announceTi</w:t>
            </w:r>
          </w:p>
        </w:tc>
      </w:tr>
      <w:tr>
        <w:trPr>
          <w:trHeight w:val="348" w:hRule="exact"/>
        </w:trPr>
        <w:tc>
          <w:tcPr>
            <w:tcW w:w="1596" w:type="dxa"/>
            <w:tcBorders>
              <w:top w:val="nil" w:sz="6" w:space="0" w:color="auto"/>
              <w:left w:val="single" w:sz="4" w:space="0" w:color="000000"/>
              <w:bottom w:val="single" w:sz="4" w:space="0" w:color="000000"/>
              <w:right w:val="single" w:sz="4" w:space="0" w:color="000000"/>
            </w:tcBorders>
          </w:tcPr>
          <w:p>
            <w:pPr/>
          </w:p>
        </w:tc>
        <w:tc>
          <w:tcPr>
            <w:tcW w:w="1239"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1416" w:type="dxa"/>
            <w:tcBorders>
              <w:top w:val="nil" w:sz="6" w:space="0" w:color="auto"/>
              <w:left w:val="single" w:sz="4" w:space="0" w:color="000000"/>
              <w:bottom w:val="single" w:sz="4" w:space="0" w:color="000000"/>
              <w:right w:val="single" w:sz="4" w:space="0" w:color="000000"/>
            </w:tcBorders>
          </w:tcPr>
          <w:p>
            <w:pPr/>
          </w:p>
        </w:tc>
        <w:tc>
          <w:tcPr>
            <w:tcW w:w="26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24" w:right="0"/>
              <w:jc w:val="left"/>
              <w:rPr>
                <w:rFonts w:ascii="Times New Roman" w:hAnsi="Times New Roman" w:cs="Times New Roman" w:eastAsia="Times New Roman" w:hint="default"/>
                <w:sz w:val="18"/>
                <w:szCs w:val="18"/>
              </w:rPr>
            </w:pPr>
            <w:r>
              <w:rPr>
                <w:rFonts w:ascii="Times New Roman"/>
                <w:sz w:val="18"/>
              </w:rPr>
              <w:t>me=2017-01-14</w:t>
            </w:r>
          </w:p>
        </w:tc>
      </w:tr>
      <w:tr>
        <w:trPr>
          <w:trHeight w:val="361" w:hRule="exact"/>
        </w:trPr>
        <w:tc>
          <w:tcPr>
            <w:tcW w:w="1596" w:type="dxa"/>
            <w:tcBorders>
              <w:top w:val="single" w:sz="4" w:space="0" w:color="000000"/>
              <w:left w:val="single" w:sz="4" w:space="0" w:color="000000"/>
              <w:bottom w:val="nil" w:sz="6" w:space="0" w:color="auto"/>
              <w:right w:val="single" w:sz="4" w:space="0" w:color="000000"/>
            </w:tcBorders>
          </w:tcPr>
          <w:p>
            <w:pPr/>
          </w:p>
        </w:tc>
        <w:tc>
          <w:tcPr>
            <w:tcW w:w="1239"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1416" w:type="dxa"/>
            <w:tcBorders>
              <w:top w:val="single" w:sz="4" w:space="0" w:color="000000"/>
              <w:left w:val="single" w:sz="4" w:space="0" w:color="000000"/>
              <w:bottom w:val="nil" w:sz="6" w:space="0" w:color="auto"/>
              <w:right w:val="single" w:sz="4" w:space="0" w:color="000000"/>
            </w:tcBorders>
          </w:tcPr>
          <w:p>
            <w:pPr/>
          </w:p>
        </w:tc>
        <w:tc>
          <w:tcPr>
            <w:tcW w:w="262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2017-039</w:t>
            </w:r>
          </w:p>
        </w:tc>
      </w:tr>
      <w:tr>
        <w:trPr>
          <w:trHeight w:val="311"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公告名称：</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年度股东大会决</w:t>
            </w:r>
          </w:p>
        </w:tc>
      </w:tr>
      <w:tr>
        <w:trPr>
          <w:trHeight w:val="307"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议公告</w:t>
            </w:r>
          </w:p>
        </w:tc>
      </w:tr>
      <w:tr>
        <w:trPr>
          <w:trHeight w:val="634" w:hRule="exact"/>
        </w:trPr>
        <w:tc>
          <w:tcPr>
            <w:tcW w:w="159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年度股东大会</w:t>
            </w:r>
          </w:p>
        </w:tc>
        <w:tc>
          <w:tcPr>
            <w:tcW w:w="123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6"/>
                <w:szCs w:val="16"/>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43.29%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18</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w:t>
            </w:r>
          </w:p>
          <w:p>
            <w:pPr>
              <w:pStyle w:val="TableParagraph"/>
              <w:spacing w:line="240" w:lineRule="auto" w:before="6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118"/>
              <w:ind w:left="24" w:right="0"/>
              <w:jc w:val="left"/>
              <w:rPr>
                <w:rFonts w:ascii="Times New Roman" w:hAnsi="Times New Roman" w:cs="Times New Roman" w:eastAsia="Times New Roman" w:hint="default"/>
                <w:sz w:val="18"/>
                <w:szCs w:val="18"/>
              </w:rPr>
            </w:pPr>
            <w:hyperlink r:id="rId39">
              <w:r>
                <w:rPr>
                  <w:rFonts w:ascii="Times New Roman"/>
                  <w:sz w:val="18"/>
                </w:rPr>
                <w:t>http://www.cninfo.com.cn/cninfo-n</w:t>
              </w:r>
            </w:hyperlink>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4" w:right="0"/>
              <w:jc w:val="left"/>
              <w:rPr>
                <w:rFonts w:ascii="Times New Roman" w:hAnsi="Times New Roman" w:cs="Times New Roman" w:eastAsia="Times New Roman" w:hint="default"/>
                <w:sz w:val="18"/>
                <w:szCs w:val="18"/>
              </w:rPr>
            </w:pPr>
            <w:r>
              <w:rPr>
                <w:rFonts w:ascii="Times New Roman"/>
                <w:sz w:val="18"/>
              </w:rPr>
              <w:t>ew/disclosure/szse_sme/bulletin_d</w:t>
            </w:r>
          </w:p>
        </w:tc>
      </w:tr>
      <w:tr>
        <w:trPr>
          <w:trHeight w:val="312" w:hRule="exact"/>
        </w:trPr>
        <w:tc>
          <w:tcPr>
            <w:tcW w:w="1596" w:type="dxa"/>
            <w:tcBorders>
              <w:top w:val="nil" w:sz="6" w:space="0" w:color="auto"/>
              <w:left w:val="single" w:sz="4" w:space="0" w:color="000000"/>
              <w:bottom w:val="nil" w:sz="6" w:space="0" w:color="auto"/>
              <w:right w:val="single" w:sz="4" w:space="0" w:color="000000"/>
            </w:tcBorders>
          </w:tcPr>
          <w:p>
            <w:pPr/>
          </w:p>
        </w:tc>
        <w:tc>
          <w:tcPr>
            <w:tcW w:w="1239"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262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4" w:right="0"/>
              <w:jc w:val="left"/>
              <w:rPr>
                <w:rFonts w:ascii="Times New Roman" w:hAnsi="Times New Roman" w:cs="Times New Roman" w:eastAsia="Times New Roman" w:hint="default"/>
                <w:sz w:val="18"/>
                <w:szCs w:val="18"/>
              </w:rPr>
            </w:pPr>
            <w:r>
              <w:rPr>
                <w:rFonts w:ascii="Times New Roman"/>
                <w:sz w:val="18"/>
              </w:rPr>
              <w:t>etail/true/1203542943?announceTi</w:t>
            </w:r>
          </w:p>
        </w:tc>
      </w:tr>
      <w:tr>
        <w:trPr>
          <w:trHeight w:val="350" w:hRule="exact"/>
        </w:trPr>
        <w:tc>
          <w:tcPr>
            <w:tcW w:w="1596" w:type="dxa"/>
            <w:tcBorders>
              <w:top w:val="nil" w:sz="6" w:space="0" w:color="auto"/>
              <w:left w:val="single" w:sz="4" w:space="0" w:color="000000"/>
              <w:bottom w:val="single" w:sz="4" w:space="0" w:color="000000"/>
              <w:right w:val="single" w:sz="4" w:space="0" w:color="000000"/>
            </w:tcBorders>
          </w:tcPr>
          <w:p>
            <w:pPr/>
          </w:p>
        </w:tc>
        <w:tc>
          <w:tcPr>
            <w:tcW w:w="1239"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1277" w:type="dxa"/>
            <w:tcBorders>
              <w:top w:val="nil" w:sz="6" w:space="0" w:color="auto"/>
              <w:left w:val="single" w:sz="4" w:space="0" w:color="000000"/>
              <w:bottom w:val="single" w:sz="4" w:space="0" w:color="000000"/>
              <w:right w:val="single" w:sz="4" w:space="0" w:color="000000"/>
            </w:tcBorders>
          </w:tcPr>
          <w:p>
            <w:pPr/>
          </w:p>
        </w:tc>
        <w:tc>
          <w:tcPr>
            <w:tcW w:w="1416" w:type="dxa"/>
            <w:tcBorders>
              <w:top w:val="nil" w:sz="6" w:space="0" w:color="auto"/>
              <w:left w:val="single" w:sz="4" w:space="0" w:color="000000"/>
              <w:bottom w:val="single" w:sz="4" w:space="0" w:color="000000"/>
              <w:right w:val="single" w:sz="4" w:space="0" w:color="000000"/>
            </w:tcBorders>
          </w:tcPr>
          <w:p>
            <w:pPr/>
          </w:p>
        </w:tc>
        <w:tc>
          <w:tcPr>
            <w:tcW w:w="26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2"/>
              <w:ind w:left="24" w:right="0"/>
              <w:jc w:val="left"/>
              <w:rPr>
                <w:rFonts w:ascii="Times New Roman" w:hAnsi="Times New Roman" w:cs="Times New Roman" w:eastAsia="Times New Roman" w:hint="default"/>
                <w:sz w:val="18"/>
                <w:szCs w:val="18"/>
              </w:rPr>
            </w:pPr>
            <w:r>
              <w:rPr>
                <w:rFonts w:ascii="Times New Roman"/>
                <w:sz w:val="18"/>
              </w:rPr>
              <w:t>me=2017-05-19%2007:45</w:t>
            </w:r>
          </w:p>
        </w:tc>
      </w:tr>
    </w:tbl>
    <w:p>
      <w:pPr>
        <w:spacing w:line="240" w:lineRule="auto" w:before="3"/>
        <w:rPr>
          <w:rFonts w:ascii="宋体" w:hAnsi="宋体" w:cs="宋体" w:eastAsia="宋体" w:hint="default"/>
          <w:b/>
          <w:bCs/>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0"/>
        <w:rPr>
          <w:rFonts w:ascii="宋体" w:hAnsi="宋体" w:cs="宋体" w:eastAsia="宋体" w:hint="default"/>
          <w:sz w:val="24"/>
          <w:szCs w:val="24"/>
        </w:rPr>
      </w:pPr>
    </w:p>
    <w:p>
      <w:pPr>
        <w:pStyle w:val="Heading3"/>
        <w:spacing w:line="240" w:lineRule="auto"/>
        <w:ind w:right="0"/>
        <w:jc w:val="left"/>
        <w:rPr>
          <w:b w:val="0"/>
          <w:bCs w:val="0"/>
        </w:rPr>
      </w:pPr>
      <w:r>
        <w:rPr/>
        <w:t>五、报告期内独立董事履行职责的情况</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428"/>
        <w:gridCol w:w="1164"/>
        <w:gridCol w:w="1165"/>
        <w:gridCol w:w="1162"/>
        <w:gridCol w:w="1164"/>
        <w:gridCol w:w="1162"/>
        <w:gridCol w:w="1165"/>
        <w:gridCol w:w="1164"/>
      </w:tblGrid>
      <w:tr>
        <w:trPr>
          <w:trHeight w:val="401"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7"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8" w:right="35"/>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4"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07" w:right="36" w:hanging="272"/>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487" w:right="35" w:hanging="452"/>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5" w:right="38"/>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tabs>
                <w:tab w:pos="478" w:val="left" w:leader="none"/>
              </w:tabs>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李</w:t>
              <w:tab/>
              <w:t>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任光明</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2</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吴艾今</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1</w:t>
            </w:r>
          </w:p>
        </w:tc>
      </w:tr>
      <w:tr>
        <w:trPr>
          <w:trHeight w:val="404"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tabs>
                <w:tab w:pos="478" w:val="left" w:leader="none"/>
              </w:tabs>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罗</w:t>
              <w:tab/>
              <w:t>玲</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王小川</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360" w:lineRule="auto" w:before="49"/>
        <w:ind w:right="7074"/>
        <w:jc w:val="left"/>
      </w:pPr>
      <w:r>
        <w:rPr/>
        <w:t>连续两次未亲自出席董事会的说明 无</w:t>
      </w:r>
    </w:p>
    <w:p>
      <w:pPr>
        <w:spacing w:line="240" w:lineRule="auto" w:before="2"/>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独立董事对公司有关事项是否提出异议</w:t>
      </w:r>
    </w:p>
    <w:p>
      <w:pPr>
        <w:pStyle w:val="BodyText"/>
        <w:spacing w:line="240" w:lineRule="auto" w:before="11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after="0" w:line="240" w:lineRule="auto"/>
        <w:jc w:val="left"/>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9" w:right="0"/>
              <w:jc w:val="left"/>
              <w:rPr>
                <w:rFonts w:ascii="宋体" w:hAnsi="宋体" w:cs="宋体" w:eastAsia="宋体" w:hint="default"/>
                <w:sz w:val="18"/>
                <w:szCs w:val="18"/>
              </w:rPr>
            </w:pPr>
            <w:r>
              <w:rPr>
                <w:rFonts w:ascii="宋体" w:hAnsi="宋体" w:cs="宋体" w:eastAsia="宋体" w:hint="default"/>
                <w:sz w:val="18"/>
                <w:szCs w:val="18"/>
              </w:rPr>
              <w:t>独立董事提出异议的事项</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异议的内容</w:t>
            </w:r>
          </w:p>
        </w:tc>
      </w:tr>
      <w:tr>
        <w:trPr>
          <w:trHeight w:val="357" w:hRule="exact"/>
        </w:trPr>
        <w:tc>
          <w:tcPr>
            <w:tcW w:w="3191" w:type="dxa"/>
            <w:tcBorders>
              <w:top w:val="single" w:sz="4" w:space="0" w:color="000000"/>
              <w:left w:val="single" w:sz="4" w:space="0" w:color="000000"/>
              <w:bottom w:val="nil" w:sz="6" w:space="0" w:color="auto"/>
              <w:right w:val="single" w:sz="4" w:space="0" w:color="000000"/>
            </w:tcBorders>
          </w:tcPr>
          <w:p>
            <w:pPr/>
          </w:p>
        </w:tc>
        <w:tc>
          <w:tcPr>
            <w:tcW w:w="31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关于使用部分募集资金及利息追加在北</w:t>
            </w:r>
          </w:p>
        </w:tc>
        <w:tc>
          <w:tcPr>
            <w:tcW w:w="319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独立董事任光明认为相关工程项目已实</w:t>
            </w:r>
          </w:p>
        </w:tc>
      </w:tr>
      <w:tr>
        <w:trPr>
          <w:trHeight w:val="312" w:hRule="exact"/>
        </w:trPr>
        <w:tc>
          <w:tcPr>
            <w:tcW w:w="319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任光明</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京中关村永丰高新技术产业基地建设研</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施，工程超支比例较大，鉴于工程专项</w:t>
            </w:r>
          </w:p>
        </w:tc>
      </w:tr>
      <w:tr>
        <w:trPr>
          <w:trHeight w:val="359" w:hRule="exact"/>
        </w:trPr>
        <w:tc>
          <w:tcPr>
            <w:tcW w:w="3191" w:type="dxa"/>
            <w:tcBorders>
              <w:top w:val="nil" w:sz="6" w:space="0" w:color="auto"/>
              <w:left w:val="single" w:sz="4" w:space="0" w:color="000000"/>
              <w:bottom w:val="single" w:sz="4" w:space="0" w:color="000000"/>
              <w:right w:val="single" w:sz="4" w:space="0" w:color="000000"/>
            </w:tcBorders>
          </w:tcPr>
          <w:p>
            <w:pPr/>
          </w:p>
        </w:tc>
        <w:tc>
          <w:tcPr>
            <w:tcW w:w="31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发、生产及办公综合大楼投资的事项</w:t>
            </w:r>
          </w:p>
        </w:tc>
        <w:tc>
          <w:tcPr>
            <w:tcW w:w="319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审计尚未完成，对该议案投了弃权票</w:t>
            </w:r>
          </w:p>
        </w:tc>
      </w:tr>
      <w:tr>
        <w:trPr>
          <w:trHeight w:val="355" w:hRule="exact"/>
        </w:trPr>
        <w:tc>
          <w:tcPr>
            <w:tcW w:w="3191"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独立董事对公司有关事项提出异议的说</w:t>
            </w:r>
          </w:p>
        </w:tc>
        <w:tc>
          <w:tcPr>
            <w:tcW w:w="6380"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独立董事任光明认为相关工程项目已实施，工程超支比例较大，鉴于工程专项审</w:t>
            </w:r>
          </w:p>
        </w:tc>
      </w:tr>
      <w:tr>
        <w:trPr>
          <w:trHeight w:val="360" w:hRule="exact"/>
        </w:trPr>
        <w:tc>
          <w:tcPr>
            <w:tcW w:w="3191"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明</w:t>
            </w:r>
          </w:p>
        </w:tc>
        <w:tc>
          <w:tcPr>
            <w:tcW w:w="6380" w:type="dxa"/>
            <w:gridSpan w:val="2"/>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计尚未完成，对该议案投了弃权票</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w:t>
      </w:r>
      <w:r>
        <w:rPr/>
        <w:t>、独立董事履行职责的其他说明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独立董事对公司有关建议是否被采纳</w:t>
      </w:r>
    </w:p>
    <w:p>
      <w:pPr>
        <w:pStyle w:val="BodyText"/>
        <w:spacing w:line="348" w:lineRule="auto" w:before="117"/>
        <w:ind w:right="572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独立董事对公司有关建议被采纳或未被采纳的说明 </w:t>
      </w:r>
      <w:r>
        <w:rPr>
          <w:rFonts w:ascii="Times New Roman" w:hAnsi="Times New Roman" w:cs="Times New Roman" w:eastAsia="Times New Roman" w:hint="default"/>
        </w:rPr>
        <w:t>1</w:t>
      </w:r>
      <w:r>
        <w:rPr/>
        <w:t>、独立董事对公司对外投资管理工作提出了建议；</w:t>
      </w:r>
    </w:p>
    <w:p>
      <w:pPr>
        <w:pStyle w:val="BodyText"/>
        <w:spacing w:line="222" w:lineRule="exact"/>
        <w:ind w:right="0"/>
        <w:jc w:val="left"/>
      </w:pPr>
      <w:r>
        <w:rPr>
          <w:rFonts w:ascii="Times New Roman" w:hAnsi="Times New Roman" w:cs="Times New Roman" w:eastAsia="Times New Roman" w:hint="default"/>
        </w:rPr>
        <w:t>2</w:t>
      </w:r>
      <w:r>
        <w:rPr/>
        <w:t>、独立董事对于公司经营战略等方面提出了建议。</w:t>
      </w:r>
    </w:p>
    <w:p>
      <w:pPr>
        <w:pStyle w:val="BodyText"/>
        <w:spacing w:line="240" w:lineRule="auto" w:before="63"/>
        <w:ind w:right="0"/>
        <w:jc w:val="left"/>
      </w:pPr>
      <w:r>
        <w:rPr/>
        <w:t>上述建议得到公司的重视和采纳，促进了公司对外投资管理及经营战略制定等方面工作的提高。</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六、董事会下设专门委员会在报告期内履行职责情况</w:t>
      </w:r>
      <w:r>
        <w:rPr>
          <w:b w:val="0"/>
          <w:bCs w:val="0"/>
        </w:rPr>
      </w:r>
    </w:p>
    <w:p>
      <w:pPr>
        <w:spacing w:line="240" w:lineRule="auto" w:before="10"/>
        <w:rPr>
          <w:rFonts w:ascii="宋体" w:hAnsi="宋体" w:cs="宋体" w:eastAsia="宋体" w:hint="default"/>
          <w:b/>
          <w:bCs/>
          <w:sz w:val="30"/>
          <w:szCs w:val="30"/>
        </w:rPr>
      </w:pPr>
    </w:p>
    <w:p>
      <w:pPr>
        <w:pStyle w:val="Heading6"/>
        <w:spacing w:line="408" w:lineRule="auto" w:before="0"/>
        <w:ind w:right="146"/>
        <w:jc w:val="both"/>
        <w:rPr>
          <w:rFonts w:ascii="宋体" w:hAnsi="宋体" w:cs="宋体" w:eastAsia="宋体" w:hint="default"/>
        </w:rPr>
      </w:pPr>
      <w:r>
        <w:rPr>
          <w:spacing w:val="-2"/>
        </w:rPr>
        <w:t>董事会下设专门委员会各委员在报告期内恪尽职守、诚实守信地履行职责。积极参加董事会和股东大</w:t>
      </w:r>
      <w:r>
        <w:rPr>
          <w:w w:val="100"/>
        </w:rPr>
        <w:t> </w:t>
      </w:r>
      <w:r>
        <w:rPr>
          <w:spacing w:val="-2"/>
        </w:rPr>
        <w:t>会会议，发挥各自的专业特长、技能和经验，积极地履行职责，切实维护公司及股东特别是社会公众股股</w:t>
      </w:r>
      <w:r>
        <w:rPr>
          <w:spacing w:val="-47"/>
        </w:rPr>
        <w:t> </w:t>
      </w:r>
      <w:r>
        <w:rPr>
          <w:spacing w:val="-47"/>
        </w:rPr>
      </w:r>
      <w:r>
        <w:rPr/>
        <w:t>东的权益。</w:t>
      </w:r>
      <w:r>
        <w:rPr>
          <w:rFonts w:ascii="宋体" w:hAnsi="宋体" w:cs="宋体" w:eastAsia="宋体" w:hint="default"/>
        </w:rPr>
        <w:t> </w:t>
      </w:r>
    </w:p>
    <w:p>
      <w:pPr>
        <w:pStyle w:val="Heading6"/>
        <w:spacing w:line="408" w:lineRule="auto"/>
        <w:ind w:left="573" w:right="0" w:firstLine="0"/>
        <w:jc w:val="left"/>
      </w:pPr>
      <w:r>
        <w:rPr>
          <w:rFonts w:ascii="宋体" w:hAnsi="宋体" w:cs="宋体" w:eastAsia="宋体" w:hint="default"/>
        </w:rPr>
        <w:t>1</w:t>
      </w:r>
      <w:r>
        <w:rPr/>
        <w:t>、董事会战略委员会履职情况</w:t>
      </w:r>
      <w:r>
        <w:rPr>
          <w:rFonts w:ascii="宋体" w:hAnsi="宋体" w:cs="宋体" w:eastAsia="宋体" w:hint="default"/>
          <w:w w:val="100"/>
        </w:rPr>
        <w:t> </w:t>
      </w:r>
      <w:r>
        <w:rPr>
          <w:spacing w:val="-7"/>
        </w:rPr>
        <w:t>战略委员会根据《公司法》、《上市公司治理准则》、《公司章程》、《董事会战略委员会工作细则》</w:t>
      </w:r>
    </w:p>
    <w:p>
      <w:pPr>
        <w:pStyle w:val="Heading6"/>
        <w:spacing w:line="408" w:lineRule="auto"/>
        <w:ind w:left="573" w:right="2034" w:hanging="421"/>
        <w:jc w:val="left"/>
        <w:rPr>
          <w:rFonts w:ascii="宋体" w:hAnsi="宋体" w:cs="宋体" w:eastAsia="宋体" w:hint="default"/>
        </w:rPr>
      </w:pPr>
      <w:r>
        <w:rPr/>
        <w:t>及其他有关法律法规的规定，积极履行了职责。</w:t>
      </w:r>
      <w:r>
        <w:rPr>
          <w:rFonts w:ascii="宋体" w:hAnsi="宋体" w:cs="宋体" w:eastAsia="宋体" w:hint="default"/>
          <w:w w:val="100"/>
        </w:rPr>
        <w:t> </w:t>
      </w:r>
      <w:r>
        <w:rPr>
          <w:rFonts w:ascii="宋体" w:hAnsi="宋体" w:cs="宋体" w:eastAsia="宋体" w:hint="default"/>
        </w:rPr>
        <w:t>2</w:t>
      </w:r>
      <w:r>
        <w:rPr/>
        <w:t>、董事会薪酬与考核委员会履职情况</w:t>
      </w:r>
      <w:r>
        <w:rPr>
          <w:rFonts w:ascii="宋体" w:hAnsi="宋体" w:cs="宋体" w:eastAsia="宋体" w:hint="default"/>
        </w:rPr>
        <w:t> </w:t>
      </w:r>
    </w:p>
    <w:p>
      <w:pPr>
        <w:pStyle w:val="Heading6"/>
        <w:spacing w:line="408" w:lineRule="auto"/>
        <w:ind w:right="146"/>
        <w:jc w:val="both"/>
        <w:rPr>
          <w:rFonts w:ascii="宋体" w:hAnsi="宋体" w:cs="宋体" w:eastAsia="宋体" w:hint="default"/>
        </w:rPr>
      </w:pPr>
      <w:r>
        <w:rPr>
          <w:spacing w:val="-2"/>
        </w:rPr>
        <w:t>薪酬与考核委员会根据《公司法》、《上市公司治理准则》、《公司章程》、《董事会薪酬与考核委</w:t>
      </w:r>
      <w:r>
        <w:rPr>
          <w:w w:val="100"/>
        </w:rPr>
        <w:t> </w:t>
      </w:r>
      <w:r>
        <w:rPr>
          <w:spacing w:val="-2"/>
        </w:rPr>
        <w:t>员会工作细则》及其他有关法律法规的规定，积极参与薪酬与考核委员会的日常工作。报告期内，薪酬与</w:t>
      </w:r>
      <w:r>
        <w:rPr>
          <w:spacing w:val="-47"/>
        </w:rPr>
        <w:t> </w:t>
      </w:r>
      <w:r>
        <w:rPr>
          <w:spacing w:val="-47"/>
        </w:rPr>
      </w:r>
      <w:r>
        <w:rPr>
          <w:spacing w:val="-2"/>
        </w:rPr>
        <w:t>考核委员会认真审核限制性股票解锁、限制性股票回购注销、调整独立董事津贴、调整高级管理人员薪酬</w:t>
      </w:r>
      <w:r>
        <w:rPr>
          <w:spacing w:val="-44"/>
        </w:rPr>
        <w:t> </w:t>
      </w:r>
      <w:r>
        <w:rPr>
          <w:spacing w:val="-44"/>
        </w:rPr>
      </w:r>
      <w:r>
        <w:rPr>
          <w:spacing w:val="-2"/>
        </w:rPr>
        <w:t>等事项，并对公司薪酬制度执行情况进行监督，结合公司经营目标完成情况，对公司薪酬计划的调整进行</w:t>
      </w:r>
      <w:r>
        <w:rPr>
          <w:spacing w:val="-44"/>
        </w:rPr>
        <w:t> </w:t>
      </w:r>
      <w:r>
        <w:rPr>
          <w:spacing w:val="-44"/>
        </w:rPr>
      </w:r>
      <w:r>
        <w:rPr/>
        <w:t>了讨论，并提出合理性建议。</w:t>
      </w:r>
      <w:r>
        <w:rPr>
          <w:rFonts w:ascii="宋体" w:hAnsi="宋体" w:cs="宋体" w:eastAsia="宋体" w:hint="default"/>
        </w:rPr>
        <w:t> </w:t>
      </w:r>
    </w:p>
    <w:p>
      <w:pPr>
        <w:pStyle w:val="Heading6"/>
        <w:spacing w:line="408" w:lineRule="auto"/>
        <w:ind w:left="573" w:right="0" w:firstLine="0"/>
        <w:jc w:val="left"/>
      </w:pPr>
      <w:r>
        <w:rPr>
          <w:rFonts w:ascii="宋体" w:hAnsi="宋体" w:cs="宋体" w:eastAsia="宋体" w:hint="default"/>
        </w:rPr>
        <w:t>3</w:t>
      </w:r>
      <w:r>
        <w:rPr/>
        <w:t>、董事会审计委员会履职情况</w:t>
      </w:r>
      <w:r>
        <w:rPr>
          <w:rFonts w:ascii="宋体" w:hAnsi="宋体" w:cs="宋体" w:eastAsia="宋体" w:hint="default"/>
          <w:w w:val="100"/>
        </w:rPr>
        <w:t> </w:t>
      </w:r>
      <w:r>
        <w:rPr>
          <w:spacing w:val="-7"/>
        </w:rPr>
        <w:t>审计委员会根据《公司法》、《上市公司治理准则》、《公司章程》、《董事会审计委员会工作细则》</w:t>
      </w:r>
    </w:p>
    <w:p>
      <w:pPr>
        <w:pStyle w:val="Heading6"/>
        <w:spacing w:line="408" w:lineRule="auto"/>
        <w:ind w:right="146" w:firstLine="0"/>
        <w:jc w:val="both"/>
        <w:rPr>
          <w:rFonts w:ascii="宋体" w:hAnsi="宋体" w:cs="宋体" w:eastAsia="宋体" w:hint="default"/>
        </w:rPr>
      </w:pPr>
      <w:r>
        <w:rPr>
          <w:spacing w:val="-2"/>
        </w:rPr>
        <w:t>及其他有关法律法规的规定，积极履行职责。报告期内，审计委员会监督和评估外部审计机构工作，审阅</w:t>
      </w:r>
      <w:r>
        <w:rPr>
          <w:spacing w:val="-47"/>
        </w:rPr>
        <w:t> </w:t>
      </w:r>
      <w:r>
        <w:rPr>
          <w:spacing w:val="-47"/>
        </w:rPr>
      </w:r>
      <w:r>
        <w:rPr>
          <w:spacing w:val="-2"/>
        </w:rPr>
        <w:t>公司的财务报告并对其发表意见，继续积极深入完善内控体系建设、全面开展推广内部控制评价工作，以</w:t>
      </w:r>
      <w:r>
        <w:rPr>
          <w:spacing w:val="-43"/>
        </w:rPr>
        <w:t> </w:t>
      </w:r>
      <w:r>
        <w:rPr>
          <w:spacing w:val="-43"/>
        </w:rPr>
      </w:r>
      <w:r>
        <w:rPr/>
        <w:t>及协调管理层及相关部门与外部审计机构的沟通，确保审计的独立性并保质保量如期完成审计工作等。</w:t>
      </w:r>
      <w:r>
        <w:rPr>
          <w:rFonts w:ascii="宋体" w:hAnsi="宋体" w:cs="宋体" w:eastAsia="宋体" w:hint="default"/>
        </w:rPr>
        <w:t> </w:t>
      </w:r>
    </w:p>
    <w:p>
      <w:pPr>
        <w:spacing w:after="0" w:line="408" w:lineRule="auto"/>
        <w:jc w:val="both"/>
        <w:rPr>
          <w:rFonts w:ascii="宋体" w:hAnsi="宋体" w:cs="宋体" w:eastAsia="宋体" w:hint="default"/>
        </w:rPr>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pStyle w:val="Heading6"/>
        <w:spacing w:line="408" w:lineRule="auto" w:before="176"/>
        <w:ind w:left="573" w:right="0" w:firstLine="0"/>
        <w:jc w:val="left"/>
      </w:pPr>
      <w:r>
        <w:rPr>
          <w:rFonts w:ascii="宋体" w:hAnsi="宋体" w:cs="宋体" w:eastAsia="宋体" w:hint="default"/>
        </w:rPr>
        <w:t>4</w:t>
      </w:r>
      <w:r>
        <w:rPr/>
        <w:t>、董事会提名委员会履职情况</w:t>
      </w:r>
      <w:r>
        <w:rPr>
          <w:rFonts w:ascii="宋体" w:hAnsi="宋体" w:cs="宋体" w:eastAsia="宋体" w:hint="default"/>
          <w:w w:val="100"/>
        </w:rPr>
        <w:t> </w:t>
      </w:r>
      <w:r>
        <w:rPr>
          <w:spacing w:val="-7"/>
        </w:rPr>
        <w:t>提名委员会根据《公司法》、《上市公司治理准则》、《公司章程》、《董事会提名委员会工作细则》</w:t>
      </w:r>
    </w:p>
    <w:p>
      <w:pPr>
        <w:pStyle w:val="Heading6"/>
        <w:spacing w:line="408" w:lineRule="auto"/>
        <w:ind w:right="0" w:firstLine="0"/>
        <w:jc w:val="left"/>
        <w:rPr>
          <w:rFonts w:ascii="宋体" w:hAnsi="宋体" w:cs="宋体" w:eastAsia="宋体" w:hint="default"/>
        </w:rPr>
      </w:pPr>
      <w:r>
        <w:rPr>
          <w:spacing w:val="-2"/>
        </w:rPr>
        <w:t>及其他有关法律法规的规定，积极参与提名委员会的日常工作。报告期内，提名委员会认真审核了董事会</w:t>
      </w:r>
      <w:r>
        <w:rPr>
          <w:spacing w:val="-42"/>
        </w:rPr>
        <w:t> </w:t>
      </w:r>
      <w:r>
        <w:rPr>
          <w:spacing w:val="-42"/>
        </w:rPr>
      </w:r>
      <w:r>
        <w:rPr/>
        <w:t>换届选举等事项，对公司董事和高级管理人员的人选、选择标准和程序进行审核并提出建议。</w:t>
      </w:r>
      <w:r>
        <w:rPr>
          <w:rFonts w:ascii="宋体" w:hAnsi="宋体" w:cs="宋体" w:eastAsia="宋体" w:hint="default"/>
        </w:rPr>
        <w:t> </w:t>
      </w:r>
    </w:p>
    <w:p>
      <w:pPr>
        <w:spacing w:line="240" w:lineRule="auto" w:before="8"/>
        <w:rPr>
          <w:rFonts w:ascii="宋体" w:hAnsi="宋体" w:cs="宋体" w:eastAsia="宋体" w:hint="default"/>
          <w:sz w:val="18"/>
          <w:szCs w:val="18"/>
        </w:rPr>
      </w:pPr>
    </w:p>
    <w:p>
      <w:pPr>
        <w:pStyle w:val="Heading3"/>
        <w:spacing w:line="240" w:lineRule="auto"/>
        <w:ind w:right="0"/>
        <w:jc w:val="left"/>
        <w:rPr>
          <w:b w:val="0"/>
          <w:bCs w:val="0"/>
        </w:rPr>
      </w:pPr>
      <w:r>
        <w:rPr/>
        <w:t>七、监事会工作情况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监事会在报告期内的监督活动中发现公司是否存在风险</w:t>
      </w:r>
    </w:p>
    <w:p>
      <w:pPr>
        <w:pStyle w:val="BodyText"/>
        <w:spacing w:line="340" w:lineRule="auto" w:before="115"/>
        <w:ind w:right="677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监事会对报告期内的监督事项无异议。</w:t>
      </w:r>
    </w:p>
    <w:p>
      <w:pPr>
        <w:spacing w:line="240" w:lineRule="auto" w:before="7"/>
        <w:rPr>
          <w:rFonts w:ascii="宋体" w:hAnsi="宋体" w:cs="宋体" w:eastAsia="宋体" w:hint="default"/>
          <w:sz w:val="19"/>
          <w:szCs w:val="19"/>
        </w:rPr>
      </w:pPr>
    </w:p>
    <w:p>
      <w:pPr>
        <w:pStyle w:val="Heading3"/>
        <w:spacing w:line="240" w:lineRule="auto"/>
        <w:ind w:right="0"/>
        <w:jc w:val="left"/>
        <w:rPr>
          <w:b w:val="0"/>
          <w:bCs w:val="0"/>
        </w:rPr>
      </w:pPr>
      <w:r>
        <w:rPr/>
        <w:t>八、高级管理人员的考评及激励情况</w:t>
      </w:r>
      <w:r>
        <w:rPr>
          <w:b w:val="0"/>
          <w:bCs w:val="0"/>
        </w:rPr>
      </w:r>
    </w:p>
    <w:p>
      <w:pPr>
        <w:spacing w:line="240" w:lineRule="auto" w:before="8"/>
        <w:rPr>
          <w:rFonts w:ascii="宋体" w:hAnsi="宋体" w:cs="宋体" w:eastAsia="宋体" w:hint="default"/>
          <w:b/>
          <w:bCs/>
          <w:sz w:val="30"/>
          <w:szCs w:val="30"/>
        </w:rPr>
      </w:pPr>
    </w:p>
    <w:p>
      <w:pPr>
        <w:pStyle w:val="Heading6"/>
        <w:spacing w:line="408" w:lineRule="auto" w:before="0"/>
        <w:ind w:right="0"/>
        <w:jc w:val="left"/>
        <w:rPr>
          <w:rFonts w:ascii="宋体" w:hAnsi="宋体" w:cs="宋体" w:eastAsia="宋体" w:hint="default"/>
        </w:rPr>
      </w:pPr>
      <w:r>
        <w:rPr>
          <w:spacing w:val="-7"/>
        </w:rPr>
        <w:t>公司高级管理人员均依据《公司章程》，履行本岗位职责。公司董事会、薪酬与考核委员会根据董事、</w:t>
      </w:r>
      <w:r>
        <w:rPr>
          <w:w w:val="100"/>
        </w:rPr>
        <w:t> </w:t>
      </w:r>
      <w:r>
        <w:rPr/>
        <w:t>监事及高级管理人员职责履行情况及绩效情况，开展个人考核评测，并依据考评结果提出薪酬调整方案，</w:t>
      </w:r>
      <w:r>
        <w:rPr>
          <w:spacing w:val="-24"/>
        </w:rPr>
        <w:t> </w:t>
      </w:r>
      <w:r>
        <w:rPr>
          <w:spacing w:val="-24"/>
        </w:rPr>
      </w:r>
      <w:r>
        <w:rPr/>
        <w:t>提交董事会、股东大会审议及实施。</w:t>
      </w:r>
      <w:r>
        <w:rPr>
          <w:rFonts w:ascii="宋体" w:hAnsi="宋体" w:cs="宋体" w:eastAsia="宋体" w:hint="default"/>
        </w:rPr>
        <w:t> </w:t>
      </w:r>
    </w:p>
    <w:p>
      <w:pPr>
        <w:spacing w:line="240" w:lineRule="auto" w:before="8"/>
        <w:rPr>
          <w:rFonts w:ascii="宋体" w:hAnsi="宋体" w:cs="宋体" w:eastAsia="宋体" w:hint="default"/>
          <w:sz w:val="18"/>
          <w:szCs w:val="18"/>
        </w:rPr>
      </w:pPr>
    </w:p>
    <w:p>
      <w:pPr>
        <w:pStyle w:val="Heading3"/>
        <w:spacing w:line="240" w:lineRule="auto"/>
        <w:ind w:right="0"/>
        <w:jc w:val="left"/>
        <w:rPr>
          <w:b w:val="0"/>
          <w:bCs w:val="0"/>
        </w:rPr>
      </w:pPr>
      <w:r>
        <w:rPr/>
        <w:t>九、内部控制评价报告</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95"/>
        <w:gridCol w:w="3322"/>
        <w:gridCol w:w="3053"/>
      </w:tblGrid>
      <w:tr>
        <w:trPr>
          <w:trHeight w:val="403"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r>
      <w:tr>
        <w:trPr>
          <w:trHeight w:val="161" w:hRule="exact"/>
        </w:trPr>
        <w:tc>
          <w:tcPr>
            <w:tcW w:w="3195" w:type="dxa"/>
            <w:tcBorders>
              <w:top w:val="single" w:sz="4" w:space="0" w:color="000000"/>
              <w:left w:val="single" w:sz="4" w:space="0" w:color="000000"/>
              <w:bottom w:val="nil" w:sz="6" w:space="0" w:color="auto"/>
              <w:right w:val="single" w:sz="4" w:space="0" w:color="000000"/>
            </w:tcBorders>
            <w:shd w:val="clear" w:color="auto" w:fill="D2D2D2"/>
          </w:tcPr>
          <w:p>
            <w:pPr/>
          </w:p>
        </w:tc>
        <w:tc>
          <w:tcPr>
            <w:tcW w:w="6375" w:type="dxa"/>
            <w:gridSpan w:val="2"/>
            <w:vMerge w:val="restart"/>
            <w:tcBorders>
              <w:top w:val="single" w:sz="4" w:space="0" w:color="000000"/>
              <w:left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详见</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日刊登在巨潮资讯网（</w:t>
            </w:r>
            <w:hyperlink r:id="rId14">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）上的《北京四维</w:t>
            </w:r>
          </w:p>
          <w:p>
            <w:pPr>
              <w:pStyle w:val="TableParagraph"/>
              <w:spacing w:line="240" w:lineRule="auto" w:before="60"/>
              <w:ind w:left="24" w:right="0"/>
              <w:jc w:val="left"/>
              <w:rPr>
                <w:rFonts w:ascii="宋体" w:hAnsi="宋体" w:cs="宋体" w:eastAsia="宋体" w:hint="default"/>
                <w:sz w:val="18"/>
                <w:szCs w:val="18"/>
              </w:rPr>
            </w:pPr>
            <w:r>
              <w:rPr>
                <w:rFonts w:ascii="宋体" w:hAnsi="宋体" w:cs="宋体" w:eastAsia="宋体" w:hint="default"/>
                <w:sz w:val="18"/>
                <w:szCs w:val="18"/>
              </w:rPr>
              <w:t>图新科技股份有限公司</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度内部控制自我评价报告</w:t>
            </w:r>
            <w:r>
              <w:rPr>
                <w:rFonts w:ascii="宋体" w:hAnsi="宋体" w:cs="宋体" w:eastAsia="宋体" w:hint="default"/>
                <w:spacing w:val="-92"/>
                <w:sz w:val="18"/>
                <w:szCs w:val="18"/>
              </w:rPr>
              <w:t>》</w:t>
            </w:r>
            <w:r>
              <w:rPr>
                <w:rFonts w:ascii="宋体" w:hAnsi="宋体" w:cs="宋体" w:eastAsia="宋体" w:hint="default"/>
                <w:sz w:val="18"/>
                <w:szCs w:val="18"/>
              </w:rPr>
              <w:t>。</w:t>
            </w:r>
          </w:p>
        </w:tc>
      </w:tr>
      <w:tr>
        <w:trPr>
          <w:trHeight w:val="391" w:hRule="exact"/>
        </w:trPr>
        <w:tc>
          <w:tcPr>
            <w:tcW w:w="31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5" w:type="dxa"/>
            <w:gridSpan w:val="2"/>
            <w:vMerge/>
            <w:tcBorders>
              <w:left w:val="single" w:sz="4" w:space="0" w:color="000000"/>
              <w:right w:val="single" w:sz="4" w:space="0" w:color="000000"/>
            </w:tcBorders>
          </w:tcPr>
          <w:p>
            <w:pPr/>
          </w:p>
        </w:tc>
      </w:tr>
      <w:tr>
        <w:trPr>
          <w:trHeight w:val="161" w:hRule="exact"/>
        </w:trPr>
        <w:tc>
          <w:tcPr>
            <w:tcW w:w="3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6375" w:type="dxa"/>
            <w:gridSpan w:val="2"/>
            <w:vMerge/>
            <w:tcBorders>
              <w:left w:val="single" w:sz="4" w:space="0" w:color="000000"/>
              <w:bottom w:val="single" w:sz="4" w:space="0" w:color="000000"/>
              <w:right w:val="single" w:sz="4" w:space="0" w:color="000000"/>
            </w:tcBorders>
          </w:tcPr>
          <w:p>
            <w:pPr/>
          </w:p>
        </w:tc>
      </w:tr>
      <w:tr>
        <w:trPr>
          <w:trHeight w:val="716"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9"/>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 财务报表资产总额的比例</w:t>
            </w:r>
          </w:p>
        </w:tc>
        <w:tc>
          <w:tcPr>
            <w:tcW w:w="6375"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r>
      <w:tr>
        <w:trPr>
          <w:trHeight w:val="713"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 w:right="99"/>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 财务报表营业收入的比例</w:t>
            </w:r>
          </w:p>
        </w:tc>
        <w:tc>
          <w:tcPr>
            <w:tcW w:w="6375" w:type="dxa"/>
            <w:gridSpan w:val="2"/>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r>
      <w:tr>
        <w:trPr>
          <w:trHeight w:val="402" w:hRule="exact"/>
        </w:trPr>
        <w:tc>
          <w:tcPr>
            <w:tcW w:w="957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629" w:hRule="exact"/>
        </w:trPr>
        <w:tc>
          <w:tcPr>
            <w:tcW w:w="3195"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2" w:type="dxa"/>
            <w:vMerge w:val="restart"/>
            <w:tcBorders>
              <w:top w:val="single" w:sz="4" w:space="0" w:color="000000"/>
              <w:left w:val="single" w:sz="4" w:space="0" w:color="000000"/>
              <w:right w:val="single" w:sz="4" w:space="0" w:color="000000"/>
            </w:tcBorders>
          </w:tcPr>
          <w:p>
            <w:pPr>
              <w:pStyle w:val="TableParagraph"/>
              <w:spacing w:line="316" w:lineRule="auto" w:before="49"/>
              <w:ind w:left="24" w:right="108" w:firstLine="400"/>
              <w:jc w:val="both"/>
              <w:rPr>
                <w:rFonts w:ascii="宋体" w:hAnsi="宋体" w:cs="宋体" w:eastAsia="宋体" w:hint="default"/>
                <w:sz w:val="18"/>
                <w:szCs w:val="18"/>
              </w:rPr>
            </w:pPr>
            <w:r>
              <w:rPr>
                <w:rFonts w:ascii="宋体" w:hAnsi="宋体" w:cs="宋体" w:eastAsia="宋体" w:hint="default"/>
                <w:spacing w:val="15"/>
                <w:sz w:val="18"/>
                <w:szCs w:val="18"/>
              </w:rPr>
              <w:t>重大缺陷：</w:t>
            </w:r>
            <w:r>
              <w:rPr>
                <w:rFonts w:ascii="宋体" w:hAnsi="宋体" w:cs="宋体" w:eastAsia="宋体" w:hint="default"/>
                <w:spacing w:val="-67"/>
                <w:sz w:val="18"/>
                <w:szCs w:val="18"/>
              </w:rPr>
              <w:t> </w:t>
            </w:r>
            <w:r>
              <w:rPr>
                <w:rFonts w:ascii="宋体" w:hAnsi="宋体" w:cs="宋体" w:eastAsia="宋体" w:hint="default"/>
                <w:spacing w:val="17"/>
                <w:sz w:val="18"/>
                <w:szCs w:val="18"/>
              </w:rPr>
              <w:t>一项内部控制缺陷单</w:t>
            </w:r>
            <w:r>
              <w:rPr>
                <w:rFonts w:ascii="宋体" w:hAnsi="宋体" w:cs="宋体" w:eastAsia="宋体" w:hint="default"/>
                <w:sz w:val="18"/>
                <w:szCs w:val="18"/>
              </w:rPr>
              <w:t> </w:t>
            </w:r>
            <w:r>
              <w:rPr>
                <w:rFonts w:ascii="宋体" w:hAnsi="宋体" w:cs="宋体" w:eastAsia="宋体" w:hint="default"/>
                <w:spacing w:val="18"/>
                <w:sz w:val="18"/>
                <w:szCs w:val="18"/>
              </w:rPr>
              <w:t>独或连同其他缺陷具备合理可能性导</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8"/>
                <w:sz w:val="18"/>
                <w:szCs w:val="18"/>
              </w:rPr>
              <w:t>致不能及时防止或发现并纠正财务报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7"/>
                <w:sz w:val="18"/>
                <w:szCs w:val="18"/>
              </w:rPr>
              <w:t>告中的重大错报。</w:t>
            </w:r>
            <w:r>
              <w:rPr>
                <w:rFonts w:ascii="宋体" w:hAnsi="宋体" w:cs="宋体" w:eastAsia="宋体" w:hint="default"/>
                <w:spacing w:val="-68"/>
                <w:sz w:val="18"/>
                <w:szCs w:val="18"/>
              </w:rPr>
              <w:t> </w:t>
            </w:r>
            <w:r>
              <w:rPr>
                <w:rFonts w:ascii="宋体" w:hAnsi="宋体" w:cs="宋体" w:eastAsia="宋体" w:hint="default"/>
                <w:sz w:val="18"/>
                <w:szCs w:val="18"/>
              </w:rPr>
              <w:t> </w:t>
            </w:r>
          </w:p>
          <w:p>
            <w:pPr>
              <w:pStyle w:val="TableParagraph"/>
              <w:spacing w:line="240" w:lineRule="auto" w:before="57"/>
              <w:ind w:left="424" w:right="0"/>
              <w:jc w:val="left"/>
              <w:rPr>
                <w:rFonts w:ascii="宋体" w:hAnsi="宋体" w:cs="宋体" w:eastAsia="宋体" w:hint="default"/>
                <w:sz w:val="18"/>
                <w:szCs w:val="18"/>
              </w:rPr>
            </w:pPr>
            <w:r>
              <w:rPr>
                <w:rFonts w:ascii="宋体" w:hAnsi="宋体" w:cs="宋体" w:eastAsia="宋体" w:hint="default"/>
                <w:spacing w:val="17"/>
                <w:sz w:val="18"/>
                <w:szCs w:val="18"/>
              </w:rPr>
              <w:t>出现下列情形的，</w:t>
            </w:r>
            <w:r>
              <w:rPr>
                <w:rFonts w:ascii="宋体" w:hAnsi="宋体" w:cs="宋体" w:eastAsia="宋体" w:hint="default"/>
                <w:spacing w:val="-68"/>
                <w:sz w:val="18"/>
                <w:szCs w:val="18"/>
              </w:rPr>
              <w:t> </w:t>
            </w:r>
            <w:r>
              <w:rPr>
                <w:rFonts w:ascii="宋体" w:hAnsi="宋体" w:cs="宋体" w:eastAsia="宋体" w:hint="default"/>
                <w:spacing w:val="16"/>
                <w:sz w:val="18"/>
                <w:szCs w:val="18"/>
              </w:rPr>
              <w:t>认定为存在财</w:t>
            </w:r>
          </w:p>
        </w:tc>
        <w:tc>
          <w:tcPr>
            <w:tcW w:w="3053" w:type="dxa"/>
            <w:vMerge w:val="restart"/>
            <w:tcBorders>
              <w:top w:val="single" w:sz="4" w:space="0" w:color="000000"/>
              <w:left w:val="single" w:sz="4" w:space="0" w:color="000000"/>
              <w:right w:val="single" w:sz="4" w:space="0" w:color="000000"/>
            </w:tcBorders>
          </w:tcPr>
          <w:p>
            <w:pPr>
              <w:pStyle w:val="TableParagraph"/>
              <w:spacing w:line="316" w:lineRule="auto" w:before="49"/>
              <w:ind w:left="26" w:right="38" w:firstLine="400"/>
              <w:jc w:val="both"/>
              <w:rPr>
                <w:rFonts w:ascii="宋体" w:hAnsi="宋体" w:cs="宋体" w:eastAsia="宋体" w:hint="default"/>
                <w:sz w:val="18"/>
                <w:szCs w:val="18"/>
              </w:rPr>
            </w:pPr>
            <w:r>
              <w:rPr>
                <w:rFonts w:ascii="宋体" w:hAnsi="宋体" w:cs="宋体" w:eastAsia="宋体" w:hint="default"/>
                <w:spacing w:val="17"/>
                <w:sz w:val="18"/>
                <w:szCs w:val="18"/>
              </w:rPr>
              <w:t>重大缺陷：缺陷发生的可能性</w:t>
            </w:r>
            <w:r>
              <w:rPr>
                <w:rFonts w:ascii="宋体" w:hAnsi="宋体" w:cs="宋体" w:eastAsia="宋体" w:hint="default"/>
                <w:sz w:val="18"/>
                <w:szCs w:val="18"/>
              </w:rPr>
              <w:t> </w:t>
            </w:r>
            <w:r>
              <w:rPr>
                <w:rFonts w:ascii="宋体" w:hAnsi="宋体" w:cs="宋体" w:eastAsia="宋体" w:hint="default"/>
                <w:spacing w:val="9"/>
                <w:sz w:val="18"/>
                <w:szCs w:val="18"/>
              </w:rPr>
              <w:t>高，</w:t>
            </w:r>
            <w:r>
              <w:rPr>
                <w:rFonts w:ascii="宋体" w:hAnsi="宋体" w:cs="宋体" w:eastAsia="宋体" w:hint="default"/>
                <w:spacing w:val="-70"/>
                <w:sz w:val="18"/>
                <w:szCs w:val="18"/>
              </w:rPr>
              <w:t> </w:t>
            </w:r>
            <w:r>
              <w:rPr>
                <w:rFonts w:ascii="宋体" w:hAnsi="宋体" w:cs="宋体" w:eastAsia="宋体" w:hint="default"/>
                <w:spacing w:val="18"/>
                <w:sz w:val="18"/>
                <w:szCs w:val="18"/>
              </w:rPr>
              <w:t>会严重降低工作效率或效果、</w:t>
            </w:r>
            <w:r>
              <w:rPr>
                <w:rFonts w:ascii="宋体" w:hAnsi="宋体" w:cs="宋体" w:eastAsia="宋体" w:hint="default"/>
                <w:sz w:val="18"/>
                <w:szCs w:val="18"/>
              </w:rPr>
              <w:t> </w:t>
            </w:r>
            <w:r>
              <w:rPr>
                <w:rFonts w:ascii="宋体" w:hAnsi="宋体" w:cs="宋体" w:eastAsia="宋体" w:hint="default"/>
                <w:spacing w:val="17"/>
                <w:sz w:val="18"/>
                <w:szCs w:val="18"/>
              </w:rPr>
              <w:t>或严重加大效果的不确定性、或使</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7"/>
                <w:sz w:val="18"/>
                <w:szCs w:val="18"/>
              </w:rPr>
              <w:t>之严重偏离预期目标。</w:t>
            </w:r>
            <w:r>
              <w:rPr>
                <w:rFonts w:ascii="宋体" w:hAnsi="宋体" w:cs="宋体" w:eastAsia="宋体" w:hint="default"/>
                <w:spacing w:val="-67"/>
                <w:sz w:val="18"/>
                <w:szCs w:val="18"/>
              </w:rPr>
              <w:t> </w:t>
            </w:r>
            <w:r>
              <w:rPr>
                <w:rFonts w:ascii="宋体" w:hAnsi="宋体" w:cs="宋体" w:eastAsia="宋体" w:hint="default"/>
                <w:sz w:val="18"/>
                <w:szCs w:val="18"/>
              </w:rPr>
              <w:t> </w:t>
            </w:r>
          </w:p>
          <w:p>
            <w:pPr>
              <w:pStyle w:val="TableParagraph"/>
              <w:spacing w:line="240" w:lineRule="auto" w:before="57"/>
              <w:ind w:left="427" w:right="0"/>
              <w:jc w:val="left"/>
              <w:rPr>
                <w:rFonts w:ascii="宋体" w:hAnsi="宋体" w:cs="宋体" w:eastAsia="宋体" w:hint="default"/>
                <w:sz w:val="18"/>
                <w:szCs w:val="18"/>
              </w:rPr>
            </w:pPr>
            <w:r>
              <w:rPr>
                <w:rFonts w:ascii="宋体" w:hAnsi="宋体" w:cs="宋体" w:eastAsia="宋体" w:hint="default"/>
                <w:spacing w:val="17"/>
                <w:sz w:val="18"/>
                <w:szCs w:val="18"/>
              </w:rPr>
              <w:t>出现下列情形的，认定为存在</w:t>
            </w:r>
          </w:p>
        </w:tc>
      </w:tr>
      <w:tr>
        <w:trPr>
          <w:trHeight w:val="391" w:hRule="exact"/>
        </w:trPr>
        <w:tc>
          <w:tcPr>
            <w:tcW w:w="319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2" w:type="dxa"/>
            <w:vMerge/>
            <w:tcBorders>
              <w:left w:val="single" w:sz="4" w:space="0" w:color="000000"/>
              <w:right w:val="single" w:sz="4" w:space="0" w:color="000000"/>
            </w:tcBorders>
          </w:tcPr>
          <w:p>
            <w:pPr/>
          </w:p>
        </w:tc>
        <w:tc>
          <w:tcPr>
            <w:tcW w:w="3053" w:type="dxa"/>
            <w:vMerge/>
            <w:tcBorders>
              <w:left w:val="single" w:sz="4" w:space="0" w:color="000000"/>
              <w:right w:val="single" w:sz="4" w:space="0" w:color="000000"/>
            </w:tcBorders>
          </w:tcPr>
          <w:p>
            <w:pPr/>
          </w:p>
        </w:tc>
      </w:tr>
      <w:tr>
        <w:trPr>
          <w:trHeight w:val="631" w:hRule="exact"/>
        </w:trPr>
        <w:tc>
          <w:tcPr>
            <w:tcW w:w="3195"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2" w:type="dxa"/>
            <w:vMerge/>
            <w:tcBorders>
              <w:left w:val="single" w:sz="4" w:space="0" w:color="000000"/>
              <w:bottom w:val="single" w:sz="4" w:space="0" w:color="000000"/>
              <w:right w:val="single" w:sz="4" w:space="0" w:color="000000"/>
            </w:tcBorders>
          </w:tcPr>
          <w:p>
            <w:pPr/>
          </w:p>
        </w:tc>
        <w:tc>
          <w:tcPr>
            <w:tcW w:w="3053" w:type="dxa"/>
            <w:vMerge/>
            <w:tcBorders>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20"/>
        </w:sectPr>
      </w:pPr>
    </w:p>
    <w:p>
      <w:pPr>
        <w:spacing w:line="240" w:lineRule="auto" w:before="6"/>
        <w:rPr>
          <w:rFonts w:ascii="宋体" w:hAnsi="宋体" w:cs="宋体" w:eastAsia="宋体" w:hint="default"/>
          <w:b/>
          <w:bCs/>
          <w:sz w:val="28"/>
          <w:szCs w:val="28"/>
        </w:rPr>
      </w:pPr>
      <w:r>
        <w:rPr/>
        <w:pict>
          <v:group style="position:absolute;margin-left:382.869995pt;margin-top:385.48999pt;width:152.1pt;height:30.15pt;mso-position-horizontal-relative:page;mso-position-vertical-relative:page;z-index:-1265344" coordorigin="7657,7710" coordsize="3042,603">
            <v:shape style="position:absolute;left:7657;top:7710;width:3042;height:603" coordorigin="7657,7710" coordsize="3042,603" path="m7657,8312l10699,8312,10699,7710,7657,7710,7657,8312xe" filled="true" fillcolor="#ffffff" stroked="false">
              <v:path arrowok="t"/>
              <v:fill type="solid"/>
            </v:shape>
            <w10:wrap type="none"/>
          </v:group>
        </w:pict>
      </w:r>
      <w:r>
        <w:rPr/>
        <w:pict>
          <v:group style="position:absolute;margin-left:384.070007pt;margin-top:497.709991pt;width:149.7pt;height:17.55pt;mso-position-horizontal-relative:page;mso-position-vertical-relative:page;z-index:-1265296" coordorigin="7681,9954" coordsize="2994,351">
            <v:shape style="position:absolute;left:7681;top:9954;width:2994;height:351" coordorigin="7681,9954" coordsize="2994,351" path="m7681,10305l10675,10305,10675,9954,7681,9954,7681,10305xe" filled="true" fillcolor="#ffffff" stroked="false">
              <v:path arrowok="t"/>
              <v:fill type="solid"/>
            </v:shape>
            <w10:wrap type="none"/>
          </v:group>
        </w:pict>
      </w:r>
    </w:p>
    <w:tbl>
      <w:tblPr>
        <w:tblW w:w="0" w:type="auto"/>
        <w:jc w:val="left"/>
        <w:tblInd w:w="149" w:type="dxa"/>
        <w:tblLayout w:type="fixed"/>
        <w:tblCellMar>
          <w:top w:w="0" w:type="dxa"/>
          <w:left w:w="0" w:type="dxa"/>
          <w:bottom w:w="0" w:type="dxa"/>
          <w:right w:w="0" w:type="dxa"/>
        </w:tblCellMar>
        <w:tblLook w:val="01E0"/>
      </w:tblPr>
      <w:tblGrid>
        <w:gridCol w:w="3194"/>
        <w:gridCol w:w="3322"/>
        <w:gridCol w:w="3053"/>
      </w:tblGrid>
      <w:tr>
        <w:trPr>
          <w:trHeight w:val="335" w:hRule="exact"/>
        </w:trPr>
        <w:tc>
          <w:tcPr>
            <w:tcW w:w="3194" w:type="dxa"/>
            <w:vMerge w:val="restart"/>
            <w:tcBorders>
              <w:top w:val="single" w:sz="4" w:space="0" w:color="000000"/>
              <w:left w:val="single" w:sz="4" w:space="0" w:color="000000"/>
              <w:right w:val="single" w:sz="4" w:space="0" w:color="000000"/>
            </w:tcBorders>
            <w:shd w:val="clear" w:color="auto" w:fill="D2D2D2"/>
          </w:tcPr>
          <w:p>
            <w:pP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pacing w:val="17"/>
                <w:sz w:val="18"/>
                <w:szCs w:val="18"/>
              </w:rPr>
              <w:t>务报告内部控制重大缺陷：</w:t>
            </w:r>
            <w:r>
              <w:rPr>
                <w:rFonts w:ascii="宋体" w:hAnsi="宋体" w:cs="宋体" w:eastAsia="宋体" w:hint="default"/>
                <w:spacing w:val="-67"/>
                <w:sz w:val="18"/>
                <w:szCs w:val="18"/>
              </w:rPr>
              <w:t> </w:t>
            </w:r>
            <w:r>
              <w:rPr>
                <w:rFonts w:ascii="宋体" w:hAnsi="宋体" w:cs="宋体" w:eastAsia="宋体" w:hint="default"/>
                <w:sz w:val="18"/>
                <w:szCs w:val="18"/>
              </w:rPr>
              <w:t> </w:t>
            </w:r>
          </w:p>
        </w:tc>
        <w:tc>
          <w:tcPr>
            <w:tcW w:w="30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left="26" w:right="0"/>
              <w:jc w:val="left"/>
              <w:rPr>
                <w:rFonts w:ascii="宋体" w:hAnsi="宋体" w:cs="宋体" w:eastAsia="宋体" w:hint="default"/>
                <w:sz w:val="18"/>
                <w:szCs w:val="18"/>
              </w:rPr>
            </w:pPr>
            <w:r>
              <w:rPr>
                <w:rFonts w:ascii="宋体" w:hAnsi="宋体" w:cs="宋体" w:eastAsia="宋体" w:hint="default"/>
                <w:spacing w:val="18"/>
                <w:sz w:val="18"/>
                <w:szCs w:val="18"/>
              </w:rPr>
              <w:t>非财务报告内部控制重大缺陷：</w:t>
            </w:r>
            <w:r>
              <w:rPr>
                <w:rFonts w:ascii="宋体" w:hAnsi="宋体" w:cs="宋体" w:eastAsia="宋体" w:hint="default"/>
                <w:spacing w:val="-66"/>
                <w:sz w:val="18"/>
                <w:szCs w:val="18"/>
              </w:rPr>
              <w:t> </w:t>
            </w:r>
            <w:r>
              <w:rPr>
                <w:rFonts w:ascii="宋体" w:hAnsi="宋体" w:cs="宋体" w:eastAsia="宋体" w:hint="default"/>
                <w:sz w:val="18"/>
                <w:szCs w:val="18"/>
              </w:rPr>
              <w:t> </w:t>
            </w:r>
          </w:p>
        </w:tc>
      </w:tr>
      <w:tr>
        <w:trPr>
          <w:trHeight w:val="333"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41"/>
              <w:jc w:val="righ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70"/>
                <w:sz w:val="18"/>
                <w:szCs w:val="18"/>
              </w:rPr>
              <w:t> </w:t>
            </w:r>
            <w:r>
              <w:rPr>
                <w:rFonts w:ascii="宋体" w:hAnsi="宋体" w:cs="宋体" w:eastAsia="宋体" w:hint="default"/>
                <w:spacing w:val="15"/>
                <w:sz w:val="18"/>
                <w:szCs w:val="18"/>
              </w:rPr>
              <w:t>1</w:t>
            </w:r>
            <w:r>
              <w:rPr>
                <w:rFonts w:ascii="宋体" w:hAnsi="宋体" w:cs="宋体" w:eastAsia="宋体" w:hint="default"/>
                <w:spacing w:val="15"/>
                <w:sz w:val="18"/>
                <w:szCs w:val="18"/>
              </w:rPr>
              <w:t>）董事、监事和高级管理人员</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42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9"/>
                <w:sz w:val="18"/>
                <w:szCs w:val="18"/>
              </w:rPr>
              <w:t> </w:t>
            </w:r>
            <w:r>
              <w:rPr>
                <w:rFonts w:ascii="宋体" w:hAnsi="宋体" w:cs="宋体" w:eastAsia="宋体" w:hint="default"/>
                <w:spacing w:val="5"/>
                <w:sz w:val="18"/>
                <w:szCs w:val="18"/>
              </w:rPr>
              <w:t>1</w:t>
            </w:r>
            <w:r>
              <w:rPr>
                <w:rFonts w:ascii="宋体" w:hAnsi="宋体" w:cs="宋体" w:eastAsia="宋体" w:hint="default"/>
                <w:spacing w:val="5"/>
                <w:sz w:val="18"/>
                <w:szCs w:val="18"/>
              </w:rPr>
              <w:t>）</w:t>
            </w:r>
            <w:r>
              <w:rPr>
                <w:rFonts w:ascii="宋体" w:hAnsi="宋体" w:cs="宋体" w:eastAsia="宋体" w:hint="default"/>
                <w:spacing w:val="-69"/>
                <w:sz w:val="18"/>
                <w:szCs w:val="18"/>
              </w:rPr>
              <w:t> </w:t>
            </w:r>
            <w:r>
              <w:rPr>
                <w:rFonts w:ascii="宋体" w:hAnsi="宋体" w:cs="宋体" w:eastAsia="宋体" w:hint="default"/>
                <w:spacing w:val="16"/>
                <w:sz w:val="18"/>
                <w:szCs w:val="18"/>
              </w:rPr>
              <w:t>违反国家法律、</w:t>
            </w:r>
            <w:r>
              <w:rPr>
                <w:rFonts w:ascii="宋体" w:hAnsi="宋体" w:cs="宋体" w:eastAsia="宋体" w:hint="default"/>
                <w:spacing w:val="-69"/>
                <w:sz w:val="18"/>
                <w:szCs w:val="18"/>
              </w:rPr>
              <w:t> </w:t>
            </w:r>
            <w:r>
              <w:rPr>
                <w:rFonts w:ascii="宋体" w:hAnsi="宋体" w:cs="宋体" w:eastAsia="宋体" w:hint="default"/>
                <w:spacing w:val="13"/>
                <w:sz w:val="18"/>
                <w:szCs w:val="18"/>
              </w:rPr>
              <w:t>法规或</w:t>
            </w:r>
          </w:p>
        </w:tc>
      </w:tr>
      <w:tr>
        <w:trPr>
          <w:trHeight w:val="331"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2"/>
                <w:sz w:val="18"/>
                <w:szCs w:val="18"/>
              </w:rPr>
              <w:t>舞弊；</w:t>
            </w:r>
            <w:r>
              <w:rPr>
                <w:rFonts w:ascii="宋体" w:hAnsi="宋体" w:cs="宋体" w:eastAsia="宋体" w:hint="default"/>
                <w:spacing w:val="-69"/>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6"/>
                <w:sz w:val="18"/>
                <w:szCs w:val="18"/>
              </w:rPr>
              <w:t>规范性文件；</w:t>
            </w:r>
            <w:r>
              <w:rPr>
                <w:rFonts w:ascii="宋体" w:hAnsi="宋体" w:cs="宋体" w:eastAsia="宋体" w:hint="default"/>
                <w:spacing w:val="-68"/>
                <w:sz w:val="18"/>
                <w:szCs w:val="18"/>
              </w:rPr>
              <w:t> </w:t>
            </w:r>
            <w:r>
              <w:rPr>
                <w:rFonts w:ascii="宋体" w:hAnsi="宋体" w:cs="宋体" w:eastAsia="宋体" w:hint="default"/>
                <w:sz w:val="18"/>
                <w:szCs w:val="18"/>
              </w:rPr>
              <w:t> </w:t>
            </w:r>
          </w:p>
        </w:tc>
      </w:tr>
      <w:tr>
        <w:trPr>
          <w:trHeight w:val="331"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24"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7"/>
                <w:sz w:val="18"/>
                <w:szCs w:val="18"/>
              </w:rPr>
              <w:t> </w:t>
            </w:r>
            <w:r>
              <w:rPr>
                <w:rFonts w:ascii="宋体" w:hAnsi="宋体" w:cs="宋体" w:eastAsia="宋体" w:hint="default"/>
                <w:spacing w:val="5"/>
                <w:sz w:val="18"/>
                <w:szCs w:val="18"/>
              </w:rPr>
              <w:t>2</w:t>
            </w:r>
            <w:r>
              <w:rPr>
                <w:rFonts w:ascii="宋体" w:hAnsi="宋体" w:cs="宋体" w:eastAsia="宋体" w:hint="default"/>
                <w:spacing w:val="5"/>
                <w:sz w:val="18"/>
                <w:szCs w:val="18"/>
              </w:rPr>
              <w:t>）</w:t>
            </w:r>
            <w:r>
              <w:rPr>
                <w:rFonts w:ascii="宋体" w:hAnsi="宋体" w:cs="宋体" w:eastAsia="宋体" w:hint="default"/>
                <w:spacing w:val="-67"/>
                <w:sz w:val="18"/>
                <w:szCs w:val="18"/>
              </w:rPr>
              <w:t> </w:t>
            </w:r>
            <w:r>
              <w:rPr>
                <w:rFonts w:ascii="宋体" w:hAnsi="宋体" w:cs="宋体" w:eastAsia="宋体" w:hint="default"/>
                <w:spacing w:val="17"/>
                <w:sz w:val="18"/>
                <w:szCs w:val="18"/>
              </w:rPr>
              <w:t>公司更正已公布的财务报</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42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8"/>
                <w:sz w:val="18"/>
                <w:szCs w:val="18"/>
              </w:rPr>
              <w:t> </w:t>
            </w:r>
            <w:r>
              <w:rPr>
                <w:rFonts w:ascii="宋体" w:hAnsi="宋体" w:cs="宋体" w:eastAsia="宋体" w:hint="default"/>
                <w:spacing w:val="5"/>
                <w:sz w:val="18"/>
                <w:szCs w:val="18"/>
              </w:rPr>
              <w:t>2</w:t>
            </w:r>
            <w:r>
              <w:rPr>
                <w:rFonts w:ascii="宋体" w:hAnsi="宋体" w:cs="宋体" w:eastAsia="宋体" w:hint="default"/>
                <w:spacing w:val="5"/>
                <w:sz w:val="18"/>
                <w:szCs w:val="18"/>
              </w:rPr>
              <w:t>）</w:t>
            </w:r>
            <w:r>
              <w:rPr>
                <w:rFonts w:ascii="宋体" w:hAnsi="宋体" w:cs="宋体" w:eastAsia="宋体" w:hint="default"/>
                <w:spacing w:val="-68"/>
                <w:sz w:val="18"/>
                <w:szCs w:val="18"/>
              </w:rPr>
              <w:t> </w:t>
            </w:r>
            <w:r>
              <w:rPr>
                <w:rFonts w:ascii="宋体" w:hAnsi="宋体" w:cs="宋体" w:eastAsia="宋体" w:hint="default"/>
                <w:spacing w:val="17"/>
                <w:sz w:val="18"/>
                <w:szCs w:val="18"/>
              </w:rPr>
              <w:t>缺乏决策程序或决策程</w:t>
            </w:r>
          </w:p>
        </w:tc>
      </w:tr>
      <w:tr>
        <w:trPr>
          <w:trHeight w:val="33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9"/>
                <w:sz w:val="18"/>
                <w:szCs w:val="18"/>
              </w:rPr>
              <w:t>告；</w:t>
            </w:r>
            <w:r>
              <w:rPr>
                <w:rFonts w:ascii="宋体" w:hAnsi="宋体" w:cs="宋体" w:eastAsia="宋体" w:hint="default"/>
                <w:spacing w:val="-69"/>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5"/>
                <w:sz w:val="18"/>
                <w:szCs w:val="18"/>
              </w:rPr>
              <w:t>序不科学，</w:t>
            </w:r>
            <w:r>
              <w:rPr>
                <w:rFonts w:ascii="宋体" w:hAnsi="宋体" w:cs="宋体" w:eastAsia="宋体" w:hint="default"/>
                <w:spacing w:val="-63"/>
                <w:sz w:val="18"/>
                <w:szCs w:val="18"/>
              </w:rPr>
              <w:t> </w:t>
            </w:r>
            <w:r>
              <w:rPr>
                <w:rFonts w:ascii="宋体" w:hAnsi="宋体" w:cs="宋体" w:eastAsia="宋体" w:hint="default"/>
                <w:spacing w:val="16"/>
                <w:sz w:val="18"/>
                <w:szCs w:val="18"/>
              </w:rPr>
              <w:t>导致重大失误；</w:t>
            </w:r>
            <w:r>
              <w:rPr>
                <w:rFonts w:ascii="宋体" w:hAnsi="宋体" w:cs="宋体" w:eastAsia="宋体" w:hint="default"/>
                <w:spacing w:val="-67"/>
                <w:sz w:val="18"/>
                <w:szCs w:val="18"/>
              </w:rPr>
              <w:t> </w:t>
            </w:r>
            <w:r>
              <w:rPr>
                <w:rFonts w:ascii="宋体" w:hAnsi="宋体" w:cs="宋体" w:eastAsia="宋体" w:hint="default"/>
                <w:sz w:val="18"/>
                <w:szCs w:val="18"/>
              </w:rPr>
              <w:t> </w:t>
            </w:r>
          </w:p>
        </w:tc>
      </w:tr>
      <w:tr>
        <w:trPr>
          <w:trHeight w:val="33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right="40"/>
              <w:jc w:val="righ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70"/>
                <w:sz w:val="18"/>
                <w:szCs w:val="18"/>
              </w:rPr>
              <w:t> </w:t>
            </w:r>
            <w:r>
              <w:rPr>
                <w:rFonts w:ascii="宋体" w:hAnsi="宋体" w:cs="宋体" w:eastAsia="宋体" w:hint="default"/>
                <w:spacing w:val="15"/>
                <w:sz w:val="18"/>
                <w:szCs w:val="18"/>
              </w:rPr>
              <w:t>3</w:t>
            </w:r>
            <w:r>
              <w:rPr>
                <w:rFonts w:ascii="宋体" w:hAnsi="宋体" w:cs="宋体" w:eastAsia="宋体" w:hint="default"/>
                <w:spacing w:val="15"/>
                <w:sz w:val="18"/>
                <w:szCs w:val="18"/>
              </w:rPr>
              <w:t>）注册会计师发现当期财务报</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42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8"/>
                <w:sz w:val="18"/>
                <w:szCs w:val="18"/>
              </w:rPr>
              <w:t> </w:t>
            </w:r>
            <w:r>
              <w:rPr>
                <w:rFonts w:ascii="宋体" w:hAnsi="宋体" w:cs="宋体" w:eastAsia="宋体" w:hint="default"/>
                <w:spacing w:val="5"/>
                <w:sz w:val="18"/>
                <w:szCs w:val="18"/>
              </w:rPr>
              <w:t>3</w:t>
            </w:r>
            <w:r>
              <w:rPr>
                <w:rFonts w:ascii="宋体" w:hAnsi="宋体" w:cs="宋体" w:eastAsia="宋体" w:hint="default"/>
                <w:spacing w:val="5"/>
                <w:sz w:val="18"/>
                <w:szCs w:val="18"/>
              </w:rPr>
              <w:t>）</w:t>
            </w:r>
            <w:r>
              <w:rPr>
                <w:rFonts w:ascii="宋体" w:hAnsi="宋体" w:cs="宋体" w:eastAsia="宋体" w:hint="default"/>
                <w:spacing w:val="-68"/>
                <w:sz w:val="18"/>
                <w:szCs w:val="18"/>
              </w:rPr>
              <w:t> </w:t>
            </w:r>
            <w:r>
              <w:rPr>
                <w:rFonts w:ascii="宋体" w:hAnsi="宋体" w:cs="宋体" w:eastAsia="宋体" w:hint="default"/>
                <w:spacing w:val="17"/>
                <w:sz w:val="18"/>
                <w:szCs w:val="18"/>
              </w:rPr>
              <w:t>重要业务缺乏制度控制</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7"/>
                <w:sz w:val="18"/>
                <w:szCs w:val="18"/>
              </w:rPr>
              <w:t>告存在重大错报，</w:t>
            </w:r>
            <w:r>
              <w:rPr>
                <w:rFonts w:ascii="宋体" w:hAnsi="宋体" w:cs="宋体" w:eastAsia="宋体" w:hint="default"/>
                <w:spacing w:val="-70"/>
                <w:sz w:val="18"/>
                <w:szCs w:val="18"/>
              </w:rPr>
              <w:t> </w:t>
            </w:r>
            <w:r>
              <w:rPr>
                <w:rFonts w:ascii="宋体" w:hAnsi="宋体" w:cs="宋体" w:eastAsia="宋体" w:hint="default"/>
                <w:spacing w:val="17"/>
                <w:sz w:val="18"/>
                <w:szCs w:val="18"/>
              </w:rPr>
              <w:t>而内部控制在运行</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7"/>
                <w:sz w:val="18"/>
                <w:szCs w:val="18"/>
              </w:rPr>
              <w:t>或制度系统性失败；</w:t>
            </w:r>
            <w:r>
              <w:rPr>
                <w:rFonts w:ascii="宋体" w:hAnsi="宋体" w:cs="宋体" w:eastAsia="宋体" w:hint="default"/>
                <w:spacing w:val="-67"/>
                <w:sz w:val="18"/>
                <w:szCs w:val="18"/>
              </w:rPr>
              <w:t> </w:t>
            </w:r>
            <w:r>
              <w:rPr>
                <w:rFonts w:ascii="宋体" w:hAnsi="宋体" w:cs="宋体" w:eastAsia="宋体" w:hint="default"/>
                <w:sz w:val="18"/>
                <w:szCs w:val="18"/>
              </w:rPr>
              <w:t> </w:t>
            </w:r>
          </w:p>
        </w:tc>
      </w:tr>
      <w:tr>
        <w:trPr>
          <w:trHeight w:val="353"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7"/>
                <w:sz w:val="18"/>
                <w:szCs w:val="18"/>
              </w:rPr>
              <w:t>过程中未能发现该错报；</w:t>
            </w:r>
            <w:r>
              <w:rPr>
                <w:rFonts w:ascii="宋体" w:hAnsi="宋体" w:cs="宋体" w:eastAsia="宋体" w:hint="default"/>
                <w:spacing w:val="-67"/>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42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8"/>
                <w:sz w:val="18"/>
                <w:szCs w:val="18"/>
              </w:rPr>
              <w:t> </w:t>
            </w:r>
            <w:r>
              <w:rPr>
                <w:rFonts w:ascii="宋体" w:hAnsi="宋体" w:cs="宋体" w:eastAsia="宋体" w:hint="default"/>
                <w:spacing w:val="5"/>
                <w:sz w:val="18"/>
                <w:szCs w:val="18"/>
              </w:rPr>
              <w:t>4</w:t>
            </w:r>
            <w:r>
              <w:rPr>
                <w:rFonts w:ascii="宋体" w:hAnsi="宋体" w:cs="宋体" w:eastAsia="宋体" w:hint="default"/>
                <w:spacing w:val="5"/>
                <w:sz w:val="18"/>
                <w:szCs w:val="18"/>
              </w:rPr>
              <w:t>）</w:t>
            </w:r>
            <w:r>
              <w:rPr>
                <w:rFonts w:ascii="宋体" w:hAnsi="宋体" w:cs="宋体" w:eastAsia="宋体" w:hint="default"/>
                <w:spacing w:val="-68"/>
                <w:sz w:val="18"/>
                <w:szCs w:val="18"/>
              </w:rPr>
              <w:t> </w:t>
            </w:r>
            <w:r>
              <w:rPr>
                <w:rFonts w:ascii="宋体" w:hAnsi="宋体" w:cs="宋体" w:eastAsia="宋体" w:hint="default"/>
                <w:spacing w:val="17"/>
                <w:sz w:val="18"/>
                <w:szCs w:val="18"/>
              </w:rPr>
              <w:t>在中央媒体或全国性媒</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40"/>
              <w:jc w:val="righ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70"/>
                <w:sz w:val="18"/>
                <w:szCs w:val="18"/>
              </w:rPr>
              <w:t> </w:t>
            </w:r>
            <w:r>
              <w:rPr>
                <w:rFonts w:ascii="宋体" w:hAnsi="宋体" w:cs="宋体" w:eastAsia="宋体" w:hint="default"/>
                <w:spacing w:val="15"/>
                <w:sz w:val="18"/>
                <w:szCs w:val="18"/>
              </w:rPr>
              <w:t>4</w:t>
            </w:r>
            <w:r>
              <w:rPr>
                <w:rFonts w:ascii="宋体" w:hAnsi="宋体" w:cs="宋体" w:eastAsia="宋体" w:hint="default"/>
                <w:spacing w:val="15"/>
                <w:sz w:val="18"/>
                <w:szCs w:val="18"/>
              </w:rPr>
              <w:t>）公司审计委员会和内部审计</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7"/>
                <w:sz w:val="18"/>
                <w:szCs w:val="18"/>
              </w:rPr>
              <w:t>体上负面新闻频现；</w:t>
            </w:r>
            <w:r>
              <w:rPr>
                <w:rFonts w:ascii="宋体" w:hAnsi="宋体" w:cs="宋体" w:eastAsia="宋体" w:hint="default"/>
                <w:spacing w:val="-67"/>
                <w:sz w:val="18"/>
                <w:szCs w:val="18"/>
              </w:rPr>
              <w:t> </w:t>
            </w:r>
            <w:r>
              <w:rPr>
                <w:rFonts w:ascii="宋体" w:hAnsi="宋体" w:cs="宋体" w:eastAsia="宋体" w:hint="default"/>
                <w:sz w:val="18"/>
                <w:szCs w:val="18"/>
              </w:rPr>
              <w:t> </w:t>
            </w:r>
          </w:p>
        </w:tc>
      </w:tr>
      <w:tr>
        <w:trPr>
          <w:trHeight w:val="350"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8"/>
                <w:sz w:val="18"/>
                <w:szCs w:val="18"/>
              </w:rPr>
              <w:t>机构对内部控制的监督无效；</w:t>
            </w:r>
            <w:r>
              <w:rPr>
                <w:rFonts w:ascii="宋体" w:hAnsi="宋体" w:cs="宋体" w:eastAsia="宋体" w:hint="default"/>
                <w:spacing w:val="-69"/>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42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68"/>
                <w:sz w:val="18"/>
                <w:szCs w:val="18"/>
              </w:rPr>
              <w:t> </w:t>
            </w:r>
            <w:r>
              <w:rPr>
                <w:rFonts w:ascii="宋体" w:hAnsi="宋体" w:cs="宋体" w:eastAsia="宋体" w:hint="default"/>
                <w:spacing w:val="5"/>
                <w:sz w:val="18"/>
                <w:szCs w:val="18"/>
              </w:rPr>
              <w:t>5</w:t>
            </w:r>
            <w:r>
              <w:rPr>
                <w:rFonts w:ascii="宋体" w:hAnsi="宋体" w:cs="宋体" w:eastAsia="宋体" w:hint="default"/>
                <w:spacing w:val="5"/>
                <w:sz w:val="18"/>
                <w:szCs w:val="18"/>
              </w:rPr>
              <w:t>）</w:t>
            </w:r>
            <w:r>
              <w:rPr>
                <w:rFonts w:ascii="宋体" w:hAnsi="宋体" w:cs="宋体" w:eastAsia="宋体" w:hint="default"/>
                <w:spacing w:val="-68"/>
                <w:sz w:val="18"/>
                <w:szCs w:val="18"/>
              </w:rPr>
              <w:t> </w:t>
            </w:r>
            <w:r>
              <w:rPr>
                <w:rFonts w:ascii="宋体" w:hAnsi="宋体" w:cs="宋体" w:eastAsia="宋体" w:hint="default"/>
                <w:spacing w:val="17"/>
                <w:sz w:val="18"/>
                <w:szCs w:val="18"/>
              </w:rPr>
              <w:t>其他对公司影响重大的</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40"/>
              <w:jc w:val="righ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70"/>
                <w:sz w:val="18"/>
                <w:szCs w:val="18"/>
              </w:rPr>
              <w:t> </w:t>
            </w:r>
            <w:r>
              <w:rPr>
                <w:rFonts w:ascii="宋体" w:hAnsi="宋体" w:cs="宋体" w:eastAsia="宋体" w:hint="default"/>
                <w:spacing w:val="15"/>
                <w:sz w:val="18"/>
                <w:szCs w:val="18"/>
              </w:rPr>
              <w:t>5</w:t>
            </w:r>
            <w:r>
              <w:rPr>
                <w:rFonts w:ascii="宋体" w:hAnsi="宋体" w:cs="宋体" w:eastAsia="宋体" w:hint="default"/>
                <w:spacing w:val="15"/>
                <w:sz w:val="18"/>
                <w:szCs w:val="18"/>
              </w:rPr>
              <w:t>）其他可能影响报表使用者正</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2"/>
                <w:sz w:val="18"/>
                <w:szCs w:val="18"/>
              </w:rPr>
              <w:t>情形。</w:t>
            </w:r>
            <w:r>
              <w:rPr>
                <w:rFonts w:ascii="宋体" w:hAnsi="宋体" w:cs="宋体" w:eastAsia="宋体" w:hint="default"/>
                <w:spacing w:val="-69"/>
                <w:sz w:val="18"/>
                <w:szCs w:val="18"/>
              </w:rPr>
              <w:t> </w:t>
            </w:r>
            <w:r>
              <w:rPr>
                <w:rFonts w:ascii="宋体" w:hAnsi="宋体" w:cs="宋体" w:eastAsia="宋体" w:hint="default"/>
                <w:sz w:val="18"/>
                <w:szCs w:val="18"/>
              </w:rPr>
              <w:t> </w:t>
            </w:r>
          </w:p>
        </w:tc>
      </w:tr>
      <w:tr>
        <w:trPr>
          <w:trHeight w:val="353"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6"/>
                <w:sz w:val="18"/>
                <w:szCs w:val="18"/>
              </w:rPr>
              <w:t>确判断的缺陷。</w:t>
            </w:r>
            <w:r>
              <w:rPr>
                <w:rFonts w:ascii="宋体" w:hAnsi="宋体" w:cs="宋体" w:eastAsia="宋体" w:hint="default"/>
                <w:spacing w:val="-68"/>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pacing w:val="17"/>
                <w:sz w:val="18"/>
                <w:szCs w:val="18"/>
              </w:rPr>
              <w:t>重要缺陷：单独缺陷或连同其</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424" w:right="0"/>
              <w:jc w:val="left"/>
              <w:rPr>
                <w:rFonts w:ascii="宋体" w:hAnsi="宋体" w:cs="宋体" w:eastAsia="宋体" w:hint="default"/>
                <w:sz w:val="18"/>
                <w:szCs w:val="18"/>
              </w:rPr>
            </w:pPr>
            <w:r>
              <w:rPr>
                <w:rFonts w:ascii="宋体" w:hAnsi="宋体" w:cs="宋体" w:eastAsia="宋体" w:hint="default"/>
                <w:spacing w:val="15"/>
                <w:sz w:val="18"/>
                <w:szCs w:val="18"/>
              </w:rPr>
              <w:t>重要缺陷：</w:t>
            </w:r>
            <w:r>
              <w:rPr>
                <w:rFonts w:ascii="宋体" w:hAnsi="宋体" w:cs="宋体" w:eastAsia="宋体" w:hint="default"/>
                <w:spacing w:val="-64"/>
                <w:sz w:val="18"/>
                <w:szCs w:val="18"/>
              </w:rPr>
              <w:t> </w:t>
            </w:r>
            <w:r>
              <w:rPr>
                <w:rFonts w:ascii="宋体" w:hAnsi="宋体" w:cs="宋体" w:eastAsia="宋体" w:hint="default"/>
                <w:spacing w:val="17"/>
                <w:sz w:val="18"/>
                <w:szCs w:val="18"/>
              </w:rPr>
              <w:t>内部控制缺陷单独或</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7"/>
                <w:sz w:val="18"/>
                <w:szCs w:val="18"/>
              </w:rPr>
              <w:t>他缺陷组合，其严重程度低于重大</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8"/>
                <w:sz w:val="18"/>
                <w:szCs w:val="18"/>
              </w:rPr>
              <w:t>连同其他缺陷具备合理可能性导致不</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7"/>
                <w:sz w:val="18"/>
                <w:szCs w:val="18"/>
              </w:rPr>
              <w:t>缺陷，但仍有可能导致公司偏离控</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8"/>
                <w:sz w:val="18"/>
                <w:szCs w:val="18"/>
              </w:rPr>
              <w:t>能及时防止或发现并纠正财务报告中</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14"/>
                <w:sz w:val="18"/>
                <w:szCs w:val="18"/>
              </w:rPr>
              <w:t>制目标。</w:t>
            </w:r>
            <w:r>
              <w:rPr>
                <w:rFonts w:ascii="宋体" w:hAnsi="宋体" w:cs="宋体" w:eastAsia="宋体" w:hint="default"/>
                <w:spacing w:val="-69"/>
                <w:sz w:val="18"/>
                <w:szCs w:val="18"/>
              </w:rPr>
              <w:t> </w:t>
            </w:r>
            <w:r>
              <w:rPr>
                <w:rFonts w:ascii="宋体" w:hAnsi="宋体" w:cs="宋体" w:eastAsia="宋体" w:hint="default"/>
                <w:sz w:val="18"/>
                <w:szCs w:val="18"/>
              </w:rPr>
              <w:t> </w:t>
            </w:r>
          </w:p>
        </w:tc>
      </w:tr>
      <w:tr>
        <w:trPr>
          <w:trHeight w:val="33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8"/>
                <w:sz w:val="18"/>
                <w:szCs w:val="18"/>
              </w:rPr>
              <w:t>虽然未达到和超过重要性水平、</w:t>
            </w:r>
            <w:r>
              <w:rPr>
                <w:rFonts w:ascii="宋体" w:hAnsi="宋体" w:cs="宋体" w:eastAsia="宋体" w:hint="default"/>
                <w:spacing w:val="-68"/>
                <w:sz w:val="18"/>
                <w:szCs w:val="18"/>
              </w:rPr>
              <w:t> </w:t>
            </w:r>
            <w:r>
              <w:rPr>
                <w:rFonts w:ascii="宋体" w:hAnsi="宋体" w:cs="宋体" w:eastAsia="宋体" w:hint="default"/>
                <w:spacing w:val="9"/>
                <w:sz w:val="18"/>
                <w:szCs w:val="18"/>
              </w:rPr>
              <w:t>但仍</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pacing w:val="17"/>
                <w:sz w:val="18"/>
                <w:szCs w:val="18"/>
              </w:rPr>
              <w:t>一般缺陷：不构成重大缺陷和重要</w:t>
            </w:r>
          </w:p>
        </w:tc>
      </w:tr>
      <w:tr>
        <w:trPr>
          <w:trHeight w:val="33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24" w:right="-2"/>
              <w:jc w:val="left"/>
              <w:rPr>
                <w:rFonts w:ascii="宋体" w:hAnsi="宋体" w:cs="宋体" w:eastAsia="宋体" w:hint="default"/>
                <w:sz w:val="18"/>
                <w:szCs w:val="18"/>
              </w:rPr>
            </w:pPr>
            <w:r>
              <w:rPr>
                <w:rFonts w:ascii="宋体" w:hAnsi="宋体" w:cs="宋体" w:eastAsia="宋体" w:hint="default"/>
                <w:spacing w:val="18"/>
                <w:sz w:val="18"/>
                <w:szCs w:val="18"/>
              </w:rPr>
              <w:t>应引起董事会和管理层重视的错报。</w:t>
            </w:r>
            <w:r>
              <w:rPr>
                <w:rFonts w:ascii="宋体" w:hAnsi="宋体" w:cs="宋体" w:eastAsia="宋体" w:hint="default"/>
                <w:spacing w:val="-66"/>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31"/>
              <w:ind w:left="26" w:right="0"/>
              <w:jc w:val="left"/>
              <w:rPr>
                <w:rFonts w:ascii="宋体" w:hAnsi="宋体" w:cs="宋体" w:eastAsia="宋体" w:hint="default"/>
                <w:sz w:val="18"/>
                <w:szCs w:val="18"/>
              </w:rPr>
            </w:pPr>
            <w:r>
              <w:rPr>
                <w:rFonts w:ascii="宋体" w:hAnsi="宋体" w:cs="宋体" w:eastAsia="宋体" w:hint="default"/>
                <w:spacing w:val="17"/>
                <w:sz w:val="18"/>
                <w:szCs w:val="18"/>
              </w:rPr>
              <w:t>缺陷的内部控制缺陷。</w:t>
            </w:r>
            <w:r>
              <w:rPr>
                <w:rFonts w:ascii="宋体" w:hAnsi="宋体" w:cs="宋体" w:eastAsia="宋体" w:hint="default"/>
                <w:spacing w:val="-67"/>
                <w:sz w:val="18"/>
                <w:szCs w:val="18"/>
              </w:rPr>
              <w:t> </w:t>
            </w:r>
            <w:r>
              <w:rPr>
                <w:rFonts w:ascii="宋体" w:hAnsi="宋体" w:cs="宋体" w:eastAsia="宋体" w:hint="default"/>
                <w:sz w:val="18"/>
                <w:szCs w:val="18"/>
              </w:rPr>
              <w:t> </w:t>
            </w:r>
          </w:p>
        </w:tc>
      </w:tr>
      <w:tr>
        <w:trPr>
          <w:trHeight w:val="312" w:hRule="exact"/>
        </w:trPr>
        <w:tc>
          <w:tcPr>
            <w:tcW w:w="3194" w:type="dxa"/>
            <w:vMerge/>
            <w:tcBorders>
              <w:left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424" w:right="0"/>
              <w:jc w:val="left"/>
              <w:rPr>
                <w:rFonts w:ascii="宋体" w:hAnsi="宋体" w:cs="宋体" w:eastAsia="宋体" w:hint="default"/>
                <w:sz w:val="18"/>
                <w:szCs w:val="18"/>
              </w:rPr>
            </w:pPr>
            <w:r>
              <w:rPr>
                <w:rFonts w:ascii="宋体" w:hAnsi="宋体" w:cs="宋体" w:eastAsia="宋体" w:hint="default"/>
                <w:spacing w:val="15"/>
                <w:sz w:val="18"/>
                <w:szCs w:val="18"/>
              </w:rPr>
              <w:t>一般缺陷：</w:t>
            </w:r>
            <w:r>
              <w:rPr>
                <w:rFonts w:ascii="宋体" w:hAnsi="宋体" w:cs="宋体" w:eastAsia="宋体" w:hint="default"/>
                <w:spacing w:val="-64"/>
                <w:sz w:val="18"/>
                <w:szCs w:val="18"/>
              </w:rPr>
              <w:t> </w:t>
            </w:r>
            <w:r>
              <w:rPr>
                <w:rFonts w:ascii="宋体" w:hAnsi="宋体" w:cs="宋体" w:eastAsia="宋体" w:hint="default"/>
                <w:spacing w:val="17"/>
                <w:sz w:val="18"/>
                <w:szCs w:val="18"/>
              </w:rPr>
              <w:t>不构成重大缺陷和重</w:t>
            </w:r>
          </w:p>
        </w:tc>
        <w:tc>
          <w:tcPr>
            <w:tcW w:w="3053"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3194" w:type="dxa"/>
            <w:vMerge/>
            <w:tcBorders>
              <w:left w:val="single" w:sz="4" w:space="0" w:color="000000"/>
              <w:bottom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7"/>
                <w:sz w:val="18"/>
                <w:szCs w:val="18"/>
              </w:rPr>
              <w:t>要缺陷的内部控制缺陷。</w:t>
            </w:r>
            <w:r>
              <w:rPr>
                <w:rFonts w:ascii="宋体" w:hAnsi="宋体" w:cs="宋体" w:eastAsia="宋体" w:hint="default"/>
                <w:spacing w:val="-67"/>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3194" w:type="dxa"/>
            <w:tcBorders>
              <w:top w:val="single" w:sz="4" w:space="0" w:color="000000"/>
              <w:left w:val="single" w:sz="4" w:space="0" w:color="000000"/>
              <w:bottom w:val="nil" w:sz="6" w:space="0" w:color="auto"/>
              <w:right w:val="single" w:sz="4" w:space="0" w:color="000000"/>
            </w:tcBorders>
            <w:shd w:val="clear" w:color="auto" w:fill="D2D2D2"/>
          </w:tcPr>
          <w:p>
            <w:pPr/>
          </w:p>
        </w:tc>
        <w:tc>
          <w:tcPr>
            <w:tcW w:w="332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424" w:right="0"/>
              <w:jc w:val="left"/>
              <w:rPr>
                <w:rFonts w:ascii="宋体" w:hAnsi="宋体" w:cs="宋体" w:eastAsia="宋体" w:hint="default"/>
                <w:sz w:val="18"/>
                <w:szCs w:val="18"/>
              </w:rPr>
            </w:pPr>
            <w:r>
              <w:rPr>
                <w:rFonts w:ascii="宋体" w:hAnsi="宋体" w:cs="宋体" w:eastAsia="宋体" w:hint="default"/>
                <w:spacing w:val="15"/>
                <w:sz w:val="18"/>
                <w:szCs w:val="18"/>
              </w:rPr>
              <w:t>重大缺陷：</w:t>
            </w:r>
            <w:r>
              <w:rPr>
                <w:rFonts w:ascii="宋体" w:hAnsi="宋体" w:cs="宋体" w:eastAsia="宋体" w:hint="default"/>
                <w:spacing w:val="-64"/>
                <w:sz w:val="18"/>
                <w:szCs w:val="18"/>
              </w:rPr>
              <w:t> </w:t>
            </w:r>
            <w:r>
              <w:rPr>
                <w:rFonts w:ascii="宋体" w:hAnsi="宋体" w:cs="宋体" w:eastAsia="宋体" w:hint="default"/>
                <w:spacing w:val="17"/>
                <w:sz w:val="18"/>
                <w:szCs w:val="18"/>
              </w:rPr>
              <w:t>该缺陷造成财务报告</w:t>
            </w:r>
          </w:p>
        </w:tc>
        <w:tc>
          <w:tcPr>
            <w:tcW w:w="3053" w:type="dxa"/>
            <w:tcBorders>
              <w:top w:val="single" w:sz="4" w:space="0" w:color="000000"/>
              <w:left w:val="single" w:sz="4" w:space="0" w:color="000000"/>
              <w:bottom w:val="nil" w:sz="6" w:space="0" w:color="auto"/>
              <w:right w:val="single" w:sz="4" w:space="0" w:color="000000"/>
            </w:tcBorders>
          </w:tcPr>
          <w:p>
            <w:pPr/>
          </w:p>
        </w:tc>
      </w:tr>
      <w:tr>
        <w:trPr>
          <w:trHeight w:val="301"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pacing w:val="18"/>
                <w:sz w:val="18"/>
                <w:szCs w:val="18"/>
              </w:rPr>
              <w:t>错报金额与利润表相关大于或等于合</w:t>
            </w:r>
          </w:p>
        </w:tc>
        <w:tc>
          <w:tcPr>
            <w:tcW w:w="305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4" w:right="0"/>
              <w:jc w:val="left"/>
              <w:rPr>
                <w:rFonts w:ascii="宋体" w:hAnsi="宋体" w:cs="宋体" w:eastAsia="宋体" w:hint="default"/>
                <w:sz w:val="18"/>
                <w:szCs w:val="18"/>
              </w:rPr>
            </w:pPr>
            <w:r>
              <w:rPr>
                <w:rFonts w:ascii="宋体" w:hAnsi="宋体" w:cs="宋体" w:eastAsia="宋体" w:hint="default"/>
                <w:spacing w:val="17"/>
                <w:sz w:val="18"/>
                <w:szCs w:val="18"/>
              </w:rPr>
              <w:t>并财务报表营业收入的</w:t>
            </w:r>
            <w:r>
              <w:rPr>
                <w:rFonts w:ascii="宋体" w:hAnsi="宋体" w:cs="宋体" w:eastAsia="宋体" w:hint="default"/>
                <w:spacing w:val="-68"/>
                <w:sz w:val="18"/>
                <w:szCs w:val="18"/>
              </w:rPr>
              <w:t> </w:t>
            </w:r>
            <w:r>
              <w:rPr>
                <w:rFonts w:ascii="宋体" w:hAnsi="宋体" w:cs="宋体" w:eastAsia="宋体" w:hint="default"/>
                <w:spacing w:val="7"/>
                <w:sz w:val="18"/>
                <w:szCs w:val="18"/>
              </w:rPr>
              <w:t>2%</w:t>
            </w:r>
            <w:r>
              <w:rPr>
                <w:rFonts w:ascii="宋体" w:hAnsi="宋体" w:cs="宋体" w:eastAsia="宋体" w:hint="default"/>
                <w:spacing w:val="7"/>
                <w:sz w:val="18"/>
                <w:szCs w:val="18"/>
              </w:rPr>
              <w:t>；</w:t>
            </w:r>
            <w:r>
              <w:rPr>
                <w:rFonts w:ascii="宋体" w:hAnsi="宋体" w:cs="宋体" w:eastAsia="宋体" w:hint="default"/>
                <w:spacing w:val="-66"/>
                <w:sz w:val="18"/>
                <w:szCs w:val="18"/>
              </w:rPr>
              <w:t> </w:t>
            </w:r>
            <w:r>
              <w:rPr>
                <w:rFonts w:ascii="宋体" w:hAnsi="宋体" w:cs="宋体" w:eastAsia="宋体" w:hint="default"/>
                <w:spacing w:val="14"/>
                <w:sz w:val="18"/>
                <w:szCs w:val="18"/>
              </w:rPr>
              <w:t>其他金额</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41"/>
              <w:jc w:val="right"/>
              <w:rPr>
                <w:rFonts w:ascii="宋体" w:hAnsi="宋体" w:cs="宋体" w:eastAsia="宋体" w:hint="default"/>
                <w:sz w:val="18"/>
                <w:szCs w:val="18"/>
              </w:rPr>
            </w:pPr>
            <w:r>
              <w:rPr>
                <w:rFonts w:ascii="宋体" w:hAnsi="宋体" w:cs="宋体" w:eastAsia="宋体" w:hint="default"/>
                <w:spacing w:val="17"/>
                <w:sz w:val="18"/>
                <w:szCs w:val="18"/>
              </w:rPr>
              <w:t>重大缺陷：该缺陷造成财产损</w:t>
            </w:r>
          </w:p>
        </w:tc>
      </w:tr>
      <w:tr>
        <w:trPr>
          <w:trHeight w:val="312"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4" w:right="0"/>
              <w:jc w:val="left"/>
              <w:rPr>
                <w:rFonts w:ascii="宋体" w:hAnsi="宋体" w:cs="宋体" w:eastAsia="宋体" w:hint="default"/>
                <w:sz w:val="18"/>
                <w:szCs w:val="18"/>
              </w:rPr>
            </w:pPr>
            <w:r>
              <w:rPr>
                <w:rFonts w:ascii="宋体" w:hAnsi="宋体" w:cs="宋体" w:eastAsia="宋体" w:hint="default"/>
                <w:spacing w:val="18"/>
                <w:sz w:val="18"/>
                <w:szCs w:val="18"/>
              </w:rPr>
              <w:t>大于或等于合并财务报表资产总额的</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6" w:right="0"/>
              <w:jc w:val="left"/>
              <w:rPr>
                <w:rFonts w:ascii="宋体" w:hAnsi="宋体" w:cs="宋体" w:eastAsia="宋体" w:hint="default"/>
                <w:sz w:val="18"/>
                <w:szCs w:val="18"/>
              </w:rPr>
            </w:pPr>
            <w:r>
              <w:rPr>
                <w:rFonts w:ascii="宋体" w:hAnsi="宋体" w:cs="宋体" w:eastAsia="宋体" w:hint="default"/>
                <w:spacing w:val="18"/>
                <w:sz w:val="18"/>
                <w:szCs w:val="18"/>
              </w:rPr>
              <w:t>失大于或等于合并财务报表营业</w:t>
            </w:r>
          </w:p>
        </w:tc>
      </w:tr>
      <w:tr>
        <w:trPr>
          <w:trHeight w:val="332"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4" w:right="0"/>
              <w:jc w:val="left"/>
              <w:rPr>
                <w:rFonts w:ascii="宋体" w:hAnsi="宋体" w:cs="宋体" w:eastAsia="宋体" w:hint="default"/>
                <w:sz w:val="18"/>
                <w:szCs w:val="18"/>
              </w:rPr>
            </w:pPr>
            <w:r>
              <w:rPr>
                <w:rFonts w:ascii="宋体" w:hAnsi="宋体" w:cs="宋体" w:eastAsia="宋体" w:hint="default"/>
                <w:spacing w:val="6"/>
                <w:sz w:val="18"/>
                <w:szCs w:val="18"/>
              </w:rPr>
              <w:t>1%</w:t>
            </w:r>
            <w:r>
              <w:rPr>
                <w:rFonts w:ascii="宋体" w:hAnsi="宋体" w:cs="宋体" w:eastAsia="宋体" w:hint="default"/>
                <w:spacing w:val="6"/>
                <w:sz w:val="18"/>
                <w:szCs w:val="18"/>
              </w:rPr>
              <w:t>。</w:t>
            </w:r>
            <w:r>
              <w:rPr>
                <w:rFonts w:ascii="宋体" w:hAnsi="宋体" w:cs="宋体" w:eastAsia="宋体" w:hint="default"/>
                <w:spacing w:val="-71"/>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6" w:right="0"/>
              <w:jc w:val="left"/>
              <w:rPr>
                <w:rFonts w:ascii="宋体" w:hAnsi="宋体" w:cs="宋体" w:eastAsia="宋体" w:hint="default"/>
                <w:sz w:val="18"/>
                <w:szCs w:val="18"/>
              </w:rPr>
            </w:pPr>
            <w:r>
              <w:rPr>
                <w:rFonts w:ascii="宋体" w:hAnsi="宋体" w:cs="宋体" w:eastAsia="宋体" w:hint="default"/>
                <w:spacing w:val="12"/>
                <w:sz w:val="18"/>
                <w:szCs w:val="18"/>
              </w:rPr>
              <w:t>收入的</w:t>
            </w:r>
            <w:r>
              <w:rPr>
                <w:rFonts w:ascii="宋体" w:hAnsi="宋体" w:cs="宋体" w:eastAsia="宋体" w:hint="default"/>
                <w:spacing w:val="-68"/>
                <w:sz w:val="18"/>
                <w:szCs w:val="18"/>
              </w:rPr>
              <w:t> </w:t>
            </w:r>
            <w:r>
              <w:rPr>
                <w:rFonts w:ascii="宋体" w:hAnsi="宋体" w:cs="宋体" w:eastAsia="宋体" w:hint="default"/>
                <w:spacing w:val="6"/>
                <w:sz w:val="18"/>
                <w:szCs w:val="18"/>
              </w:rPr>
              <w:t>2%</w:t>
            </w:r>
            <w:r>
              <w:rPr>
                <w:rFonts w:ascii="宋体" w:hAnsi="宋体" w:cs="宋体" w:eastAsia="宋体" w:hint="default"/>
                <w:spacing w:val="6"/>
                <w:sz w:val="18"/>
                <w:szCs w:val="18"/>
              </w:rPr>
              <w:t>；</w:t>
            </w:r>
            <w:r>
              <w:rPr>
                <w:rFonts w:ascii="宋体" w:hAnsi="宋体" w:cs="宋体" w:eastAsia="宋体" w:hint="default"/>
                <w:spacing w:val="-69"/>
                <w:sz w:val="18"/>
                <w:szCs w:val="18"/>
              </w:rPr>
              <w:t> </w:t>
            </w:r>
            <w:r>
              <w:rPr>
                <w:rFonts w:ascii="宋体" w:hAnsi="宋体" w:cs="宋体" w:eastAsia="宋体" w:hint="default"/>
                <w:sz w:val="18"/>
                <w:szCs w:val="18"/>
              </w:rPr>
              <w:t> </w:t>
            </w:r>
          </w:p>
        </w:tc>
      </w:tr>
      <w:tr>
        <w:trPr>
          <w:trHeight w:val="332"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left="424" w:right="0"/>
              <w:jc w:val="left"/>
              <w:rPr>
                <w:rFonts w:ascii="宋体" w:hAnsi="宋体" w:cs="宋体" w:eastAsia="宋体" w:hint="default"/>
                <w:sz w:val="18"/>
                <w:szCs w:val="18"/>
              </w:rPr>
            </w:pPr>
            <w:r>
              <w:rPr>
                <w:rFonts w:ascii="宋体" w:hAnsi="宋体" w:cs="宋体" w:eastAsia="宋体" w:hint="default"/>
                <w:spacing w:val="15"/>
                <w:sz w:val="18"/>
                <w:szCs w:val="18"/>
              </w:rPr>
              <w:t>重要缺陷：</w:t>
            </w:r>
            <w:r>
              <w:rPr>
                <w:rFonts w:ascii="宋体" w:hAnsi="宋体" w:cs="宋体" w:eastAsia="宋体" w:hint="default"/>
                <w:spacing w:val="-64"/>
                <w:sz w:val="18"/>
                <w:szCs w:val="18"/>
              </w:rPr>
              <w:t> </w:t>
            </w:r>
            <w:r>
              <w:rPr>
                <w:rFonts w:ascii="宋体" w:hAnsi="宋体" w:cs="宋体" w:eastAsia="宋体" w:hint="default"/>
                <w:spacing w:val="17"/>
                <w:sz w:val="18"/>
                <w:szCs w:val="18"/>
              </w:rPr>
              <w:t>该缺陷造成财务报告</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41"/>
              <w:jc w:val="right"/>
              <w:rPr>
                <w:rFonts w:ascii="宋体" w:hAnsi="宋体" w:cs="宋体" w:eastAsia="宋体" w:hint="default"/>
                <w:sz w:val="18"/>
                <w:szCs w:val="18"/>
              </w:rPr>
            </w:pPr>
            <w:r>
              <w:rPr>
                <w:rFonts w:ascii="宋体" w:hAnsi="宋体" w:cs="宋体" w:eastAsia="宋体" w:hint="default"/>
                <w:spacing w:val="17"/>
                <w:sz w:val="18"/>
                <w:szCs w:val="18"/>
              </w:rPr>
              <w:t>重要缺陷：该缺陷造成财产损</w:t>
            </w:r>
          </w:p>
        </w:tc>
      </w:tr>
      <w:tr>
        <w:trPr>
          <w:trHeight w:val="634"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316" w:lineRule="auto" w:before="20"/>
              <w:ind w:left="24" w:right="109"/>
              <w:jc w:val="left"/>
              <w:rPr>
                <w:rFonts w:ascii="宋体" w:hAnsi="宋体" w:cs="宋体" w:eastAsia="宋体" w:hint="default"/>
                <w:sz w:val="18"/>
                <w:szCs w:val="18"/>
              </w:rPr>
            </w:pPr>
            <w:r>
              <w:rPr>
                <w:rFonts w:ascii="宋体" w:hAnsi="宋体" w:cs="宋体" w:eastAsia="宋体" w:hint="default"/>
                <w:spacing w:val="18"/>
                <w:sz w:val="18"/>
                <w:szCs w:val="18"/>
              </w:rPr>
              <w:t>错报金额与利润表相关大于或等于合</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7"/>
                <w:sz w:val="18"/>
                <w:szCs w:val="18"/>
              </w:rPr>
              <w:t>并财务报表营业收入的</w:t>
            </w:r>
            <w:r>
              <w:rPr>
                <w:rFonts w:ascii="宋体" w:hAnsi="宋体" w:cs="宋体" w:eastAsia="宋体" w:hint="default"/>
                <w:spacing w:val="-66"/>
                <w:sz w:val="18"/>
                <w:szCs w:val="18"/>
              </w:rPr>
              <w:t> </w:t>
            </w:r>
            <w:r>
              <w:rPr>
                <w:rFonts w:ascii="宋体" w:hAnsi="宋体" w:cs="宋体" w:eastAsia="宋体" w:hint="default"/>
                <w:spacing w:val="7"/>
                <w:sz w:val="18"/>
                <w:szCs w:val="18"/>
              </w:rPr>
              <w:t>1%</w:t>
            </w:r>
            <w:r>
              <w:rPr>
                <w:rFonts w:ascii="宋体" w:hAnsi="宋体" w:cs="宋体" w:eastAsia="宋体" w:hint="default"/>
                <w:spacing w:val="7"/>
                <w:sz w:val="18"/>
                <w:szCs w:val="18"/>
              </w:rPr>
              <w:t>，但小于</w:t>
            </w:r>
            <w:r>
              <w:rPr>
                <w:rFonts w:ascii="宋体" w:hAnsi="宋体" w:cs="宋体" w:eastAsia="宋体" w:hint="default"/>
                <w:spacing w:val="-67"/>
                <w:sz w:val="18"/>
                <w:szCs w:val="18"/>
              </w:rPr>
              <w:t> </w:t>
            </w:r>
            <w:r>
              <w:rPr>
                <w:rFonts w:ascii="宋体" w:hAnsi="宋体" w:cs="宋体" w:eastAsia="宋体" w:hint="default"/>
                <w:spacing w:val="10"/>
                <w:sz w:val="18"/>
                <w:szCs w:val="18"/>
              </w:rPr>
              <w:t>2%</w:t>
            </w:r>
            <w:r>
              <w:rPr>
                <w:rFonts w:ascii="宋体" w:hAnsi="宋体" w:cs="宋体" w:eastAsia="宋体" w:hint="default"/>
                <w:sz w:val="18"/>
                <w:szCs w:val="18"/>
              </w:rPr>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6" w:right="0"/>
              <w:jc w:val="left"/>
              <w:rPr>
                <w:rFonts w:ascii="宋体" w:hAnsi="宋体" w:cs="宋体" w:eastAsia="宋体" w:hint="default"/>
                <w:sz w:val="18"/>
                <w:szCs w:val="18"/>
              </w:rPr>
            </w:pPr>
            <w:r>
              <w:rPr>
                <w:rFonts w:ascii="宋体" w:hAnsi="宋体" w:cs="宋体" w:eastAsia="宋体" w:hint="default"/>
                <w:spacing w:val="18"/>
                <w:sz w:val="18"/>
                <w:szCs w:val="18"/>
              </w:rPr>
              <w:t>失大于或等于合并财务报表营业</w:t>
            </w:r>
          </w:p>
          <w:p>
            <w:pPr>
              <w:pStyle w:val="TableParagraph"/>
              <w:spacing w:line="240" w:lineRule="auto" w:before="75"/>
              <w:ind w:left="-68" w:right="0"/>
              <w:jc w:val="left"/>
              <w:rPr>
                <w:rFonts w:ascii="宋体" w:hAnsi="宋体" w:cs="宋体" w:eastAsia="宋体" w:hint="default"/>
                <w:sz w:val="18"/>
                <w:szCs w:val="18"/>
              </w:rPr>
            </w:pPr>
            <w:r>
              <w:rPr>
                <w:rFonts w:ascii="宋体" w:hAnsi="宋体" w:cs="宋体" w:eastAsia="宋体" w:hint="default"/>
                <w:spacing w:val="-87"/>
                <w:sz w:val="18"/>
                <w:szCs w:val="18"/>
              </w:rPr>
              <w:t>；</w:t>
            </w:r>
            <w:r>
              <w:rPr>
                <w:rFonts w:ascii="宋体" w:hAnsi="宋体" w:cs="宋体" w:eastAsia="宋体" w:hint="default"/>
                <w:spacing w:val="19"/>
                <w:position w:val="2"/>
                <w:sz w:val="18"/>
                <w:szCs w:val="18"/>
              </w:rPr>
              <w:t>收入</w:t>
            </w:r>
            <w:r>
              <w:rPr>
                <w:rFonts w:ascii="宋体" w:hAnsi="宋体" w:cs="宋体" w:eastAsia="宋体" w:hint="default"/>
                <w:position w:val="2"/>
                <w:sz w:val="18"/>
                <w:szCs w:val="18"/>
              </w:rPr>
              <w:t>的</w:t>
            </w:r>
            <w:r>
              <w:rPr>
                <w:rFonts w:ascii="宋体" w:hAnsi="宋体" w:cs="宋体" w:eastAsia="宋体" w:hint="default"/>
                <w:spacing w:val="-71"/>
                <w:position w:val="2"/>
                <w:sz w:val="18"/>
                <w:szCs w:val="18"/>
              </w:rPr>
              <w:t> </w:t>
            </w:r>
            <w:r>
              <w:rPr>
                <w:rFonts w:ascii="宋体" w:hAnsi="宋体" w:cs="宋体" w:eastAsia="宋体" w:hint="default"/>
                <w:spacing w:val="10"/>
                <w:position w:val="2"/>
                <w:sz w:val="18"/>
                <w:szCs w:val="18"/>
              </w:rPr>
              <w:t>1%</w:t>
            </w:r>
            <w:r>
              <w:rPr>
                <w:rFonts w:ascii="宋体" w:hAnsi="宋体" w:cs="宋体" w:eastAsia="宋体" w:hint="default"/>
                <w:position w:val="2"/>
                <w:sz w:val="18"/>
                <w:szCs w:val="18"/>
              </w:rPr>
              <w:t>，</w:t>
            </w:r>
            <w:r>
              <w:rPr>
                <w:rFonts w:ascii="宋体" w:hAnsi="宋体" w:cs="宋体" w:eastAsia="宋体" w:hint="default"/>
                <w:spacing w:val="-71"/>
                <w:position w:val="2"/>
                <w:sz w:val="18"/>
                <w:szCs w:val="18"/>
              </w:rPr>
              <w:t> </w:t>
            </w:r>
            <w:r>
              <w:rPr>
                <w:rFonts w:ascii="宋体" w:hAnsi="宋体" w:cs="宋体" w:eastAsia="宋体" w:hint="default"/>
                <w:spacing w:val="19"/>
                <w:position w:val="2"/>
                <w:sz w:val="18"/>
                <w:szCs w:val="18"/>
              </w:rPr>
              <w:t>但</w:t>
            </w:r>
            <w:r>
              <w:rPr>
                <w:rFonts w:ascii="宋体" w:hAnsi="宋体" w:cs="宋体" w:eastAsia="宋体" w:hint="default"/>
                <w:spacing w:val="21"/>
                <w:position w:val="2"/>
                <w:sz w:val="18"/>
                <w:szCs w:val="18"/>
              </w:rPr>
              <w:t>小</w:t>
            </w:r>
            <w:r>
              <w:rPr>
                <w:rFonts w:ascii="宋体" w:hAnsi="宋体" w:cs="宋体" w:eastAsia="宋体" w:hint="default"/>
                <w:position w:val="2"/>
                <w:sz w:val="18"/>
                <w:szCs w:val="18"/>
              </w:rPr>
              <w:t>于</w:t>
            </w:r>
            <w:r>
              <w:rPr>
                <w:rFonts w:ascii="宋体" w:hAnsi="宋体" w:cs="宋体" w:eastAsia="宋体" w:hint="default"/>
                <w:spacing w:val="-70"/>
                <w:position w:val="2"/>
                <w:sz w:val="18"/>
                <w:szCs w:val="18"/>
              </w:rPr>
              <w:t> </w:t>
            </w:r>
            <w:r>
              <w:rPr>
                <w:rFonts w:ascii="宋体" w:hAnsi="宋体" w:cs="宋体" w:eastAsia="宋体" w:hint="default"/>
                <w:spacing w:val="10"/>
                <w:position w:val="2"/>
                <w:sz w:val="18"/>
                <w:szCs w:val="18"/>
              </w:rPr>
              <w:t>2%</w:t>
            </w:r>
            <w:r>
              <w:rPr>
                <w:rFonts w:ascii="宋体" w:hAnsi="宋体" w:cs="宋体" w:eastAsia="宋体" w:hint="default"/>
                <w:position w:val="2"/>
                <w:sz w:val="18"/>
                <w:szCs w:val="18"/>
              </w:rPr>
              <w:t>；</w:t>
            </w:r>
            <w:r>
              <w:rPr>
                <w:rFonts w:ascii="宋体" w:hAnsi="宋体" w:cs="宋体" w:eastAsia="宋体" w:hint="default"/>
                <w:spacing w:val="-71"/>
                <w:position w:val="2"/>
                <w:sz w:val="18"/>
                <w:szCs w:val="18"/>
              </w:rPr>
              <w:t> </w:t>
            </w:r>
            <w:r>
              <w:rPr>
                <w:rFonts w:ascii="宋体" w:hAnsi="宋体" w:cs="宋体" w:eastAsia="宋体" w:hint="default"/>
                <w:position w:val="2"/>
                <w:sz w:val="18"/>
                <w:szCs w:val="18"/>
              </w:rPr>
              <w:t> </w:t>
            </w:r>
            <w:r>
              <w:rPr>
                <w:rFonts w:ascii="宋体" w:hAnsi="宋体" w:cs="宋体" w:eastAsia="宋体" w:hint="default"/>
                <w:sz w:val="18"/>
                <w:szCs w:val="18"/>
              </w:rPr>
            </w:r>
          </w:p>
        </w:tc>
      </w:tr>
      <w:tr>
        <w:trPr>
          <w:trHeight w:val="322"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8"/>
                <w:sz w:val="18"/>
                <w:szCs w:val="18"/>
              </w:rPr>
              <w:t>其他金额大于或等于合并财务报表资</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41"/>
              <w:jc w:val="right"/>
              <w:rPr>
                <w:rFonts w:ascii="宋体" w:hAnsi="宋体" w:cs="宋体" w:eastAsia="宋体" w:hint="default"/>
                <w:sz w:val="18"/>
                <w:szCs w:val="18"/>
              </w:rPr>
            </w:pPr>
            <w:r>
              <w:rPr>
                <w:rFonts w:ascii="宋体" w:hAnsi="宋体" w:cs="宋体" w:eastAsia="宋体" w:hint="default"/>
                <w:spacing w:val="17"/>
                <w:sz w:val="18"/>
                <w:szCs w:val="18"/>
              </w:rPr>
              <w:t>一般缺陷：该缺陷造成财产损</w:t>
            </w:r>
          </w:p>
        </w:tc>
      </w:tr>
      <w:tr>
        <w:trPr>
          <w:trHeight w:val="322"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宋体" w:hAnsi="宋体" w:cs="宋体" w:eastAsia="宋体" w:hint="default"/>
                <w:sz w:val="18"/>
                <w:szCs w:val="18"/>
              </w:rPr>
            </w:pPr>
            <w:r>
              <w:rPr>
                <w:rFonts w:ascii="宋体" w:hAnsi="宋体" w:cs="宋体" w:eastAsia="宋体" w:hint="default"/>
                <w:spacing w:val="14"/>
                <w:sz w:val="18"/>
                <w:szCs w:val="18"/>
              </w:rPr>
              <w:t>产总额的</w:t>
            </w:r>
            <w:r>
              <w:rPr>
                <w:rFonts w:ascii="宋体" w:hAnsi="宋体" w:cs="宋体" w:eastAsia="宋体" w:hint="default"/>
                <w:spacing w:val="-70"/>
                <w:sz w:val="18"/>
                <w:szCs w:val="18"/>
              </w:rPr>
              <w:t> </w:t>
            </w:r>
            <w:r>
              <w:rPr>
                <w:rFonts w:ascii="宋体" w:hAnsi="宋体" w:cs="宋体" w:eastAsia="宋体" w:hint="default"/>
                <w:spacing w:val="11"/>
                <w:sz w:val="18"/>
                <w:szCs w:val="18"/>
              </w:rPr>
              <w:t>0.5%,</w:t>
            </w:r>
            <w:r>
              <w:rPr>
                <w:rFonts w:ascii="宋体" w:hAnsi="宋体" w:cs="宋体" w:eastAsia="宋体" w:hint="default"/>
                <w:spacing w:val="11"/>
                <w:sz w:val="18"/>
                <w:szCs w:val="18"/>
              </w:rPr>
              <w:t>但小于</w:t>
            </w:r>
            <w:r>
              <w:rPr>
                <w:rFonts w:ascii="宋体" w:hAnsi="宋体" w:cs="宋体" w:eastAsia="宋体" w:hint="default"/>
                <w:spacing w:val="-70"/>
                <w:sz w:val="18"/>
                <w:szCs w:val="18"/>
              </w:rPr>
              <w:t> </w:t>
            </w:r>
            <w:r>
              <w:rPr>
                <w:rFonts w:ascii="宋体" w:hAnsi="宋体" w:cs="宋体" w:eastAsia="宋体" w:hint="default"/>
                <w:spacing w:val="6"/>
                <w:sz w:val="18"/>
                <w:szCs w:val="18"/>
              </w:rPr>
              <w:t>1%</w:t>
            </w:r>
            <w:r>
              <w:rPr>
                <w:rFonts w:ascii="宋体" w:hAnsi="宋体" w:cs="宋体" w:eastAsia="宋体" w:hint="default"/>
                <w:spacing w:val="6"/>
                <w:sz w:val="18"/>
                <w:szCs w:val="18"/>
              </w:rPr>
              <w:t>。</w:t>
            </w:r>
            <w:r>
              <w:rPr>
                <w:rFonts w:ascii="宋体" w:hAnsi="宋体" w:cs="宋体" w:eastAsia="宋体" w:hint="default"/>
                <w:spacing w:val="-71"/>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6" w:right="0"/>
              <w:jc w:val="left"/>
              <w:rPr>
                <w:rFonts w:ascii="宋体" w:hAnsi="宋体" w:cs="宋体" w:eastAsia="宋体" w:hint="default"/>
                <w:sz w:val="18"/>
                <w:szCs w:val="18"/>
              </w:rPr>
            </w:pPr>
            <w:r>
              <w:rPr>
                <w:rFonts w:ascii="宋体" w:hAnsi="宋体" w:cs="宋体" w:eastAsia="宋体" w:hint="default"/>
                <w:spacing w:val="18"/>
                <w:sz w:val="18"/>
                <w:szCs w:val="18"/>
              </w:rPr>
              <w:t>失小于合并财务报表营业收入的</w:t>
            </w:r>
          </w:p>
        </w:tc>
      </w:tr>
      <w:tr>
        <w:trPr>
          <w:trHeight w:val="334"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424" w:right="0"/>
              <w:jc w:val="left"/>
              <w:rPr>
                <w:rFonts w:ascii="宋体" w:hAnsi="宋体" w:cs="宋体" w:eastAsia="宋体" w:hint="default"/>
                <w:sz w:val="18"/>
                <w:szCs w:val="18"/>
              </w:rPr>
            </w:pPr>
            <w:r>
              <w:rPr>
                <w:rFonts w:ascii="宋体" w:hAnsi="宋体" w:cs="宋体" w:eastAsia="宋体" w:hint="default"/>
                <w:spacing w:val="15"/>
                <w:sz w:val="18"/>
                <w:szCs w:val="18"/>
              </w:rPr>
              <w:t>一般缺陷：</w:t>
            </w:r>
            <w:r>
              <w:rPr>
                <w:rFonts w:ascii="宋体" w:hAnsi="宋体" w:cs="宋体" w:eastAsia="宋体" w:hint="default"/>
                <w:spacing w:val="-64"/>
                <w:sz w:val="18"/>
                <w:szCs w:val="18"/>
              </w:rPr>
              <w:t> </w:t>
            </w:r>
            <w:r>
              <w:rPr>
                <w:rFonts w:ascii="宋体" w:hAnsi="宋体" w:cs="宋体" w:eastAsia="宋体" w:hint="default"/>
                <w:spacing w:val="17"/>
                <w:sz w:val="18"/>
                <w:szCs w:val="18"/>
              </w:rPr>
              <w:t>该缺陷造成财务报告</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6" w:right="0"/>
              <w:jc w:val="left"/>
              <w:rPr>
                <w:rFonts w:ascii="宋体" w:hAnsi="宋体" w:cs="宋体" w:eastAsia="宋体" w:hint="default"/>
                <w:sz w:val="18"/>
                <w:szCs w:val="18"/>
              </w:rPr>
            </w:pPr>
            <w:r>
              <w:rPr>
                <w:rFonts w:ascii="宋体" w:hAnsi="宋体" w:cs="宋体" w:eastAsia="宋体" w:hint="default"/>
                <w:spacing w:val="6"/>
                <w:sz w:val="18"/>
                <w:szCs w:val="18"/>
              </w:rPr>
              <w:t>1%</w:t>
            </w:r>
            <w:r>
              <w:rPr>
                <w:rFonts w:ascii="宋体" w:hAnsi="宋体" w:cs="宋体" w:eastAsia="宋体" w:hint="default"/>
                <w:spacing w:val="6"/>
                <w:sz w:val="18"/>
                <w:szCs w:val="18"/>
              </w:rPr>
              <w:t>。</w:t>
            </w:r>
            <w:r>
              <w:rPr>
                <w:rFonts w:ascii="宋体" w:hAnsi="宋体" w:cs="宋体" w:eastAsia="宋体" w:hint="default"/>
                <w:spacing w:val="-71"/>
                <w:sz w:val="18"/>
                <w:szCs w:val="18"/>
              </w:rPr>
              <w:t> </w:t>
            </w:r>
            <w:r>
              <w:rPr>
                <w:rFonts w:ascii="宋体" w:hAnsi="宋体" w:cs="宋体" w:eastAsia="宋体" w:hint="default"/>
                <w:sz w:val="18"/>
                <w:szCs w:val="18"/>
              </w:rPr>
              <w:t> </w:t>
            </w:r>
          </w:p>
        </w:tc>
      </w:tr>
      <w:tr>
        <w:trPr>
          <w:trHeight w:val="322"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8"/>
                <w:sz w:val="18"/>
                <w:szCs w:val="18"/>
              </w:rPr>
              <w:t>错报金额与利润表相关小于合并财务</w:t>
            </w:r>
          </w:p>
        </w:tc>
        <w:tc>
          <w:tcPr>
            <w:tcW w:w="3053"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left="26" w:right="0"/>
              <w:jc w:val="left"/>
              <w:rPr>
                <w:rFonts w:ascii="宋体" w:hAnsi="宋体" w:cs="宋体" w:eastAsia="宋体" w:hint="default"/>
                <w:sz w:val="18"/>
                <w:szCs w:val="18"/>
              </w:rPr>
            </w:pPr>
            <w:r>
              <w:rPr>
                <w:rFonts w:ascii="宋体"/>
                <w:sz w:val="18"/>
              </w:rPr>
              <w:t> </w:t>
            </w:r>
          </w:p>
        </w:tc>
      </w:tr>
      <w:tr>
        <w:trPr>
          <w:trHeight w:val="303" w:hRule="exact"/>
        </w:trPr>
        <w:tc>
          <w:tcPr>
            <w:tcW w:w="3194" w:type="dxa"/>
            <w:tcBorders>
              <w:top w:val="nil" w:sz="6" w:space="0" w:color="auto"/>
              <w:left w:val="single" w:sz="4" w:space="0" w:color="000000"/>
              <w:bottom w:val="nil" w:sz="6" w:space="0" w:color="auto"/>
              <w:right w:val="single" w:sz="4" w:space="0" w:color="000000"/>
            </w:tcBorders>
            <w:shd w:val="clear" w:color="auto" w:fill="D2D2D2"/>
          </w:tcPr>
          <w:p>
            <w:pPr/>
          </w:p>
        </w:tc>
        <w:tc>
          <w:tcPr>
            <w:tcW w:w="332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4" w:right="0"/>
              <w:jc w:val="left"/>
              <w:rPr>
                <w:rFonts w:ascii="宋体" w:hAnsi="宋体" w:cs="宋体" w:eastAsia="宋体" w:hint="default"/>
                <w:sz w:val="18"/>
                <w:szCs w:val="18"/>
              </w:rPr>
            </w:pPr>
            <w:r>
              <w:rPr>
                <w:rFonts w:ascii="宋体" w:hAnsi="宋体" w:cs="宋体" w:eastAsia="宋体" w:hint="default"/>
                <w:spacing w:val="16"/>
                <w:sz w:val="18"/>
                <w:szCs w:val="18"/>
              </w:rPr>
              <w:t>报表营业收入的</w:t>
            </w:r>
            <w:r>
              <w:rPr>
                <w:rFonts w:ascii="宋体" w:hAnsi="宋体" w:cs="宋体" w:eastAsia="宋体" w:hint="default"/>
                <w:spacing w:val="-66"/>
                <w:sz w:val="18"/>
                <w:szCs w:val="18"/>
              </w:rPr>
              <w:t> </w:t>
            </w:r>
            <w:r>
              <w:rPr>
                <w:rFonts w:ascii="宋体" w:hAnsi="宋体" w:cs="宋体" w:eastAsia="宋体" w:hint="default"/>
                <w:spacing w:val="6"/>
                <w:sz w:val="18"/>
                <w:szCs w:val="18"/>
              </w:rPr>
              <w:t>1%</w:t>
            </w:r>
            <w:r>
              <w:rPr>
                <w:rFonts w:ascii="宋体" w:hAnsi="宋体" w:cs="宋体" w:eastAsia="宋体" w:hint="default"/>
                <w:spacing w:val="6"/>
                <w:sz w:val="18"/>
                <w:szCs w:val="18"/>
              </w:rPr>
              <w:t>；</w:t>
            </w:r>
            <w:r>
              <w:rPr>
                <w:rFonts w:ascii="宋体" w:hAnsi="宋体" w:cs="宋体" w:eastAsia="宋体" w:hint="default"/>
                <w:spacing w:val="-66"/>
                <w:sz w:val="18"/>
                <w:szCs w:val="18"/>
              </w:rPr>
              <w:t> </w:t>
            </w:r>
            <w:r>
              <w:rPr>
                <w:rFonts w:ascii="宋体" w:hAnsi="宋体" w:cs="宋体" w:eastAsia="宋体" w:hint="default"/>
                <w:spacing w:val="16"/>
                <w:sz w:val="18"/>
                <w:szCs w:val="18"/>
              </w:rPr>
              <w:t>其他金额小于合</w:t>
            </w:r>
          </w:p>
        </w:tc>
        <w:tc>
          <w:tcPr>
            <w:tcW w:w="3053" w:type="dxa"/>
            <w:tcBorders>
              <w:top w:val="nil" w:sz="6" w:space="0" w:color="auto"/>
              <w:left w:val="single" w:sz="4" w:space="0" w:color="000000"/>
              <w:bottom w:val="nil" w:sz="6" w:space="0" w:color="auto"/>
              <w:right w:val="single" w:sz="4" w:space="0" w:color="000000"/>
            </w:tcBorders>
          </w:tcPr>
          <w:p>
            <w:pPr/>
          </w:p>
        </w:tc>
      </w:tr>
      <w:tr>
        <w:trPr>
          <w:trHeight w:val="358" w:hRule="exact"/>
        </w:trPr>
        <w:tc>
          <w:tcPr>
            <w:tcW w:w="3194" w:type="dxa"/>
            <w:tcBorders>
              <w:top w:val="nil" w:sz="6" w:space="0" w:color="auto"/>
              <w:left w:val="single" w:sz="4" w:space="0" w:color="000000"/>
              <w:bottom w:val="single" w:sz="4" w:space="0" w:color="000000"/>
              <w:right w:val="single" w:sz="4" w:space="0" w:color="000000"/>
            </w:tcBorders>
            <w:shd w:val="clear" w:color="auto" w:fill="D2D2D2"/>
          </w:tcPr>
          <w:p>
            <w:pPr/>
          </w:p>
        </w:tc>
        <w:tc>
          <w:tcPr>
            <w:tcW w:w="332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pacing w:val="17"/>
                <w:sz w:val="18"/>
                <w:szCs w:val="18"/>
              </w:rPr>
              <w:t>并财务报表资产总额的</w:t>
            </w:r>
            <w:r>
              <w:rPr>
                <w:rFonts w:ascii="宋体" w:hAnsi="宋体" w:cs="宋体" w:eastAsia="宋体" w:hint="default"/>
                <w:spacing w:val="-65"/>
                <w:sz w:val="18"/>
                <w:szCs w:val="18"/>
              </w:rPr>
              <w:t> </w:t>
            </w:r>
            <w:r>
              <w:rPr>
                <w:rFonts w:ascii="宋体" w:hAnsi="宋体" w:cs="宋体" w:eastAsia="宋体" w:hint="default"/>
                <w:spacing w:val="8"/>
                <w:sz w:val="18"/>
                <w:szCs w:val="18"/>
              </w:rPr>
              <w:t>0.5%</w:t>
            </w:r>
            <w:r>
              <w:rPr>
                <w:rFonts w:ascii="宋体" w:hAnsi="宋体" w:cs="宋体" w:eastAsia="宋体" w:hint="default"/>
                <w:spacing w:val="8"/>
                <w:sz w:val="18"/>
                <w:szCs w:val="18"/>
              </w:rPr>
              <w:t>。</w:t>
            </w:r>
            <w:r>
              <w:rPr>
                <w:rFonts w:ascii="宋体" w:hAnsi="宋体" w:cs="宋体" w:eastAsia="宋体" w:hint="default"/>
                <w:spacing w:val="-71"/>
                <w:sz w:val="18"/>
                <w:szCs w:val="18"/>
              </w:rPr>
              <w:t> </w:t>
            </w:r>
            <w:r>
              <w:rPr>
                <w:rFonts w:ascii="宋体" w:hAnsi="宋体" w:cs="宋体" w:eastAsia="宋体" w:hint="default"/>
                <w:sz w:val="18"/>
                <w:szCs w:val="18"/>
              </w:rPr>
              <w:t> </w:t>
            </w:r>
          </w:p>
        </w:tc>
        <w:tc>
          <w:tcPr>
            <w:tcW w:w="3053"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1"/>
        <w:rPr>
          <w:rFonts w:ascii="宋体" w:hAnsi="宋体" w:cs="宋体" w:eastAsia="宋体" w:hint="default"/>
          <w:b/>
          <w:bCs/>
          <w:sz w:val="18"/>
          <w:szCs w:val="18"/>
        </w:rPr>
      </w:pPr>
    </w:p>
    <w:p>
      <w:pPr>
        <w:pStyle w:val="Heading3"/>
        <w:spacing w:line="240" w:lineRule="auto" w:before="26"/>
        <w:ind w:right="0"/>
        <w:jc w:val="left"/>
        <w:rPr>
          <w:b w:val="0"/>
          <w:bCs w:val="0"/>
        </w:rPr>
      </w:pPr>
      <w:r>
        <w:rPr/>
        <w:pict>
          <v:group style="position:absolute;margin-left:382.869995pt;margin-top:-122.834381pt;width:152.1pt;height:30.15pt;mso-position-horizontal-relative:page;mso-position-vertical-relative:paragraph;z-index:-1265320" coordorigin="7657,-2457" coordsize="3042,603">
            <v:shape style="position:absolute;left:7657;top:-2457;width:3042;height:603" coordorigin="7657,-2457" coordsize="3042,603" path="m7657,-1854l10699,-1854,10699,-2457,7657,-2457,7657,-1854xe" filled="true" fillcolor="#ffffff" stroked="false">
              <v:path arrowok="t"/>
              <v:fill type="solid"/>
            </v:shape>
            <w10:wrap type="none"/>
          </v:group>
        </w:pict>
      </w:r>
      <w:r>
        <w:rPr/>
        <w:t>十、内部控制审计报告或鉴证报告</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内部控制鉴证报告</w:t>
      </w:r>
    </w:p>
    <w:p>
      <w:pPr>
        <w:spacing w:after="0" w:line="240" w:lineRule="auto"/>
        <w:jc w:val="left"/>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401"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内部控制鉴证报告中的审议意见段</w:t>
            </w:r>
          </w:p>
        </w:tc>
      </w:tr>
      <w:tr>
        <w:trPr>
          <w:trHeight w:val="403"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无保留意见</w:t>
            </w:r>
          </w:p>
        </w:tc>
      </w:tr>
      <w:tr>
        <w:trPr>
          <w:trHeight w:val="401"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内控鉴证报告披露情况</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披露</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内部控制鉴证报告全文披露日期</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r>
      <w:tr>
        <w:trPr>
          <w:trHeight w:val="71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内部控制鉴证报告全文披露索引</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详见</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日刊登在巨潮资讯网（</w:t>
            </w:r>
            <w:hyperlink r:id="rId14">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）上的《北京四维图新科</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日内部控制鉴证报告</w:t>
            </w:r>
            <w:r>
              <w:rPr>
                <w:rFonts w:ascii="宋体" w:hAnsi="宋体" w:cs="宋体" w:eastAsia="宋体" w:hint="default"/>
                <w:spacing w:val="-92"/>
                <w:sz w:val="18"/>
                <w:szCs w:val="18"/>
              </w:rPr>
              <w:t>》</w:t>
            </w:r>
            <w:r>
              <w:rPr>
                <w:rFonts w:ascii="宋体" w:hAnsi="宋体" w:cs="宋体" w:eastAsia="宋体" w:hint="default"/>
                <w:sz w:val="18"/>
                <w:szCs w:val="18"/>
              </w:rPr>
              <w:t>。</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内控鉴证报告意见类型</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无保留意见</w:t>
            </w:r>
          </w:p>
        </w:tc>
      </w:tr>
      <w:tr>
        <w:trPr>
          <w:trHeight w:val="403"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49"/>
        <w:ind w:right="0"/>
        <w:jc w:val="left"/>
      </w:pPr>
      <w:r>
        <w:rPr/>
        <w:t>会计师事务所是否出具非标准意见的内部控制鉴证报告</w:t>
      </w:r>
    </w:p>
    <w:p>
      <w:pPr>
        <w:pStyle w:val="BodyText"/>
        <w:spacing w:line="340" w:lineRule="auto" w:before="115"/>
        <w:ind w:right="365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否 会计师事务所出具的内部控制鉴证报告与董事会的自我评价报告意见是否一致</w:t>
      </w:r>
    </w:p>
    <w:p>
      <w:pPr>
        <w:pStyle w:val="BodyText"/>
        <w:spacing w:line="240" w:lineRule="auto" w:before="39"/>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after="0" w:line="240"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r>
        <w:rPr/>
        <w:pict>
          <v:shape style="position:absolute;margin-left:165.477005pt;margin-top:732.935974pt;width:369.75pt;height:33.15pt;mso-position-horizontal-relative:page;mso-position-vertical-relative:page;z-index:-1265224" type="#_x0000_t202" filled="false" stroked="false">
            <v:textbox inset="0,0,0,0">
              <w:txbxContent>
                <w:p>
                  <w:pPr>
                    <w:spacing w:line="240" w:lineRule="auto" w:before="0"/>
                    <w:rPr>
                      <w:rFonts w:ascii="宋体" w:hAnsi="宋体" w:cs="宋体" w:eastAsia="宋体" w:hint="default"/>
                      <w:b/>
                      <w:bCs/>
                      <w:sz w:val="18"/>
                      <w:szCs w:val="18"/>
                    </w:rPr>
                  </w:pPr>
                </w:p>
                <w:p>
                  <w:pPr>
                    <w:pStyle w:val="BodyText"/>
                    <w:spacing w:line="240" w:lineRule="auto" w:before="123"/>
                    <w:ind w:left="0" w:right="0"/>
                    <w:jc w:val="left"/>
                  </w:pPr>
                  <w:r>
                    <w:rPr/>
                    <w:t>变更的原因、</w:t>
                  </w:r>
                </w:p>
              </w:txbxContent>
            </v:textbox>
            <w10:wrap type="none"/>
          </v:shape>
        </w:pic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left="3125" w:right="0"/>
        <w:jc w:val="left"/>
        <w:rPr>
          <w:b w:val="0"/>
          <w:bCs w:val="0"/>
        </w:rPr>
      </w:pPr>
      <w:bookmarkStart w:name="_bookmark9" w:id="10"/>
      <w:bookmarkEnd w:id="10"/>
      <w:r>
        <w:rPr>
          <w:b w:val="0"/>
          <w:bCs w:val="0"/>
        </w:rPr>
      </w:r>
      <w:r>
        <w:rPr/>
        <w:t>第十节</w:t>
      </w:r>
      <w:r>
        <w:rPr>
          <w:spacing w:val="-6"/>
        </w:rPr>
        <w:t> </w:t>
      </w:r>
      <w:r>
        <w:rPr/>
        <w:t>公司债券相关情况</w:t>
      </w:r>
      <w:r>
        <w:rPr>
          <w:b w:val="0"/>
          <w:bCs w:val="0"/>
        </w:rPr>
      </w:r>
    </w:p>
    <w:p>
      <w:pPr>
        <w:spacing w:line="240" w:lineRule="auto" w:before="9"/>
        <w:rPr>
          <w:rFonts w:ascii="宋体" w:hAnsi="宋体" w:cs="宋体" w:eastAsia="宋体" w:hint="default"/>
          <w:b/>
          <w:bCs/>
          <w:sz w:val="42"/>
          <w:szCs w:val="42"/>
        </w:rPr>
      </w:pPr>
    </w:p>
    <w:p>
      <w:pPr>
        <w:pStyle w:val="BodyText"/>
        <w:spacing w:line="357" w:lineRule="auto"/>
        <w:ind w:right="1134"/>
        <w:jc w:val="left"/>
      </w:pPr>
      <w:r>
        <w:rPr/>
        <w:t>公司是否存在公开发行并在证券交易所上市，且在年度报告批准报出日未到期或到期未能全额兑付的公司债券 是</w:t>
      </w:r>
    </w:p>
    <w:p>
      <w:pPr>
        <w:spacing w:line="240" w:lineRule="auto" w:before="7"/>
        <w:rPr>
          <w:rFonts w:ascii="宋体" w:hAnsi="宋体" w:cs="宋体" w:eastAsia="宋体" w:hint="default"/>
          <w:sz w:val="18"/>
          <w:szCs w:val="18"/>
        </w:rPr>
      </w:pPr>
    </w:p>
    <w:p>
      <w:pPr>
        <w:pStyle w:val="Heading3"/>
        <w:spacing w:line="240" w:lineRule="auto"/>
        <w:ind w:right="0"/>
        <w:jc w:val="left"/>
        <w:rPr>
          <w:b w:val="0"/>
          <w:bCs w:val="0"/>
        </w:rPr>
      </w:pPr>
      <w:r>
        <w:rPr/>
        <w:pict>
          <v:shape style="position:absolute;margin-left:74.639999pt;margin-top:68.7416pt;width:101.45pt;height:97.75pt;mso-position-horizontal-relative:page;mso-position-vertical-relative:paragraph;z-index:-1265248"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3"/>
                    <w:rPr>
                      <w:rFonts w:ascii="宋体" w:hAnsi="宋体" w:cs="宋体" w:eastAsia="宋体" w:hint="default"/>
                      <w:b/>
                      <w:bCs/>
                      <w:sz w:val="14"/>
                      <w:szCs w:val="14"/>
                    </w:rPr>
                  </w:pPr>
                </w:p>
                <w:p>
                  <w:pPr>
                    <w:pStyle w:val="BodyText"/>
                    <w:spacing w:line="240" w:lineRule="auto"/>
                    <w:ind w:left="0" w:right="0"/>
                    <w:jc w:val="left"/>
                  </w:pPr>
                  <w:r>
                    <w:rPr/>
                    <w:t>（第一期）</w:t>
                  </w:r>
                </w:p>
              </w:txbxContent>
            </v:textbox>
            <w10:wrap type="none"/>
          </v:shape>
        </w:pict>
      </w:r>
      <w:r>
        <w:rPr/>
        <w:t>一、公司债券基本信息</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1"/>
          <w:szCs w:val="21"/>
        </w:rPr>
      </w:pPr>
    </w:p>
    <w:p>
      <w:pPr>
        <w:spacing w:line="1954" w:lineRule="exact"/>
        <w:ind w:left="1355"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59.3pt;height:97.75pt;mso-position-horizontal-relative:char;mso-position-vertical-relative:line" coordorigin="0,0" coordsize="1186,1955">
            <v:group style="position:absolute;left:0;top:0;width:1186;height:1955" coordorigin="0,0" coordsize="1186,1955">
              <v:shape style="position:absolute;left:0;top:0;width:1186;height:1955" coordorigin="0,0" coordsize="1186,1955" path="m0,1954l1186,1954,1186,0,0,0,0,1954xe" filled="true" fillcolor="#ffffff" stroked="false">
                <v:path arrowok="t"/>
                <v:fill type="solid"/>
              </v:shape>
            </v:group>
            <v:group style="position:absolute;left:24;top:780;width:1138;height:394" coordorigin="24,780" coordsize="1138,394">
              <v:shape style="position:absolute;left:24;top:780;width:1138;height:394" coordorigin="24,780" coordsize="1138,394" path="m24,1174l1162,1174,1162,780,24,780,24,1174xe" filled="true" fillcolor="#ffffff" stroked="false">
                <v:path arrowok="t"/>
                <v:fill type="solid"/>
              </v:shape>
            </v:group>
          </v:group>
        </w:pict>
      </w:r>
      <w:r>
        <w:rPr>
          <w:rFonts w:ascii="宋体" w:hAnsi="宋体" w:cs="宋体" w:eastAsia="宋体" w:hint="default"/>
          <w:position w:val="-38"/>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6"/>
          <w:szCs w:val="26"/>
        </w:rPr>
      </w:pPr>
    </w:p>
    <w:p>
      <w:pPr>
        <w:pStyle w:val="BodyText"/>
        <w:spacing w:line="240" w:lineRule="auto" w:before="44"/>
        <w:ind w:left="0" w:right="159"/>
        <w:jc w:val="right"/>
      </w:pPr>
      <w:r>
        <w:rPr/>
        <w:pict>
          <v:shape style="position:absolute;margin-left:56.459999pt;margin-top:-190.358292pt;width:479.2pt;height:339.55pt;mso-position-horizontal-relative:page;mso-position-vertical-relative:paragraph;z-index:1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97"/>
                    <w:gridCol w:w="1195"/>
                    <w:gridCol w:w="1196"/>
                    <w:gridCol w:w="1195"/>
                    <w:gridCol w:w="1198"/>
                    <w:gridCol w:w="1195"/>
                    <w:gridCol w:w="905"/>
                    <w:gridCol w:w="1488"/>
                  </w:tblGrid>
                  <w:tr>
                    <w:trPr>
                      <w:trHeight w:val="713" w:hRule="exact"/>
                    </w:trPr>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债券简称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债券代码</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24" w:right="0"/>
                          <w:jc w:val="left"/>
                          <w:rPr>
                            <w:rFonts w:ascii="宋体" w:hAnsi="宋体" w:cs="宋体" w:eastAsia="宋体" w:hint="default"/>
                            <w:sz w:val="18"/>
                            <w:szCs w:val="18"/>
                          </w:rPr>
                        </w:pPr>
                        <w:r>
                          <w:rPr>
                            <w:rFonts w:ascii="宋体" w:hAnsi="宋体" w:cs="宋体" w:eastAsia="宋体" w:hint="default"/>
                            <w:sz w:val="18"/>
                            <w:szCs w:val="18"/>
                          </w:rPr>
                          <w:t>发行日</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323"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12" w:right="50" w:hanging="360"/>
                          <w:jc w:val="left"/>
                          <w:rPr>
                            <w:rFonts w:ascii="宋体" w:hAnsi="宋体" w:cs="宋体" w:eastAsia="宋体" w:hint="default"/>
                            <w:sz w:val="18"/>
                            <w:szCs w:val="18"/>
                          </w:rPr>
                        </w:pPr>
                        <w:r>
                          <w:rPr>
                            <w:rFonts w:ascii="宋体" w:hAnsi="宋体" w:cs="宋体" w:eastAsia="宋体" w:hint="default"/>
                            <w:sz w:val="18"/>
                            <w:szCs w:val="18"/>
                          </w:rPr>
                          <w:t>债券余额（万 元）</w:t>
                        </w:r>
                      </w:p>
                    </w:tc>
                    <w:tc>
                      <w:tcPr>
                        <w:tcW w:w="9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66" w:right="0"/>
                          <w:jc w:val="left"/>
                          <w:rPr>
                            <w:rFonts w:ascii="宋体" w:hAnsi="宋体" w:cs="宋体" w:eastAsia="宋体" w:hint="default"/>
                            <w:sz w:val="18"/>
                            <w:szCs w:val="18"/>
                          </w:rPr>
                        </w:pPr>
                        <w:r>
                          <w:rPr>
                            <w:rFonts w:ascii="宋体" w:hAnsi="宋体" w:cs="宋体" w:eastAsia="宋体" w:hint="default"/>
                            <w:sz w:val="18"/>
                            <w:szCs w:val="18"/>
                          </w:rPr>
                          <w:t>利率</w:t>
                        </w:r>
                      </w:p>
                    </w:tc>
                    <w:tc>
                      <w:tcPr>
                        <w:tcW w:w="1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还本付息方式</w:t>
                        </w:r>
                      </w:p>
                    </w:tc>
                  </w:tr>
                  <w:tr>
                    <w:trPr>
                      <w:trHeight w:val="1964" w:hRule="exact"/>
                    </w:trPr>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2" w:right="19"/>
                          <w:jc w:val="left"/>
                          <w:rPr>
                            <w:rFonts w:ascii="宋体" w:hAnsi="宋体" w:cs="宋体" w:eastAsia="宋体" w:hint="default"/>
                            <w:sz w:val="18"/>
                            <w:szCs w:val="18"/>
                          </w:rPr>
                        </w:pPr>
                        <w:r>
                          <w:rPr>
                            <w:rFonts w:ascii="宋体" w:hAnsi="宋体" w:cs="宋体" w:eastAsia="宋体" w:hint="default"/>
                            <w:sz w:val="18"/>
                            <w:szCs w:val="18"/>
                          </w:rPr>
                          <w:t>北京四维图新 科技股份有限 公司</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年面 向合格投资者 公开发行公司 债券</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 </w:t>
                        </w:r>
                        <w:r>
                          <w:rPr>
                            <w:rFonts w:ascii="宋体" w:hAnsi="宋体" w:cs="宋体" w:eastAsia="宋体" w:hint="default"/>
                            <w:sz w:val="18"/>
                            <w:szCs w:val="18"/>
                          </w:rPr>
                          <w:t>四维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112618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532" w:right="0"/>
                          <w:jc w:val="left"/>
                          <w:rPr>
                            <w:rFonts w:ascii="Times New Roman" w:hAnsi="Times New Roman" w:cs="Times New Roman" w:eastAsia="Times New Roman" w:hint="default"/>
                            <w:sz w:val="18"/>
                            <w:szCs w:val="18"/>
                          </w:rPr>
                        </w:pPr>
                        <w:r>
                          <w:rPr>
                            <w:rFonts w:ascii="Times New Roman"/>
                            <w:sz w:val="18"/>
                          </w:rPr>
                          <w:t>5,000.00</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2"/>
                            <w:szCs w:val="12"/>
                          </w:rPr>
                        </w:pPr>
                      </w:p>
                      <w:p>
                        <w:pPr>
                          <w:pStyle w:val="TableParagraph"/>
                          <w:spacing w:line="240" w:lineRule="auto"/>
                          <w:ind w:left="405" w:right="0"/>
                          <w:jc w:val="left"/>
                          <w:rPr>
                            <w:rFonts w:ascii="Times New Roman" w:hAnsi="Times New Roman" w:cs="Times New Roman" w:eastAsia="Times New Roman" w:hint="default"/>
                            <w:sz w:val="18"/>
                            <w:szCs w:val="18"/>
                          </w:rPr>
                        </w:pPr>
                        <w:r>
                          <w:rPr>
                            <w:rFonts w:ascii="Times New Roman"/>
                            <w:sz w:val="18"/>
                          </w:rPr>
                          <w:t>6.00%</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9"/>
                          <w:jc w:val="left"/>
                          <w:rPr>
                            <w:rFonts w:ascii="宋体" w:hAnsi="宋体" w:cs="宋体" w:eastAsia="宋体" w:hint="default"/>
                            <w:sz w:val="18"/>
                            <w:szCs w:val="18"/>
                          </w:rPr>
                        </w:pPr>
                        <w:r>
                          <w:rPr>
                            <w:rFonts w:ascii="宋体" w:hAnsi="宋体" w:cs="宋体" w:eastAsia="宋体" w:hint="default"/>
                            <w:sz w:val="18"/>
                            <w:szCs w:val="18"/>
                          </w:rPr>
                          <w:t>单利按年计息，不 计复利。利息每年 支付一次，到期一 次还本，最后一期 利息随本金的兑 付一起支付。</w:t>
                        </w:r>
                      </w:p>
                    </w:tc>
                  </w:tr>
                  <w:tr>
                    <w:trPr>
                      <w:trHeight w:val="713" w:hRule="exact"/>
                    </w:trPr>
                    <w:tc>
                      <w:tcPr>
                        <w:tcW w:w="23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197"/>
                          <w:jc w:val="left"/>
                          <w:rPr>
                            <w:rFonts w:ascii="宋体" w:hAnsi="宋体" w:cs="宋体" w:eastAsia="宋体" w:hint="default"/>
                            <w:sz w:val="18"/>
                            <w:szCs w:val="18"/>
                          </w:rPr>
                        </w:pPr>
                        <w:r>
                          <w:rPr>
                            <w:rFonts w:ascii="宋体" w:hAnsi="宋体" w:cs="宋体" w:eastAsia="宋体" w:hint="default"/>
                            <w:sz w:val="18"/>
                            <w:szCs w:val="18"/>
                          </w:rPr>
                          <w:t>公司债券上市或转让的交易 场所</w:t>
                        </w:r>
                      </w:p>
                    </w:tc>
                    <w:tc>
                      <w:tcPr>
                        <w:tcW w:w="717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3" w:hRule="exact"/>
                    </w:trPr>
                    <w:tc>
                      <w:tcPr>
                        <w:tcW w:w="23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投资者适当性安排</w:t>
                        </w:r>
                      </w:p>
                    </w:tc>
                    <w:tc>
                      <w:tcPr>
                        <w:tcW w:w="717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仅面向合格机构投资者公开发行</w:t>
                        </w:r>
                      </w:p>
                    </w:tc>
                  </w:tr>
                  <w:tr>
                    <w:trPr>
                      <w:trHeight w:val="1649" w:hRule="exact"/>
                    </w:trPr>
                    <w:tc>
                      <w:tcPr>
                        <w:tcW w:w="23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21"/>
                            <w:szCs w:val="21"/>
                          </w:rPr>
                        </w:pPr>
                      </w:p>
                      <w:p>
                        <w:pPr>
                          <w:pStyle w:val="TableParagraph"/>
                          <w:spacing w:line="316" w:lineRule="auto"/>
                          <w:ind w:left="22" w:right="197"/>
                          <w:jc w:val="left"/>
                          <w:rPr>
                            <w:rFonts w:ascii="宋体" w:hAnsi="宋体" w:cs="宋体" w:eastAsia="宋体" w:hint="default"/>
                            <w:sz w:val="18"/>
                            <w:szCs w:val="18"/>
                          </w:rPr>
                        </w:pPr>
                        <w:r>
                          <w:rPr>
                            <w:rFonts w:ascii="宋体" w:hAnsi="宋体" w:cs="宋体" w:eastAsia="宋体" w:hint="default"/>
                            <w:sz w:val="18"/>
                            <w:szCs w:val="18"/>
                          </w:rPr>
                          <w:t>报告期内公司债券的付息兑 付情况</w:t>
                        </w:r>
                      </w:p>
                    </w:tc>
                    <w:tc>
                      <w:tcPr>
                        <w:tcW w:w="717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年至</w:t>
                        </w:r>
                        <w:r>
                          <w:rPr>
                            <w:rFonts w:ascii="宋体" w:hAnsi="宋体" w:cs="宋体" w:eastAsia="宋体" w:hint="default"/>
                            <w:spacing w:val="-50"/>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年间每年的</w:t>
                        </w:r>
                        <w:r>
                          <w:rPr>
                            <w:rFonts w:ascii="宋体" w:hAnsi="宋体" w:cs="宋体" w:eastAsia="宋体" w:hint="default"/>
                            <w:spacing w:val="-50"/>
                            <w:sz w:val="18"/>
                            <w:szCs w:val="18"/>
                          </w:rPr>
                          <w:t> </w:t>
                        </w:r>
                        <w:r>
                          <w:rPr>
                            <w:rFonts w:ascii="Times New Roman" w:hAnsi="Times New Roman" w:cs="Times New Roman" w:eastAsia="Times New Roman" w:hint="default"/>
                            <w:spacing w:val="-6"/>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日为上一计息年度的付</w:t>
                        </w:r>
                        <w:r>
                          <w:rPr>
                            <w:rFonts w:ascii="宋体" w:hAnsi="宋体" w:cs="宋体" w:eastAsia="宋体" w:hint="default"/>
                            <w:spacing w:val="-3"/>
                            <w:sz w:val="18"/>
                            <w:szCs w:val="18"/>
                          </w:rPr>
                          <w:t>息</w:t>
                        </w:r>
                        <w:r>
                          <w:rPr>
                            <w:rFonts w:ascii="宋体" w:hAnsi="宋体" w:cs="宋体" w:eastAsia="宋体" w:hint="default"/>
                            <w:spacing w:val="-92"/>
                            <w:sz w:val="18"/>
                            <w:szCs w:val="18"/>
                          </w:rPr>
                          <w:t>日</w:t>
                        </w:r>
                        <w:r>
                          <w:rPr>
                            <w:rFonts w:ascii="宋体" w:hAnsi="宋体" w:cs="宋体" w:eastAsia="宋体" w:hint="default"/>
                            <w:sz w:val="18"/>
                            <w:szCs w:val="18"/>
                          </w:rPr>
                          <w:t>（如遇法定节假日或休息日</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则顺延至其后的第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个交易日，则顺延至其后的第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个交易日顺延期间付息款项不另计利</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息</w:t>
                        </w:r>
                        <w:r>
                          <w:rPr>
                            <w:rFonts w:ascii="宋体" w:hAnsi="宋体" w:cs="宋体" w:eastAsia="宋体" w:hint="default"/>
                            <w:spacing w:val="-92"/>
                            <w:sz w:val="18"/>
                            <w:szCs w:val="18"/>
                          </w:rPr>
                          <w:t>）</w:t>
                        </w:r>
                        <w:r>
                          <w:rPr>
                            <w:rFonts w:ascii="宋体" w:hAnsi="宋体" w:cs="宋体" w:eastAsia="宋体" w:hint="default"/>
                            <w:sz w:val="18"/>
                            <w:szCs w:val="18"/>
                          </w:rPr>
                          <w:t>。若投资者行使回售选择</w:t>
                        </w:r>
                        <w:r>
                          <w:rPr>
                            <w:rFonts w:ascii="宋体" w:hAnsi="宋体" w:cs="宋体" w:eastAsia="宋体" w:hint="default"/>
                            <w:spacing w:val="2"/>
                            <w:sz w:val="18"/>
                            <w:szCs w:val="18"/>
                          </w:rPr>
                          <w:t>权</w:t>
                        </w:r>
                        <w:r>
                          <w:rPr>
                            <w:rFonts w:ascii="宋体" w:hAnsi="宋体" w:cs="宋体" w:eastAsia="宋体" w:hint="default"/>
                            <w:sz w:val="18"/>
                            <w:szCs w:val="18"/>
                          </w:rPr>
                          <w:t>，则回售部分的付息日为</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年至</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年每</w:t>
                        </w:r>
                        <w:r>
                          <w:rPr>
                            <w:rFonts w:ascii="宋体" w:hAnsi="宋体" w:cs="宋体" w:eastAsia="宋体" w:hint="default"/>
                            <w:spacing w:val="-3"/>
                            <w:sz w:val="18"/>
                            <w:szCs w:val="18"/>
                          </w:rPr>
                          <w:t>年</w:t>
                        </w:r>
                        <w:r>
                          <w:rPr>
                            <w:rFonts w:ascii="宋体" w:hAnsi="宋体" w:cs="宋体" w:eastAsia="宋体" w:hint="default"/>
                            <w:sz w:val="18"/>
                            <w:szCs w:val="18"/>
                          </w:rPr>
                          <w:t>的</w:t>
                        </w:r>
                        <w:r>
                          <w:rPr>
                            <w:rFonts w:ascii="宋体" w:hAnsi="宋体" w:cs="宋体" w:eastAsia="宋体" w:hint="default"/>
                            <w:spacing w:val="-45"/>
                            <w:sz w:val="18"/>
                            <w:szCs w:val="18"/>
                          </w:rPr>
                          <w:t> </w:t>
                        </w:r>
                        <w:r>
                          <w:rPr>
                            <w:rFonts w:ascii="Times New Roman" w:hAnsi="Times New Roman" w:cs="Times New Roman" w:eastAsia="Times New Roman" w:hint="default"/>
                            <w:spacing w:val="-9"/>
                            <w:sz w:val="18"/>
                            <w:szCs w:val="18"/>
                          </w:rPr>
                          <w:t>1</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23</w:t>
                        </w:r>
                        <w:r>
                          <w:rPr>
                            <w:rFonts w:ascii="Times New Roman" w:hAnsi="Times New Roman" w:cs="Times New Roman" w:eastAsia="Times New Roman" w:hint="default"/>
                            <w:sz w:val="18"/>
                            <w:szCs w:val="18"/>
                          </w:rPr>
                        </w:r>
                      </w:p>
                      <w:p>
                        <w:pPr>
                          <w:pStyle w:val="TableParagraph"/>
                          <w:spacing w:line="300" w:lineRule="auto" w:before="63"/>
                          <w:ind w:left="23" w:right="67"/>
                          <w:jc w:val="left"/>
                          <w:rPr>
                            <w:rFonts w:ascii="宋体" w:hAnsi="宋体" w:cs="宋体" w:eastAsia="宋体" w:hint="default"/>
                            <w:sz w:val="18"/>
                            <w:szCs w:val="18"/>
                          </w:rPr>
                        </w:pPr>
                        <w:r>
                          <w:rPr>
                            <w:rFonts w:ascii="宋体" w:hAnsi="宋体" w:cs="宋体" w:eastAsia="宋体" w:hint="default"/>
                            <w:sz w:val="18"/>
                            <w:szCs w:val="18"/>
                          </w:rPr>
                          <w:t>日（如遇法定节假日和</w:t>
                        </w:r>
                        <w:r>
                          <w:rPr>
                            <w:rFonts w:ascii="Times New Roman" w:hAnsi="Times New Roman" w:cs="Times New Roman" w:eastAsia="Times New Roman" w:hint="default"/>
                            <w:sz w:val="18"/>
                            <w:szCs w:val="18"/>
                          </w:rPr>
                          <w:t>/</w:t>
                        </w:r>
                        <w:r>
                          <w:rPr>
                            <w:rFonts w:ascii="宋体" w:hAnsi="宋体" w:cs="宋体" w:eastAsia="宋体" w:hint="default"/>
                            <w:sz w:val="18"/>
                            <w:szCs w:val="18"/>
                          </w:rPr>
                          <w:t>或休息日，则顺延至其后的第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个交易日，则顺延至其后的第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个 </w:t>
                        </w:r>
                        <w:r>
                          <w:rPr>
                            <w:rFonts w:ascii="宋体" w:hAnsi="宋体" w:cs="宋体" w:eastAsia="宋体" w:hint="default"/>
                            <w:spacing w:val="-3"/>
                            <w:sz w:val="18"/>
                            <w:szCs w:val="18"/>
                          </w:rPr>
                          <w:t>交易日顺延期间付息款项不另计利息）。截至报告期末，本期债券未到首个付息日。</w:t>
                        </w:r>
                      </w:p>
                    </w:tc>
                  </w:tr>
                  <w:tr>
                    <w:trPr>
                      <w:trHeight w:val="1339" w:hRule="exact"/>
                    </w:trPr>
                    <w:tc>
                      <w:tcPr>
                        <w:tcW w:w="239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2"/>
                          <w:jc w:val="left"/>
                          <w:rPr>
                            <w:rFonts w:ascii="宋体" w:hAnsi="宋体" w:cs="宋体" w:eastAsia="宋体" w:hint="default"/>
                            <w:sz w:val="18"/>
                            <w:szCs w:val="18"/>
                          </w:rPr>
                        </w:pPr>
                        <w:r>
                          <w:rPr>
                            <w:rFonts w:ascii="宋体" w:hAnsi="宋体" w:cs="宋体" w:eastAsia="宋体" w:hint="default"/>
                            <w:sz w:val="18"/>
                            <w:szCs w:val="18"/>
                          </w:rPr>
                          <w:t>公司债券附发行人或投资者 选择权条款、可交换条款等特 殊条款的，报告期内相关条款 </w:t>
                        </w:r>
                        <w:r>
                          <w:rPr>
                            <w:rFonts w:ascii="宋体" w:hAnsi="宋体" w:cs="宋体" w:eastAsia="宋体" w:hint="default"/>
                            <w:spacing w:val="-9"/>
                            <w:sz w:val="18"/>
                            <w:szCs w:val="18"/>
                          </w:rPr>
                          <w:t>的执行情况（如适用）。</w:t>
                        </w:r>
                      </w:p>
                    </w:tc>
                    <w:tc>
                      <w:tcPr>
                        <w:tcW w:w="717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300" w:lineRule="auto" w:before="125"/>
                          <w:ind w:left="23" w:right="29"/>
                          <w:jc w:val="left"/>
                          <w:rPr>
                            <w:rFonts w:ascii="宋体" w:hAnsi="宋体" w:cs="宋体" w:eastAsia="宋体" w:hint="default"/>
                            <w:sz w:val="18"/>
                            <w:szCs w:val="18"/>
                          </w:rPr>
                        </w:pPr>
                        <w:r>
                          <w:rPr>
                            <w:rFonts w:ascii="宋体" w:hAnsi="宋体" w:cs="宋体" w:eastAsia="宋体" w:hint="default"/>
                            <w:sz w:val="18"/>
                            <w:szCs w:val="18"/>
                          </w:rPr>
                          <w:t>本次债券的期限为</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年，附第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 </w:t>
                        </w:r>
                        <w:r>
                          <w:rPr>
                            <w:rFonts w:ascii="宋体" w:hAnsi="宋体" w:cs="宋体" w:eastAsia="宋体" w:hint="default"/>
                            <w:sz w:val="18"/>
                            <w:szCs w:val="18"/>
                          </w:rPr>
                          <w:t>年末发行人调整票面利率选择权及投资者回售选择权。截 至报告期末，公司调整票面利率选择权和投资者回售选择权行使时间尚未到。</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pStyle w:val="Heading3"/>
        <w:spacing w:line="240" w:lineRule="auto" w:before="26"/>
        <w:ind w:right="0"/>
        <w:jc w:val="left"/>
        <w:rPr>
          <w:b w:val="0"/>
          <w:bCs w:val="0"/>
        </w:rPr>
      </w:pPr>
      <w:r>
        <w:rPr/>
        <w:t>二、债券受托管理人和资信评级机构信息</w:t>
      </w:r>
      <w:r>
        <w:rPr>
          <w:b w:val="0"/>
          <w:bCs w:val="0"/>
        </w:rPr>
      </w:r>
    </w:p>
    <w:p>
      <w:pPr>
        <w:spacing w:line="240" w:lineRule="auto" w:before="11"/>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203"/>
        <w:gridCol w:w="1196"/>
        <w:gridCol w:w="785"/>
        <w:gridCol w:w="412"/>
        <w:gridCol w:w="1195"/>
        <w:gridCol w:w="1196"/>
        <w:gridCol w:w="1196"/>
        <w:gridCol w:w="1195"/>
        <w:gridCol w:w="1198"/>
      </w:tblGrid>
      <w:tr>
        <w:trPr>
          <w:trHeight w:val="397"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债券受托管理人：</w:t>
            </w:r>
          </w:p>
        </w:tc>
      </w:tr>
      <w:tr>
        <w:trPr>
          <w:trHeight w:val="1037" w:hRule="exact"/>
        </w:trPr>
        <w:tc>
          <w:tcPr>
            <w:tcW w:w="1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24" w:right="0"/>
              <w:jc w:val="left"/>
              <w:rPr>
                <w:rFonts w:ascii="宋体" w:hAnsi="宋体" w:cs="宋体" w:eastAsia="宋体" w:hint="default"/>
                <w:sz w:val="18"/>
                <w:szCs w:val="18"/>
              </w:rPr>
            </w:pPr>
            <w:r>
              <w:rPr>
                <w:rFonts w:ascii="宋体" w:hAnsi="宋体" w:cs="宋体" w:eastAsia="宋体" w:hint="default"/>
                <w:sz w:val="18"/>
                <w:szCs w:val="18"/>
              </w:rPr>
              <w:t>名称</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316" w:lineRule="auto"/>
              <w:ind w:left="23" w:right="80"/>
              <w:jc w:val="left"/>
              <w:rPr>
                <w:rFonts w:ascii="宋体" w:hAnsi="宋体" w:cs="宋体" w:eastAsia="宋体" w:hint="default"/>
                <w:sz w:val="18"/>
                <w:szCs w:val="18"/>
              </w:rPr>
            </w:pPr>
            <w:r>
              <w:rPr>
                <w:rFonts w:ascii="宋体" w:hAnsi="宋体" w:cs="宋体" w:eastAsia="宋体" w:hint="default"/>
                <w:sz w:val="18"/>
                <w:szCs w:val="18"/>
              </w:rPr>
              <w:t>中信建投证券 股份有限公司</w:t>
            </w:r>
          </w:p>
        </w:tc>
        <w:tc>
          <w:tcPr>
            <w:tcW w:w="119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3"/>
              <w:ind w:left="24" w:right="32"/>
              <w:jc w:val="both"/>
              <w:rPr>
                <w:rFonts w:ascii="宋体" w:hAnsi="宋体" w:cs="宋体" w:eastAsia="宋体" w:hint="default"/>
                <w:sz w:val="18"/>
                <w:szCs w:val="18"/>
              </w:rPr>
            </w:pPr>
            <w:r>
              <w:rPr>
                <w:rFonts w:ascii="宋体" w:hAnsi="宋体" w:cs="宋体" w:eastAsia="宋体" w:hint="default"/>
                <w:sz w:val="18"/>
                <w:szCs w:val="18"/>
              </w:rPr>
              <w:t>北京市朝阳区 安立路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号楼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24" w:right="0"/>
              <w:jc w:val="left"/>
              <w:rPr>
                <w:rFonts w:ascii="宋体" w:hAnsi="宋体" w:cs="宋体" w:eastAsia="宋体" w:hint="default"/>
                <w:sz w:val="18"/>
                <w:szCs w:val="18"/>
              </w:rPr>
            </w:pPr>
            <w:r>
              <w:rPr>
                <w:rFonts w:ascii="宋体" w:hAnsi="宋体" w:cs="宋体" w:eastAsia="宋体" w:hint="default"/>
                <w:sz w:val="18"/>
                <w:szCs w:val="18"/>
              </w:rPr>
              <w:t>联系人</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24" w:right="0"/>
              <w:jc w:val="left"/>
              <w:rPr>
                <w:rFonts w:ascii="宋体" w:hAnsi="宋体" w:cs="宋体" w:eastAsia="宋体" w:hint="default"/>
                <w:sz w:val="18"/>
                <w:szCs w:val="18"/>
              </w:rPr>
            </w:pPr>
            <w:r>
              <w:rPr>
                <w:rFonts w:ascii="宋体" w:hAnsi="宋体" w:cs="宋体" w:eastAsia="宋体" w:hint="default"/>
                <w:sz w:val="18"/>
                <w:szCs w:val="18"/>
              </w:rPr>
              <w:t>朱林、顾中杰</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0"/>
              <w:ind w:left="22" w:right="0"/>
              <w:jc w:val="left"/>
              <w:rPr>
                <w:rFonts w:ascii="宋体" w:hAnsi="宋体" w:cs="宋体" w:eastAsia="宋体" w:hint="default"/>
                <w:sz w:val="18"/>
                <w:szCs w:val="18"/>
              </w:rPr>
            </w:pPr>
            <w:r>
              <w:rPr>
                <w:rFonts w:ascii="宋体" w:hAnsi="宋体" w:cs="宋体" w:eastAsia="宋体" w:hint="default"/>
                <w:sz w:val="18"/>
                <w:szCs w:val="18"/>
              </w:rPr>
              <w:t>联系人电话</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021-68801573</w:t>
            </w:r>
          </w:p>
        </w:tc>
      </w:tr>
      <w:tr>
        <w:trPr>
          <w:trHeight w:val="391" w:hRule="exact"/>
        </w:trPr>
        <w:tc>
          <w:tcPr>
            <w:tcW w:w="9576"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报告期内对公司债券进行跟踪评级的资信评级机构：</w:t>
            </w:r>
          </w:p>
        </w:tc>
      </w:tr>
      <w:tr>
        <w:trPr>
          <w:trHeight w:val="786" w:hRule="exact"/>
        </w:trPr>
        <w:tc>
          <w:tcPr>
            <w:tcW w:w="1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名称</w:t>
            </w:r>
          </w:p>
        </w:tc>
        <w:tc>
          <w:tcPr>
            <w:tcW w:w="3589" w:type="dxa"/>
            <w:gridSpan w:val="4"/>
            <w:tcBorders>
              <w:top w:val="single" w:sz="4" w:space="0" w:color="000000"/>
              <w:left w:val="single" w:sz="4" w:space="0" w:color="000000"/>
              <w:bottom w:val="single" w:sz="54" w:space="0" w:color="FFFFFF"/>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联合信用评级有限公司</w:t>
            </w:r>
          </w:p>
        </w:tc>
        <w:tc>
          <w:tcPr>
            <w:tcW w:w="1196" w:type="dxa"/>
            <w:tcBorders>
              <w:top w:val="single" w:sz="4" w:space="0" w:color="000000"/>
              <w:left w:val="single" w:sz="4" w:space="0" w:color="000000"/>
              <w:bottom w:val="single" w:sz="59" w:space="0" w:color="FFFFFF"/>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3589" w:type="dxa"/>
            <w:gridSpan w:val="3"/>
            <w:tcBorders>
              <w:top w:val="single" w:sz="4" w:space="0" w:color="000000"/>
              <w:left w:val="single" w:sz="4" w:space="0" w:color="000000"/>
              <w:bottom w:val="single" w:sz="59" w:space="0" w:color="FFFFFF"/>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天津市南开区水上公园北道 </w:t>
            </w:r>
            <w:r>
              <w:rPr>
                <w:rFonts w:ascii="Times New Roman" w:hAnsi="Times New Roman" w:cs="Times New Roman" w:eastAsia="Times New Roman" w:hint="default"/>
                <w:sz w:val="18"/>
                <w:szCs w:val="18"/>
              </w:rPr>
              <w:t>38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号爱俪园公</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寓 </w:t>
            </w:r>
            <w:r>
              <w:rPr>
                <w:rFonts w:ascii="Times New Roman" w:hAnsi="Times New Roman" w:cs="Times New Roman" w:eastAsia="Times New Roman" w:hint="default"/>
                <w:sz w:val="18"/>
                <w:szCs w:val="18"/>
              </w:rPr>
              <w:t>508</w:t>
            </w:r>
          </w:p>
        </w:tc>
      </w:tr>
      <w:tr>
        <w:trPr>
          <w:trHeight w:val="539" w:hRule="exact"/>
        </w:trPr>
        <w:tc>
          <w:tcPr>
            <w:tcW w:w="318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18" w:lineRule="exact"/>
              <w:ind w:left="24" w:right="0"/>
              <w:jc w:val="left"/>
              <w:rPr>
                <w:rFonts w:ascii="宋体" w:hAnsi="宋体" w:cs="宋体" w:eastAsia="宋体" w:hint="default"/>
                <w:sz w:val="18"/>
                <w:szCs w:val="18"/>
              </w:rPr>
            </w:pPr>
            <w:r>
              <w:rPr>
                <w:rFonts w:ascii="宋体" w:hAnsi="宋体" w:cs="宋体" w:eastAsia="宋体" w:hint="default"/>
                <w:sz w:val="18"/>
                <w:szCs w:val="18"/>
              </w:rPr>
              <w:t>报告期内公司聘请的债券受托管理人、</w:t>
            </w:r>
          </w:p>
          <w:p>
            <w:pPr>
              <w:pStyle w:val="TableParagraph"/>
              <w:spacing w:line="240" w:lineRule="auto" w:before="74"/>
              <w:ind w:left="24" w:right="0"/>
              <w:jc w:val="left"/>
              <w:rPr>
                <w:rFonts w:ascii="宋体" w:hAnsi="宋体" w:cs="宋体" w:eastAsia="宋体" w:hint="default"/>
                <w:sz w:val="18"/>
                <w:szCs w:val="18"/>
              </w:rPr>
            </w:pPr>
            <w:r>
              <w:rPr>
                <w:rFonts w:ascii="宋体" w:hAnsi="宋体" w:cs="宋体" w:eastAsia="宋体" w:hint="default"/>
                <w:sz w:val="18"/>
                <w:szCs w:val="18"/>
              </w:rPr>
              <w:t>资信评级机构发生变更的，</w:t>
            </w:r>
          </w:p>
        </w:tc>
        <w:tc>
          <w:tcPr>
            <w:tcW w:w="6391" w:type="dxa"/>
            <w:gridSpan w:val="6"/>
            <w:tcBorders>
              <w:top w:val="single" w:sz="59" w:space="0" w:color="FFFFFF"/>
              <w:left w:val="single" w:sz="9" w:space="0" w:color="D2D2D2"/>
              <w:bottom w:val="single" w:sz="58" w:space="0" w:color="FFFFFF"/>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2"/>
        <w:rPr>
          <w:rFonts w:ascii="宋体" w:hAnsi="宋体" w:cs="宋体" w:eastAsia="宋体" w:hint="default"/>
          <w:b/>
          <w:bCs/>
          <w:sz w:val="28"/>
          <w:szCs w:val="28"/>
        </w:rPr>
      </w:pPr>
    </w:p>
    <w:p>
      <w:pPr>
        <w:spacing w:line="694" w:lineRule="exact"/>
        <w:ind w:left="148" w:right="0" w:firstLine="0"/>
        <w:rPr>
          <w:rFonts w:ascii="宋体" w:hAnsi="宋体" w:cs="宋体" w:eastAsia="宋体" w:hint="default"/>
          <w:sz w:val="20"/>
          <w:szCs w:val="20"/>
        </w:rPr>
      </w:pPr>
      <w:r>
        <w:rPr>
          <w:rFonts w:ascii="宋体" w:hAnsi="宋体" w:cs="宋体" w:eastAsia="宋体" w:hint="default"/>
          <w:position w:val="-13"/>
          <w:sz w:val="20"/>
          <w:szCs w:val="20"/>
        </w:rPr>
        <w:pict>
          <v:group style="width:479.3pt;height:34.7pt;mso-position-horizontal-relative:char;mso-position-vertical-relative:line" coordorigin="0,0" coordsize="9586,694">
            <v:group style="position:absolute;left:3174;top:327;width:22;height:353" coordorigin="3174,327" coordsize="22,353">
              <v:shape style="position:absolute;left:3174;top:327;width:22;height:353" coordorigin="3174,327" coordsize="22,353" path="m3174,680l3195,680,3195,327,3174,327,3174,680xe" filled="true" fillcolor="#d2d2d2" stroked="false">
                <v:path arrowok="t"/>
                <v:fill type="solid"/>
              </v:shape>
            </v:group>
            <v:group style="position:absolute;left:12;top:327;width:22;height:353" coordorigin="12,327" coordsize="22,353">
              <v:shape style="position:absolute;left:12;top:327;width:22;height:353" coordorigin="12,327" coordsize="22,353" path="m12,680l34,680,34,327,12,327,12,680xe" filled="true" fillcolor="#d2d2d2" stroked="false">
                <v:path arrowok="t"/>
                <v:fill type="solid"/>
              </v:shape>
            </v:group>
            <v:group style="position:absolute;left:34;top:14;width:3141;height:313" coordorigin="34,14" coordsize="3141,313">
              <v:shape style="position:absolute;left:34;top:14;width:3141;height:313" coordorigin="34,14" coordsize="3141,313" path="m34,327l3174,327,3174,14,34,14,34,327xe" filled="true" fillcolor="#d2d2d2" stroked="false">
                <v:path arrowok="t"/>
                <v:fill type="solid"/>
              </v:shape>
            </v:group>
            <v:group style="position:absolute;left:34;top:327;width:3141;height:353" coordorigin="34,327" coordsize="3141,353">
              <v:shape style="position:absolute;left:34;top:327;width:3141;height:353" coordorigin="34,327" coordsize="3141,353" path="m34,680l3174,680,3174,327,34,327,34,680xe" filled="true" fillcolor="#d2d2d2" stroked="false">
                <v:path arrowok="t"/>
                <v:fill type="solid"/>
              </v:shape>
            </v:group>
            <v:group style="position:absolute;left:10;top:10;width:3186;height:2" coordorigin="10,10" coordsize="3186,2">
              <v:shape style="position:absolute;left:10;top:10;width:3186;height:2" coordorigin="10,10" coordsize="3186,0" path="m10,10l3195,10e" filled="false" stroked="true" strokeweight=".48pt" strokecolor="#000000">
                <v:path arrowok="t"/>
              </v:shape>
            </v:group>
            <v:group style="position:absolute;left:3205;top:10;width:6371;height:2" coordorigin="3205,10" coordsize="6371,2">
              <v:shape style="position:absolute;left:3205;top:10;width:6371;height:2" coordorigin="3205,10" coordsize="6371,0" path="m3205,10l9576,10e" filled="false" stroked="true" strokeweight=".48pt" strokecolor="#000000">
                <v:path arrowok="t"/>
              </v:shape>
            </v:group>
            <v:group style="position:absolute;left:5;top:5;width:2;height:685" coordorigin="5,5" coordsize="2,685">
              <v:shape style="position:absolute;left:5;top:5;width:2;height:685" coordorigin="5,5" coordsize="0,685" path="m5,5l5,689e" filled="false" stroked="true" strokeweight=".48pt" strokecolor="#000000">
                <v:path arrowok="t"/>
              </v:shape>
            </v:group>
            <v:group style="position:absolute;left:10;top:684;width:3186;height:2" coordorigin="10,684" coordsize="3186,2">
              <v:shape style="position:absolute;left:10;top:684;width:3186;height:2" coordorigin="10,684" coordsize="3186,0" path="m10,684l3195,684e" filled="false" stroked="true" strokeweight=".48pt" strokecolor="#000000">
                <v:path arrowok="t"/>
              </v:shape>
            </v:group>
            <v:group style="position:absolute;left:3200;top:5;width:2;height:685" coordorigin="3200,5" coordsize="2,685">
              <v:shape style="position:absolute;left:3200;top:5;width:2;height:685" coordorigin="3200,5" coordsize="0,685" path="m3200,5l3200,689e" filled="false" stroked="true" strokeweight=".48pt" strokecolor="#000000">
                <v:path arrowok="t"/>
              </v:shape>
            </v:group>
            <v:group style="position:absolute;left:3205;top:684;width:6371;height:2" coordorigin="3205,684" coordsize="6371,2">
              <v:shape style="position:absolute;left:3205;top:684;width:6371;height:2" coordorigin="3205,684" coordsize="6371,0" path="m3205,684l9576,684e" filled="false" stroked="true" strokeweight=".48pt" strokecolor="#000000">
                <v:path arrowok="t"/>
              </v:shape>
            </v:group>
            <v:group style="position:absolute;left:9580;top:5;width:2;height:685" coordorigin="9580,5" coordsize="2,685">
              <v:shape style="position:absolute;left:9580;top:5;width:2;height:685" coordorigin="9580,5" coordsize="0,685" path="m9580,5l9580,689e" filled="false" stroked="true" strokeweight=".47998pt" strokecolor="#000000">
                <v:path arrowok="t"/>
              </v:shape>
              <v:shape style="position:absolute;left:6;top:10;width:3195;height:675" type="#_x0000_t202" filled="false" stroked="false">
                <v:textbox inset="0,0,0,0">
                  <w:txbxContent>
                    <w:p>
                      <w:pPr>
                        <w:spacing w:line="319" w:lineRule="auto" w:before="13"/>
                        <w:ind w:left="27" w:right="25" w:firstLine="0"/>
                        <w:jc w:val="left"/>
                        <w:rPr>
                          <w:rFonts w:ascii="宋体" w:hAnsi="宋体" w:cs="宋体" w:eastAsia="宋体" w:hint="default"/>
                          <w:sz w:val="18"/>
                          <w:szCs w:val="18"/>
                        </w:rPr>
                      </w:pPr>
                      <w:r>
                        <w:rPr>
                          <w:rFonts w:ascii="宋体" w:hAnsi="宋体" w:cs="宋体" w:eastAsia="宋体" w:hint="default"/>
                          <w:spacing w:val="-6"/>
                          <w:sz w:val="18"/>
                          <w:szCs w:val="18"/>
                        </w:rPr>
                        <w:t>履行的程序、对投资者利益的影响等（如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适用）</w:t>
                      </w:r>
                    </w:p>
                  </w:txbxContent>
                </v:textbox>
                <w10:wrap type="none"/>
              </v:shape>
            </v:group>
          </v:group>
        </w:pict>
      </w:r>
      <w:r>
        <w:rPr>
          <w:rFonts w:ascii="宋体" w:hAnsi="宋体" w:cs="宋体" w:eastAsia="宋体" w:hint="default"/>
          <w:position w:val="-13"/>
          <w:sz w:val="20"/>
          <w:szCs w:val="20"/>
        </w:rPr>
      </w:r>
    </w:p>
    <w:p>
      <w:pPr>
        <w:spacing w:line="240" w:lineRule="auto" w:before="9"/>
        <w:rPr>
          <w:rFonts w:ascii="宋体" w:hAnsi="宋体" w:cs="宋体" w:eastAsia="宋体" w:hint="default"/>
          <w:b/>
          <w:bCs/>
          <w:sz w:val="17"/>
          <w:szCs w:val="17"/>
        </w:rPr>
      </w:pPr>
    </w:p>
    <w:p>
      <w:pPr>
        <w:pStyle w:val="Heading3"/>
        <w:spacing w:line="240" w:lineRule="auto" w:before="26"/>
        <w:ind w:right="94"/>
        <w:jc w:val="left"/>
        <w:rPr>
          <w:b w:val="0"/>
          <w:bCs w:val="0"/>
        </w:rPr>
      </w:pPr>
      <w:r>
        <w:rPr/>
        <w:t>三、公司债券募集资金使用情况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89"/>
        <w:gridCol w:w="6380"/>
      </w:tblGrid>
      <w:tr>
        <w:trPr>
          <w:trHeight w:val="359"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63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日，经中国证券监督管理委员会</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[2016]3158</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号文核</w:t>
            </w:r>
          </w:p>
        </w:tc>
      </w:tr>
      <w:tr>
        <w:trPr>
          <w:trHeight w:val="311"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准，公司获准面向合格投资者公开发行面值不超过 </w:t>
            </w:r>
            <w:r>
              <w:rPr>
                <w:rFonts w:ascii="Times New Roman" w:hAnsi="Times New Roman" w:cs="Times New Roman" w:eastAsia="Times New Roman" w:hint="default"/>
                <w:sz w:val="18"/>
                <w:szCs w:val="18"/>
              </w:rPr>
              <w:t>12 </w:t>
            </w:r>
            <w:r>
              <w:rPr>
                <w:rFonts w:ascii="宋体" w:hAnsi="宋体" w:cs="宋体" w:eastAsia="宋体" w:hint="default"/>
                <w:spacing w:val="-6"/>
                <w:sz w:val="18"/>
                <w:szCs w:val="18"/>
              </w:rPr>
              <w:t>亿元（含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2"/>
                <w:sz w:val="18"/>
                <w:szCs w:val="18"/>
              </w:rPr>
              <w:t> </w:t>
            </w:r>
            <w:r>
              <w:rPr>
                <w:rFonts w:ascii="宋体" w:hAnsi="宋体" w:cs="宋体" w:eastAsia="宋体" w:hint="default"/>
                <w:spacing w:val="-4"/>
                <w:sz w:val="18"/>
                <w:szCs w:val="18"/>
              </w:rPr>
              <w:t>亿元）的公司</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债券。本次债券采取分期发行的方式，其中首期发行债券发行规模为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元，首期自中国证监会核准发行之日起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个月内完成，其余各期债券发行，自</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公司债券募集资金使用情况及履行的程</w:t>
            </w: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中国证监会核准发行之日起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个月内完成。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 </w:t>
            </w:r>
            <w:r>
              <w:rPr>
                <w:rFonts w:ascii="Times New Roman" w:hAnsi="Times New Roman" w:cs="Times New Roman" w:eastAsia="Times New Roman" w:hint="default"/>
                <w:spacing w:val="-5"/>
                <w:sz w:val="18"/>
                <w:szCs w:val="18"/>
              </w:rPr>
              <w:t>11  </w:t>
            </w:r>
            <w:r>
              <w:rPr>
                <w:rFonts w:ascii="宋体" w:hAnsi="宋体" w:cs="宋体" w:eastAsia="宋体" w:hint="default"/>
                <w:sz w:val="18"/>
                <w:szCs w:val="18"/>
              </w:rPr>
              <w:t>月 </w:t>
            </w:r>
            <w:r>
              <w:rPr>
                <w:rFonts w:ascii="Times New Roman" w:hAnsi="Times New Roman" w:cs="Times New Roman" w:eastAsia="Times New Roman" w:hint="default"/>
                <w:sz w:val="18"/>
                <w:szCs w:val="18"/>
              </w:rPr>
              <w:t>24 </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日，公司公开</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序</w:t>
            </w: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发行公司债</w:t>
            </w:r>
            <w:r>
              <w:rPr>
                <w:rFonts w:ascii="宋体" w:hAnsi="宋体" w:cs="宋体" w:eastAsia="宋体" w:hint="default"/>
                <w:spacing w:val="-17"/>
                <w:sz w:val="18"/>
                <w:szCs w:val="18"/>
              </w:rPr>
              <w:t>券</w:t>
            </w:r>
            <w:r>
              <w:rPr>
                <w:rFonts w:ascii="宋体" w:hAnsi="宋体" w:cs="宋体" w:eastAsia="宋体" w:hint="default"/>
                <w:sz w:val="18"/>
                <w:szCs w:val="18"/>
              </w:rPr>
              <w:t>（第一期</w:t>
            </w:r>
            <w:r>
              <w:rPr>
                <w:rFonts w:ascii="宋体" w:hAnsi="宋体" w:cs="宋体" w:eastAsia="宋体" w:hint="default"/>
                <w:spacing w:val="-92"/>
                <w:sz w:val="18"/>
                <w:szCs w:val="18"/>
              </w:rPr>
              <w:t>）</w:t>
            </w:r>
            <w:r>
              <w:rPr>
                <w:rFonts w:ascii="宋体" w:hAnsi="宋体" w:cs="宋体" w:eastAsia="宋体" w:hint="default"/>
                <w:spacing w:val="-17"/>
                <w:sz w:val="18"/>
                <w:szCs w:val="18"/>
              </w:rPr>
              <w:t>，</w:t>
            </w:r>
            <w:r>
              <w:rPr>
                <w:rFonts w:ascii="宋体" w:hAnsi="宋体" w:cs="宋体" w:eastAsia="宋体" w:hint="default"/>
                <w:sz w:val="18"/>
                <w:szCs w:val="18"/>
              </w:rPr>
              <w:t>募集资金总额</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pacing w:val="1"/>
                <w:sz w:val="18"/>
                <w:szCs w:val="18"/>
              </w:rPr>
              <w:t>00</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0  </w:t>
            </w:r>
            <w:r>
              <w:rPr>
                <w:rFonts w:ascii="宋体" w:hAnsi="宋体" w:cs="宋体" w:eastAsia="宋体" w:hint="default"/>
                <w:sz w:val="18"/>
                <w:szCs w:val="18"/>
              </w:rPr>
              <w:t>万元</w:t>
            </w:r>
            <w:r>
              <w:rPr>
                <w:rFonts w:ascii="宋体" w:hAnsi="宋体" w:cs="宋体" w:eastAsia="宋体" w:hint="default"/>
                <w:spacing w:val="-17"/>
                <w:sz w:val="18"/>
                <w:szCs w:val="18"/>
              </w:rPr>
              <w:t>，</w:t>
            </w:r>
            <w:r>
              <w:rPr>
                <w:rFonts w:ascii="宋体" w:hAnsi="宋体" w:cs="宋体" w:eastAsia="宋体" w:hint="default"/>
                <w:sz w:val="18"/>
                <w:szCs w:val="18"/>
              </w:rPr>
              <w:t>扣</w:t>
            </w:r>
            <w:r>
              <w:rPr>
                <w:rFonts w:ascii="宋体" w:hAnsi="宋体" w:cs="宋体" w:eastAsia="宋体" w:hint="default"/>
                <w:spacing w:val="-3"/>
                <w:sz w:val="18"/>
                <w:szCs w:val="18"/>
              </w:rPr>
              <w:t>除</w:t>
            </w:r>
            <w:r>
              <w:rPr>
                <w:rFonts w:ascii="宋体" w:hAnsi="宋体" w:cs="宋体" w:eastAsia="宋体" w:hint="default"/>
                <w:sz w:val="18"/>
                <w:szCs w:val="18"/>
              </w:rPr>
              <w:t>发行费用后</w:t>
            </w:r>
            <w:r>
              <w:rPr>
                <w:rFonts w:ascii="宋体" w:hAnsi="宋体" w:cs="宋体" w:eastAsia="宋体" w:hint="default"/>
                <w:spacing w:val="-17"/>
                <w:sz w:val="18"/>
                <w:szCs w:val="18"/>
              </w:rPr>
              <w:t>，</w:t>
            </w:r>
            <w:r>
              <w:rPr>
                <w:rFonts w:ascii="宋体" w:hAnsi="宋体" w:cs="宋体" w:eastAsia="宋体" w:hint="default"/>
                <w:sz w:val="18"/>
                <w:szCs w:val="18"/>
              </w:rPr>
              <w:t>募集资</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金净额</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5000.00</w:t>
            </w:r>
            <w:r>
              <w:rPr>
                <w:rFonts w:ascii="Times New Roman" w:hAnsi="Times New Roman" w:cs="Times New Roman" w:eastAsia="Times New Roman" w:hint="default"/>
                <w:spacing w:val="1"/>
                <w:sz w:val="18"/>
                <w:szCs w:val="18"/>
              </w:rPr>
              <w:t> </w:t>
            </w:r>
            <w:r>
              <w:rPr>
                <w:rFonts w:ascii="宋体" w:hAnsi="宋体" w:cs="宋体" w:eastAsia="宋体" w:hint="default"/>
                <w:spacing w:val="-13"/>
                <w:sz w:val="18"/>
                <w:szCs w:val="18"/>
              </w:rPr>
              <w:t>万元，已于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日汇入本公司在相关银行开设的募集</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3"/>
              <w:jc w:val="left"/>
              <w:rPr>
                <w:rFonts w:ascii="宋体" w:hAnsi="宋体" w:cs="宋体" w:eastAsia="宋体" w:hint="default"/>
                <w:sz w:val="18"/>
                <w:szCs w:val="18"/>
              </w:rPr>
            </w:pPr>
            <w:r>
              <w:rPr>
                <w:rFonts w:ascii="宋体" w:hAnsi="宋体" w:cs="宋体" w:eastAsia="宋体" w:hint="default"/>
                <w:sz w:val="18"/>
                <w:szCs w:val="18"/>
              </w:rPr>
              <w:t>资金账户中。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年度公司以债券募集资金补充公司流动资金 </w:t>
            </w:r>
            <w:r>
              <w:rPr>
                <w:rFonts w:ascii="Times New Roman" w:hAnsi="Times New Roman" w:cs="Times New Roman" w:eastAsia="Times New Roman" w:hint="default"/>
                <w:sz w:val="18"/>
                <w:szCs w:val="18"/>
              </w:rPr>
              <w:t>2,985.10</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万元，</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募集资金累计投入</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2,985.10 </w:t>
            </w:r>
            <w:r>
              <w:rPr>
                <w:rFonts w:ascii="宋体" w:hAnsi="宋体" w:cs="宋体" w:eastAsia="宋体" w:hint="default"/>
                <w:sz w:val="18"/>
                <w:szCs w:val="18"/>
              </w:rPr>
              <w:t>万元。截至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日，募集资金净额结余</w:t>
            </w:r>
          </w:p>
        </w:tc>
      </w:tr>
      <w:tr>
        <w:trPr>
          <w:trHeight w:val="355"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2,014.90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年末余额（万元）</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2,014.90</w:t>
            </w:r>
          </w:p>
        </w:tc>
      </w:tr>
      <w:tr>
        <w:trPr>
          <w:trHeight w:val="354" w:hRule="exact"/>
        </w:trPr>
        <w:tc>
          <w:tcPr>
            <w:tcW w:w="3189" w:type="dxa"/>
            <w:tcBorders>
              <w:top w:val="single" w:sz="4" w:space="0" w:color="000000"/>
              <w:left w:val="single" w:sz="4" w:space="0" w:color="000000"/>
              <w:bottom w:val="nil" w:sz="6" w:space="0" w:color="auto"/>
              <w:right w:val="single" w:sz="4" w:space="0" w:color="000000"/>
            </w:tcBorders>
            <w:shd w:val="clear" w:color="auto" w:fill="D2D2D2"/>
          </w:tcPr>
          <w:p>
            <w:pPr/>
          </w:p>
        </w:tc>
        <w:tc>
          <w:tcPr>
            <w:tcW w:w="63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报告期内，募集资金专项账户运作良好。</w:t>
            </w:r>
            <w:r>
              <w:rPr>
                <w:rFonts w:ascii="宋体" w:hAnsi="宋体" w:cs="宋体" w:eastAsia="宋体" w:hint="default"/>
                <w:spacing w:val="-69"/>
                <w:sz w:val="18"/>
                <w:szCs w:val="18"/>
              </w:rPr>
              <w:t> </w:t>
            </w:r>
            <w:r>
              <w:rPr>
                <w:rFonts w:ascii="宋体" w:hAnsi="宋体" w:cs="宋体" w:eastAsia="宋体" w:hint="default"/>
                <w:sz w:val="18"/>
                <w:szCs w:val="18"/>
              </w:rPr>
              <w:t>公司将严格遵循公司的资金管理制度及</w:t>
            </w:r>
          </w:p>
        </w:tc>
      </w:tr>
      <w:tr>
        <w:trPr>
          <w:trHeight w:val="312" w:hRule="exact"/>
        </w:trPr>
        <w:tc>
          <w:tcPr>
            <w:tcW w:w="318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募集资金专项账户运作情况</w:t>
            </w:r>
          </w:p>
        </w:tc>
        <w:tc>
          <w:tcPr>
            <w:tcW w:w="638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相关法律法规，履行募集资金使用的相关程序，遵照募集说明书承诺的用途、使</w:t>
            </w:r>
          </w:p>
        </w:tc>
      </w:tr>
      <w:tr>
        <w:trPr>
          <w:trHeight w:val="359" w:hRule="exact"/>
        </w:trPr>
        <w:tc>
          <w:tcPr>
            <w:tcW w:w="3189" w:type="dxa"/>
            <w:tcBorders>
              <w:top w:val="nil" w:sz="6" w:space="0" w:color="auto"/>
              <w:left w:val="single" w:sz="4" w:space="0" w:color="000000"/>
              <w:bottom w:val="single" w:sz="4" w:space="0" w:color="000000"/>
              <w:right w:val="single" w:sz="4" w:space="0" w:color="000000"/>
            </w:tcBorders>
            <w:shd w:val="clear" w:color="auto" w:fill="D2D2D2"/>
          </w:tcPr>
          <w:p>
            <w:pPr/>
          </w:p>
        </w:tc>
        <w:tc>
          <w:tcPr>
            <w:tcW w:w="638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用计划及其他约定。</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募集资金使用是否与募集说明书承诺的 用途、使用计划及其他约定一致</w:t>
            </w:r>
          </w:p>
        </w:tc>
        <w:tc>
          <w:tcPr>
            <w:tcW w:w="6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line="240" w:lineRule="auto" w:before="1"/>
        <w:rPr>
          <w:rFonts w:ascii="宋体" w:hAnsi="宋体" w:cs="宋体" w:eastAsia="宋体" w:hint="default"/>
          <w:b/>
          <w:bCs/>
          <w:sz w:val="18"/>
          <w:szCs w:val="18"/>
        </w:rPr>
      </w:pPr>
    </w:p>
    <w:p>
      <w:pPr>
        <w:pStyle w:val="Heading3"/>
        <w:spacing w:line="240" w:lineRule="auto" w:before="26"/>
        <w:ind w:right="94"/>
        <w:jc w:val="left"/>
        <w:rPr>
          <w:b w:val="0"/>
          <w:bCs w:val="0"/>
        </w:rPr>
      </w:pPr>
      <w:r>
        <w:rPr/>
        <w:t>四、公司债券信息评级情况</w:t>
      </w:r>
      <w:r>
        <w:rPr>
          <w:b w:val="0"/>
          <w:bCs w:val="0"/>
        </w:rPr>
      </w:r>
    </w:p>
    <w:p>
      <w:pPr>
        <w:spacing w:line="240" w:lineRule="auto" w:before="4"/>
        <w:rPr>
          <w:rFonts w:ascii="宋体" w:hAnsi="宋体" w:cs="宋体" w:eastAsia="宋体" w:hint="default"/>
          <w:b/>
          <w:bCs/>
          <w:sz w:val="26"/>
          <w:szCs w:val="26"/>
        </w:rPr>
      </w:pPr>
    </w:p>
    <w:p>
      <w:pPr>
        <w:pStyle w:val="BodyText"/>
        <w:spacing w:line="304" w:lineRule="auto"/>
        <w:ind w:right="189" w:firstLine="360"/>
        <w:jc w:val="both"/>
      </w:pP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11</w:t>
      </w:r>
      <w:r>
        <w:rPr>
          <w:rFonts w:ascii="Times New Roman" w:hAnsi="Times New Roman" w:cs="Times New Roman" w:eastAsia="Times New Roman" w:hint="default"/>
          <w:spacing w:val="40"/>
        </w:rPr>
        <w:t> </w:t>
      </w:r>
      <w:r>
        <w:rPr/>
        <w:t>月</w:t>
      </w:r>
      <w:r>
        <w:rPr>
          <w:rFonts w:ascii="Times New Roman" w:hAnsi="Times New Roman" w:cs="Times New Roman" w:eastAsia="Times New Roman" w:hint="default"/>
        </w:rPr>
        <w:t>14</w:t>
      </w:r>
      <w:r>
        <w:rPr/>
        <w:t>日，联合评级对本期发行的公司债券的资信情况进行了评级。根据联合评级出具的《北京四维图新科 技股份有限公司</w:t>
      </w:r>
      <w:r>
        <w:rPr>
          <w:rFonts w:ascii="Times New Roman" w:hAnsi="Times New Roman" w:cs="Times New Roman" w:eastAsia="Times New Roman" w:hint="default"/>
        </w:rPr>
        <w:t>2017</w:t>
      </w:r>
      <w:r>
        <w:rPr/>
        <w:t>年面向合格投资者公开发行公司债券（第一期）信用评级报告》，公司的主体信用等级为</w:t>
      </w:r>
      <w:r>
        <w:rPr>
          <w:spacing w:val="-51"/>
        </w:rPr>
        <w:t> </w:t>
      </w:r>
      <w:r>
        <w:rPr>
          <w:rFonts w:ascii="Times New Roman" w:hAnsi="Times New Roman" w:cs="Times New Roman" w:eastAsia="Times New Roman" w:hint="default"/>
          <w:spacing w:val="-3"/>
        </w:rPr>
        <w:t>AA</w:t>
      </w:r>
      <w:r>
        <w:rPr>
          <w:spacing w:val="-3"/>
        </w:rPr>
        <w:t>，评级展</w:t>
      </w:r>
      <w:r>
        <w:rPr/>
        <w:t> 望为</w:t>
      </w:r>
      <w:r>
        <w:rPr>
          <w:rFonts w:ascii="Times New Roman" w:hAnsi="Times New Roman" w:cs="Times New Roman" w:eastAsia="Times New Roman" w:hint="default"/>
        </w:rPr>
        <w:t>“</w:t>
      </w:r>
      <w:r>
        <w:rPr/>
        <w:t>稳定</w:t>
      </w:r>
      <w:r>
        <w:rPr>
          <w:rFonts w:ascii="Times New Roman" w:hAnsi="Times New Roman" w:cs="Times New Roman" w:eastAsia="Times New Roman" w:hint="default"/>
        </w:rPr>
        <w:t>”</w:t>
      </w:r>
      <w:r>
        <w:rPr/>
        <w:t>，本期债券信用等级为</w:t>
      </w:r>
      <w:r>
        <w:rPr>
          <w:spacing w:val="-9"/>
        </w:rPr>
        <w:t> </w:t>
      </w:r>
      <w:r>
        <w:rPr>
          <w:rFonts w:ascii="Times New Roman" w:hAnsi="Times New Roman" w:cs="Times New Roman" w:eastAsia="Times New Roman" w:hint="default"/>
        </w:rPr>
        <w:t>AAA</w:t>
      </w:r>
      <w:r>
        <w:rPr/>
        <w:t>。在本期债券评级的信用等级有效期内，联合评级将对公司进行持续跟踪评级，持 </w:t>
      </w:r>
      <w:r>
        <w:rPr>
          <w:spacing w:val="-2"/>
        </w:rPr>
        <w:t>续跟踪评级包括持续定期跟踪评级与不定期跟踪评级。联合评级将在本期债券存续期内，在每年四维图新年报公告后的两个</w:t>
      </w:r>
      <w:r>
        <w:rPr>
          <w:spacing w:val="-64"/>
        </w:rPr>
        <w:t> </w:t>
      </w:r>
      <w:r>
        <w:rPr>
          <w:spacing w:val="-64"/>
        </w:rPr>
      </w:r>
      <w:r>
        <w:rPr/>
        <w:t>月内进行一次定期跟踪评级，并在本期债券存续期内根据有关情况进行不定期跟踪评级。</w:t>
      </w:r>
    </w:p>
    <w:p>
      <w:pPr>
        <w:pStyle w:val="BodyText"/>
        <w:spacing w:line="240" w:lineRule="auto" w:before="68"/>
        <w:ind w:left="513" w:right="94"/>
        <w:jc w:val="left"/>
      </w:pPr>
      <w:r>
        <w:rPr/>
        <w:t>公司债券最新跟踪评级报告将在公司指定信息披露网站巨潮资讯网 </w:t>
      </w:r>
      <w:hyperlink r:id="rId14">
        <w:r>
          <w:rPr>
            <w:rFonts w:ascii="Times New Roman" w:hAnsi="Times New Roman" w:cs="Times New Roman" w:eastAsia="Times New Roman" w:hint="default"/>
          </w:rPr>
          <w:t>www.cninfo.com.cn</w:t>
        </w:r>
      </w:hyperlink>
      <w:r>
        <w:rPr>
          <w:rFonts w:ascii="Times New Roman" w:hAnsi="Times New Roman" w:cs="Times New Roman" w:eastAsia="Times New Roman" w:hint="default"/>
          <w:spacing w:val="2"/>
        </w:rPr>
        <w:t> </w:t>
      </w:r>
      <w:r>
        <w:rPr/>
        <w:t>披露，敬请投资者关注。</w:t>
      </w:r>
    </w:p>
    <w:p>
      <w:pPr>
        <w:spacing w:line="240" w:lineRule="auto" w:before="3"/>
        <w:rPr>
          <w:rFonts w:ascii="宋体" w:hAnsi="宋体" w:cs="宋体" w:eastAsia="宋体" w:hint="default"/>
          <w:sz w:val="24"/>
          <w:szCs w:val="24"/>
        </w:rPr>
      </w:pPr>
    </w:p>
    <w:p>
      <w:pPr>
        <w:pStyle w:val="Heading3"/>
        <w:spacing w:line="240" w:lineRule="auto"/>
        <w:ind w:right="94"/>
        <w:jc w:val="left"/>
        <w:rPr>
          <w:b w:val="0"/>
          <w:bCs w:val="0"/>
        </w:rPr>
      </w:pPr>
      <w:r>
        <w:rPr/>
        <w:t>五、</w:t>
      </w:r>
      <w:r>
        <w:rPr>
          <w:spacing w:val="-4"/>
        </w:rPr>
        <w:t> </w:t>
      </w:r>
      <w:r>
        <w:rPr/>
        <w:t>公司债券增信机制、偿债计划及其他偿债保障措施</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left="513" w:right="94"/>
        <w:jc w:val="left"/>
      </w:pPr>
      <w:r>
        <w:rPr/>
        <w:t>报告期内债券增信机制、偿债计划及其他偿债保障措施未发生变更。 </w:t>
      </w:r>
      <w:r>
        <w:rPr>
          <w:spacing w:val="-2"/>
        </w:rPr>
        <w:t>增信机制：本期公司债券采用担保方式发行，由深圳高新投提供无条件的不可撤销的连带责任保证，担保范围包括本期</w:t>
      </w:r>
    </w:p>
    <w:p>
      <w:pPr>
        <w:pStyle w:val="BodyText"/>
        <w:spacing w:line="222" w:lineRule="exact"/>
        <w:ind w:right="94"/>
        <w:jc w:val="left"/>
      </w:pPr>
      <w:r>
        <w:rPr/>
        <w:t>债券的全部本金及利息、违约金、损害赔偿金和实现债权的全部费用。</w:t>
      </w:r>
    </w:p>
    <w:p>
      <w:pPr>
        <w:pStyle w:val="BodyText"/>
        <w:spacing w:line="300" w:lineRule="auto" w:before="117"/>
        <w:ind w:right="187" w:firstLine="360"/>
        <w:jc w:val="both"/>
      </w:pPr>
      <w:r>
        <w:rPr>
          <w:spacing w:val="-5"/>
        </w:rPr>
        <w:t>偿债计划：本期公司债券的起息日为</w:t>
      </w:r>
      <w:r>
        <w:rPr>
          <w:rFonts w:ascii="Times New Roman" w:hAnsi="Times New Roman" w:cs="Times New Roman" w:eastAsia="Times New Roman" w:hint="default"/>
          <w:spacing w:val="-5"/>
        </w:rPr>
        <w:t>2017</w:t>
      </w:r>
      <w:r>
        <w:rPr>
          <w:spacing w:val="-5"/>
        </w:rPr>
        <w:t>年</w:t>
      </w:r>
      <w:r>
        <w:rPr>
          <w:rFonts w:ascii="Times New Roman" w:hAnsi="Times New Roman" w:cs="Times New Roman" w:eastAsia="Times New Roman" w:hint="default"/>
          <w:spacing w:val="-5"/>
        </w:rPr>
        <w:t>11</w:t>
      </w:r>
      <w:r>
        <w:rPr>
          <w:spacing w:val="-5"/>
        </w:rPr>
        <w:t>月</w:t>
      </w:r>
      <w:r>
        <w:rPr>
          <w:rFonts w:ascii="Times New Roman" w:hAnsi="Times New Roman" w:cs="Times New Roman" w:eastAsia="Times New Roman" w:hint="default"/>
          <w:spacing w:val="-5"/>
        </w:rPr>
        <w:t>23</w:t>
      </w:r>
      <w:r>
        <w:rPr>
          <w:spacing w:val="-5"/>
        </w:rPr>
        <w:t>日，债券利息将于起息日之后在存续期内每年支付一次，</w:t>
      </w:r>
      <w:r>
        <w:rPr>
          <w:rFonts w:ascii="Times New Roman" w:hAnsi="Times New Roman" w:cs="Times New Roman" w:eastAsia="Times New Roman" w:hint="default"/>
          <w:spacing w:val="-5"/>
        </w:rPr>
        <w:t>2018</w:t>
      </w:r>
      <w:r>
        <w:rPr>
          <w:spacing w:val="-5"/>
        </w:rPr>
        <w:t>年至</w:t>
      </w:r>
      <w:r>
        <w:rPr>
          <w:rFonts w:ascii="Times New Roman" w:hAnsi="Times New Roman" w:cs="Times New Roman" w:eastAsia="Times New Roman" w:hint="default"/>
          <w:spacing w:val="-5"/>
        </w:rPr>
        <w:t>2020</w:t>
      </w:r>
      <w:r>
        <w:rPr>
          <w:rFonts w:ascii="Times New Roman" w:hAnsi="Times New Roman" w:cs="Times New Roman" w:eastAsia="Times New Roman" w:hint="default"/>
        </w:rPr>
        <w:t> </w:t>
      </w:r>
      <w:r>
        <w:rPr/>
        <w:t>年间每年的</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23</w:t>
      </w:r>
      <w:r>
        <w:rPr/>
        <w:t>日为本期债券上一计息年度的付息日（遇法定节假日或休息日，则顺延至其后的第</w:t>
      </w:r>
      <w:r>
        <w:rPr>
          <w:rFonts w:ascii="Times New Roman" w:hAnsi="Times New Roman" w:cs="Times New Roman" w:eastAsia="Times New Roman" w:hint="default"/>
        </w:rPr>
        <w:t>1</w:t>
      </w:r>
      <w:r>
        <w:rPr/>
        <w:t>个工作日，下同）。 本期债券到期日为</w:t>
      </w:r>
      <w:r>
        <w:rPr>
          <w:rFonts w:ascii="Times New Roman" w:hAnsi="Times New Roman" w:cs="Times New Roman" w:eastAsia="Times New Roman" w:hint="default"/>
        </w:rPr>
        <w:t>2020</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23</w:t>
      </w:r>
      <w:r>
        <w:rPr/>
        <w:t>日，到期支付本金及最后一期利息。</w:t>
      </w:r>
    </w:p>
    <w:p>
      <w:pPr>
        <w:pStyle w:val="BodyText"/>
        <w:spacing w:line="312" w:lineRule="auto" w:before="51"/>
        <w:ind w:right="94" w:firstLine="360"/>
        <w:jc w:val="left"/>
      </w:pPr>
      <w:r>
        <w:rPr/>
        <w:t>偿债保障措施：为了充分、有效地维护债券持有人的利益，公司为本期债券的按时、足额偿付制定了一系列工作计划， 包括制定《债券持有人会议规则》、充分发挥债券受托管理人的作用、设立专门的偿付工作小组、严格履行信息披露义务。</w:t>
      </w:r>
      <w:r>
        <w:rPr>
          <w:spacing w:val="-86"/>
        </w:rPr>
        <w:t> </w:t>
      </w:r>
      <w:r>
        <w:rPr>
          <w:spacing w:val="-86"/>
        </w:rPr>
      </w:r>
      <w:r>
        <w:rPr/>
        <w:t>此外，在出现预计不能按期偿还债券本息或者到期未能按期偿付债券本息时，发行人将至少采取如下措施：（</w:t>
      </w:r>
      <w:r>
        <w:rPr>
          <w:rFonts w:ascii="Times New Roman" w:hAnsi="Times New Roman" w:cs="Times New Roman" w:eastAsia="Times New Roman" w:hint="default"/>
        </w:rPr>
        <w:t>1</w:t>
      </w:r>
      <w:r>
        <w:rPr/>
        <w:t>）不向股东</w:t>
      </w:r>
      <w:r>
        <w:rPr>
          <w:spacing w:val="-87"/>
        </w:rPr>
        <w:t> </w:t>
      </w:r>
      <w:r>
        <w:rPr/>
        <w:t>分配利润；（</w:t>
      </w:r>
      <w:r>
        <w:rPr>
          <w:rFonts w:ascii="Times New Roman" w:hAnsi="Times New Roman" w:cs="Times New Roman" w:eastAsia="Times New Roman" w:hint="default"/>
        </w:rPr>
        <w:t>2</w:t>
      </w:r>
      <w:r>
        <w:rPr/>
        <w:t>）暂缓重大对外投资、收购兼并等资本性支出项目的实施；（</w:t>
      </w:r>
      <w:r>
        <w:rPr>
          <w:rFonts w:ascii="Times New Roman" w:hAnsi="Times New Roman" w:cs="Times New Roman" w:eastAsia="Times New Roman" w:hint="default"/>
        </w:rPr>
        <w:t>3</w:t>
      </w:r>
      <w:r>
        <w:rPr/>
        <w:t>）调减或停发董事和高级管理人员的薪酬</w:t>
      </w:r>
      <w:r>
        <w:rPr>
          <w:rFonts w:ascii="Times New Roman" w:hAnsi="Times New Roman" w:cs="Times New Roman" w:eastAsia="Times New Roman" w:hint="default"/>
        </w:rPr>
        <w:t>/</w:t>
      </w:r>
      <w:r>
        <w:rPr/>
        <w:t>工</w:t>
      </w:r>
    </w:p>
    <w:p>
      <w:pPr>
        <w:spacing w:after="0" w:line="312" w:lineRule="auto"/>
        <w:jc w:val="left"/>
        <w:sectPr>
          <w:pgSz w:w="11910" w:h="16840"/>
          <w:pgMar w:header="745" w:footer="979" w:top="1060" w:bottom="1160" w:left="980" w:right="940"/>
        </w:sectPr>
      </w:pPr>
    </w:p>
    <w:p>
      <w:pPr>
        <w:spacing w:line="240" w:lineRule="auto" w:before="9"/>
        <w:rPr>
          <w:rFonts w:ascii="宋体" w:hAnsi="宋体" w:cs="宋体" w:eastAsia="宋体" w:hint="default"/>
          <w:sz w:val="25"/>
          <w:szCs w:val="25"/>
        </w:rPr>
      </w:pPr>
    </w:p>
    <w:p>
      <w:pPr>
        <w:pStyle w:val="BodyText"/>
        <w:spacing w:line="240" w:lineRule="auto" w:before="44"/>
        <w:ind w:right="94"/>
        <w:jc w:val="left"/>
      </w:pPr>
      <w:r>
        <w:rPr/>
        <w:t>资和奖金；（</w:t>
      </w:r>
      <w:r>
        <w:rPr>
          <w:rFonts w:ascii="Times New Roman" w:hAnsi="Times New Roman" w:cs="Times New Roman" w:eastAsia="Times New Roman" w:hint="default"/>
        </w:rPr>
        <w:t>4</w:t>
      </w:r>
      <w:r>
        <w:rPr/>
        <w:t>）主要责任人不得调离。</w:t>
      </w:r>
    </w:p>
    <w:p>
      <w:pPr>
        <w:spacing w:line="240" w:lineRule="auto" w:before="3"/>
        <w:rPr>
          <w:rFonts w:ascii="宋体" w:hAnsi="宋体" w:cs="宋体" w:eastAsia="宋体" w:hint="default"/>
          <w:sz w:val="24"/>
          <w:szCs w:val="24"/>
        </w:rPr>
      </w:pPr>
    </w:p>
    <w:p>
      <w:pPr>
        <w:pStyle w:val="Heading3"/>
        <w:spacing w:line="240" w:lineRule="auto"/>
        <w:ind w:right="94"/>
        <w:jc w:val="left"/>
        <w:rPr>
          <w:b w:val="0"/>
          <w:bCs w:val="0"/>
        </w:rPr>
      </w:pPr>
      <w:r>
        <w:rPr/>
        <w:t>六、报告期内债券持有人会议的召开情况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513" w:right="94"/>
        <w:jc w:val="left"/>
      </w:pPr>
      <w:r>
        <w:rPr/>
        <w:t>报告期内，未召开债券持有人会议。</w:t>
      </w:r>
    </w:p>
    <w:p>
      <w:pPr>
        <w:spacing w:line="240" w:lineRule="auto" w:before="1"/>
        <w:rPr>
          <w:rFonts w:ascii="宋体" w:hAnsi="宋体" w:cs="宋体" w:eastAsia="宋体" w:hint="default"/>
          <w:sz w:val="25"/>
          <w:szCs w:val="25"/>
        </w:rPr>
      </w:pPr>
    </w:p>
    <w:p>
      <w:pPr>
        <w:pStyle w:val="Heading3"/>
        <w:spacing w:line="240" w:lineRule="auto"/>
        <w:ind w:right="94"/>
        <w:jc w:val="left"/>
        <w:rPr>
          <w:b w:val="0"/>
          <w:bCs w:val="0"/>
        </w:rPr>
      </w:pPr>
      <w:r>
        <w:rPr/>
        <w:t>七、报告期内债券受托管理人履行职责的情况</w:t>
      </w:r>
      <w:r>
        <w:rPr>
          <w:b w:val="0"/>
          <w:bCs w:val="0"/>
        </w:rPr>
      </w:r>
    </w:p>
    <w:p>
      <w:pPr>
        <w:spacing w:line="240" w:lineRule="auto" w:before="6"/>
        <w:rPr>
          <w:rFonts w:ascii="宋体" w:hAnsi="宋体" w:cs="宋体" w:eastAsia="宋体" w:hint="default"/>
          <w:b/>
          <w:bCs/>
          <w:sz w:val="26"/>
          <w:szCs w:val="26"/>
        </w:rPr>
      </w:pPr>
    </w:p>
    <w:p>
      <w:pPr>
        <w:pStyle w:val="BodyText"/>
        <w:spacing w:line="316" w:lineRule="auto"/>
        <w:ind w:right="94" w:firstLine="360"/>
        <w:jc w:val="left"/>
      </w:pPr>
      <w:r>
        <w:rPr/>
        <w:t>本期债券受托管理人为中信建投证券股份有限公司，在本期债券存续期内，中信建投证券对公司和保证人的资信状况、 </w:t>
      </w:r>
      <w:r>
        <w:rPr>
          <w:spacing w:val="-2"/>
        </w:rPr>
        <w:t>偿债能力等进行了持续关注。同时严格按照相关法律、法规的规定以及《债券受托管理协议》的约定积极履行受托管理人相</w:t>
      </w:r>
      <w:r>
        <w:rPr>
          <w:spacing w:val="-65"/>
        </w:rPr>
        <w:t> </w:t>
      </w:r>
      <w:r>
        <w:rPr>
          <w:spacing w:val="-65"/>
        </w:rPr>
      </w:r>
      <w:r>
        <w:rPr/>
        <w:t>关职责，在履行受托管理人相关职责时，与公司不存在利益冲突情形。</w:t>
      </w:r>
    </w:p>
    <w:p>
      <w:pPr>
        <w:pStyle w:val="BodyText"/>
        <w:spacing w:line="300" w:lineRule="auto" w:before="59"/>
        <w:ind w:right="94" w:firstLine="360"/>
        <w:jc w:val="left"/>
      </w:pPr>
      <w:r>
        <w:rPr>
          <w:spacing w:val="-2"/>
        </w:rPr>
        <w:t>债券受托管理人尚未披露报告期受托管理事务报告，预计将在</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30</w:t>
      </w:r>
      <w:r>
        <w:rPr>
          <w:spacing w:val="-2"/>
        </w:rPr>
        <w:t>前向市场公告</w:t>
      </w:r>
      <w:r>
        <w:rPr>
          <w:rFonts w:ascii="Times New Roman" w:hAnsi="Times New Roman" w:cs="Times New Roman" w:eastAsia="Times New Roman" w:hint="default"/>
          <w:spacing w:val="-2"/>
        </w:rPr>
        <w:t>2017</w:t>
      </w:r>
      <w:r>
        <w:rPr>
          <w:spacing w:val="-2"/>
        </w:rPr>
        <w:t>年度的受托管理事务报告，</w:t>
      </w:r>
      <w:r>
        <w:rPr/>
        <w:t> 并在公司指定信息披露网站巨潮资讯网 </w:t>
      </w:r>
      <w:hyperlink r:id="rId14">
        <w:r>
          <w:rPr>
            <w:rFonts w:ascii="Times New Roman" w:hAnsi="Times New Roman" w:cs="Times New Roman" w:eastAsia="Times New Roman" w:hint="default"/>
          </w:rPr>
          <w:t>www.cninfo.com.cn</w:t>
        </w:r>
      </w:hyperlink>
      <w:r>
        <w:rPr>
          <w:rFonts w:ascii="Times New Roman" w:hAnsi="Times New Roman" w:cs="Times New Roman" w:eastAsia="Times New Roman" w:hint="default"/>
          <w:spacing w:val="3"/>
        </w:rPr>
        <w:t> </w:t>
      </w:r>
      <w:r>
        <w:rPr/>
        <w:t>披露，敬请投资者关注。</w:t>
      </w:r>
    </w:p>
    <w:p>
      <w:pPr>
        <w:spacing w:line="240" w:lineRule="auto" w:before="3"/>
        <w:rPr>
          <w:rFonts w:ascii="宋体" w:hAnsi="宋体" w:cs="宋体" w:eastAsia="宋体" w:hint="default"/>
          <w:sz w:val="20"/>
          <w:szCs w:val="20"/>
        </w:rPr>
      </w:pPr>
    </w:p>
    <w:p>
      <w:pPr>
        <w:pStyle w:val="Heading3"/>
        <w:spacing w:line="240" w:lineRule="auto"/>
        <w:ind w:right="94"/>
        <w:jc w:val="left"/>
        <w:rPr>
          <w:b w:val="0"/>
          <w:bCs w:val="0"/>
        </w:rPr>
      </w:pPr>
      <w:r>
        <w:rPr/>
        <w:t>八、截至报告期末公司近</w:t>
      </w:r>
      <w:r>
        <w:rPr>
          <w:spacing w:val="-61"/>
        </w:rPr>
        <w:t> </w:t>
      </w:r>
      <w:r>
        <w:rPr>
          <w:rFonts w:ascii="Times New Roman" w:hAnsi="Times New Roman" w:cs="Times New Roman" w:eastAsia="Times New Roman" w:hint="default"/>
        </w:rPr>
        <w:t>2</w:t>
      </w:r>
      <w:r>
        <w:rPr>
          <w:rFonts w:ascii="Times New Roman" w:hAnsi="Times New Roman" w:cs="Times New Roman" w:eastAsia="Times New Roman" w:hint="default"/>
          <w:spacing w:val="-3"/>
        </w:rPr>
        <w:t> </w:t>
      </w:r>
      <w:r>
        <w:rPr/>
        <w:t>年的主要会计数据和财务指标</w:t>
      </w:r>
      <w:r>
        <w:rPr>
          <w:b w:val="0"/>
          <w:bCs w:val="0"/>
        </w:rPr>
      </w:r>
    </w:p>
    <w:p>
      <w:pPr>
        <w:spacing w:line="240" w:lineRule="auto" w:before="1"/>
        <w:rPr>
          <w:rFonts w:ascii="宋体" w:hAnsi="宋体" w:cs="宋体" w:eastAsia="宋体" w:hint="default"/>
          <w:b/>
          <w:bCs/>
          <w:sz w:val="25"/>
          <w:szCs w:val="25"/>
        </w:rPr>
      </w:pPr>
    </w:p>
    <w:p>
      <w:pPr>
        <w:pStyle w:val="BodyText"/>
        <w:spacing w:line="240" w:lineRule="auto"/>
        <w:ind w:left="0" w:right="191"/>
        <w:jc w:val="right"/>
      </w:pPr>
      <w:r>
        <w:rPr/>
        <w:t>单位：万元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同期变动率</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息税折旧摊销前利润</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57,421.91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40,990.94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40.08%</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流动比率</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159.58%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253.22%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-93.64%</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资产负债率</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29.85%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23.06%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6.79%</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速动比率</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246.97%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-90.21%</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全部债务比</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1,030.45%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1,806.41%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-775.96%</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利息保障倍数</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841.57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61.54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1,267.52%</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现金利息保障倍数</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1,218.65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148.51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720.58%</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EBITDA</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利息保障倍数</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1,791.37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151.69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1,080.94%</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贷款偿还率</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利息偿付率</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49"/>
        <w:ind w:right="94"/>
        <w:jc w:val="left"/>
      </w:pPr>
      <w:r>
        <w:rPr/>
        <w:t>上述会计数据和财务指标同比变动超过</w:t>
      </w:r>
      <w:r>
        <w:rPr>
          <w:spacing w:val="-44"/>
        </w:rPr>
        <w:t> </w:t>
      </w:r>
      <w:r>
        <w:rPr>
          <w:rFonts w:ascii="Times New Roman" w:hAnsi="Times New Roman" w:cs="Times New Roman" w:eastAsia="Times New Roman" w:hint="default"/>
        </w:rPr>
        <w:t>30%</w:t>
      </w:r>
      <w:r>
        <w:rPr/>
        <w:t>的主要原因</w:t>
      </w:r>
    </w:p>
    <w:p>
      <w:pPr>
        <w:pStyle w:val="BodyText"/>
        <w:spacing w:line="240" w:lineRule="auto" w:before="101"/>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4"/>
        <w:ind w:right="94"/>
        <w:jc w:val="left"/>
      </w:pPr>
      <w:r>
        <w:rPr>
          <w:rFonts w:ascii="Times New Roman" w:hAnsi="Times New Roman" w:cs="Times New Roman" w:eastAsia="Times New Roman" w:hint="default"/>
        </w:rPr>
        <w:t>1</w:t>
      </w:r>
      <w:r>
        <w:rPr/>
        <w:t>、息税折旧摊销前利润较上期增长</w:t>
      </w:r>
      <w:r>
        <w:rPr>
          <w:rFonts w:ascii="Times New Roman" w:hAnsi="Times New Roman" w:cs="Times New Roman" w:eastAsia="Times New Roman" w:hint="default"/>
        </w:rPr>
        <w:t>40.08%</w:t>
      </w:r>
      <w:r>
        <w:rPr/>
        <w:t>，主要是由于本期利润总额大幅增长所致；</w:t>
      </w:r>
    </w:p>
    <w:p>
      <w:pPr>
        <w:pStyle w:val="BodyText"/>
        <w:spacing w:line="240" w:lineRule="auto" w:before="63"/>
        <w:ind w:right="94"/>
        <w:jc w:val="left"/>
      </w:pPr>
      <w:r>
        <w:rPr>
          <w:rFonts w:ascii="Times New Roman" w:hAnsi="Times New Roman" w:cs="Times New Roman" w:eastAsia="Times New Roman" w:hint="default"/>
        </w:rPr>
        <w:t>2</w:t>
      </w:r>
      <w:r>
        <w:rPr/>
        <w:t>、流动比率较上期减少</w:t>
      </w:r>
      <w:r>
        <w:rPr>
          <w:rFonts w:ascii="Times New Roman" w:hAnsi="Times New Roman" w:cs="Times New Roman" w:eastAsia="Times New Roman" w:hint="default"/>
        </w:rPr>
        <w:t>93.64%</w:t>
      </w:r>
      <w:r>
        <w:rPr/>
        <w:t>，主要是由于应付杰发科技股权转让款增加导致流动负债增加所致；</w:t>
      </w:r>
    </w:p>
    <w:p>
      <w:pPr>
        <w:pStyle w:val="BodyText"/>
        <w:spacing w:line="240" w:lineRule="auto" w:before="63"/>
        <w:ind w:right="94"/>
        <w:jc w:val="left"/>
      </w:pPr>
      <w:r>
        <w:rPr>
          <w:rFonts w:ascii="Times New Roman" w:hAnsi="Times New Roman" w:cs="Times New Roman" w:eastAsia="Times New Roman" w:hint="default"/>
        </w:rPr>
        <w:t>3</w:t>
      </w:r>
      <w:r>
        <w:rPr/>
        <w:t>、速动比率较上期减少</w:t>
      </w:r>
      <w:r>
        <w:rPr>
          <w:rFonts w:ascii="Times New Roman" w:hAnsi="Times New Roman" w:cs="Times New Roman" w:eastAsia="Times New Roman" w:hint="default"/>
        </w:rPr>
        <w:t>90.21%</w:t>
      </w:r>
      <w:r>
        <w:rPr/>
        <w:t>，主要是由于由于应付杰发科技股权转让款增加导致流动负债增加所致；</w:t>
      </w:r>
    </w:p>
    <w:p>
      <w:pPr>
        <w:pStyle w:val="BodyText"/>
        <w:spacing w:line="240" w:lineRule="auto" w:before="63"/>
        <w:ind w:right="94"/>
        <w:jc w:val="left"/>
      </w:pPr>
      <w:r>
        <w:rPr>
          <w:rFonts w:ascii="Times New Roman" w:hAnsi="Times New Roman" w:cs="Times New Roman" w:eastAsia="Times New Roman" w:hint="default"/>
        </w:rPr>
        <w:t>4</w:t>
      </w:r>
      <w:r>
        <w:rPr/>
        <w:t>、</w:t>
      </w:r>
      <w:r>
        <w:rPr>
          <w:rFonts w:ascii="Times New Roman" w:hAnsi="Times New Roman" w:cs="Times New Roman" w:eastAsia="Times New Roman" w:hint="default"/>
        </w:rPr>
        <w:t>EBITDA</w:t>
      </w:r>
      <w:r>
        <w:rPr/>
        <w:t>全部债务比较上期减少</w:t>
      </w:r>
      <w:r>
        <w:rPr>
          <w:rFonts w:ascii="Times New Roman" w:hAnsi="Times New Roman" w:cs="Times New Roman" w:eastAsia="Times New Roman" w:hint="default"/>
        </w:rPr>
        <w:t>775.96%</w:t>
      </w:r>
      <w:r>
        <w:rPr/>
        <w:t>，主要是由于本期公司发行债券导致的长期债务增加所致；</w:t>
      </w:r>
    </w:p>
    <w:p>
      <w:pPr>
        <w:pStyle w:val="BodyText"/>
        <w:spacing w:line="240" w:lineRule="auto" w:before="63"/>
        <w:ind w:right="94"/>
        <w:jc w:val="left"/>
      </w:pPr>
      <w:r>
        <w:rPr>
          <w:rFonts w:ascii="Times New Roman" w:hAnsi="Times New Roman" w:cs="Times New Roman" w:eastAsia="Times New Roman" w:hint="default"/>
        </w:rPr>
        <w:t>5</w:t>
      </w:r>
      <w:r>
        <w:rPr/>
        <w:t>、利息保障倍数较上期增长</w:t>
      </w:r>
      <w:r>
        <w:rPr>
          <w:rFonts w:ascii="Times New Roman" w:hAnsi="Times New Roman" w:cs="Times New Roman" w:eastAsia="Times New Roman" w:hint="default"/>
        </w:rPr>
        <w:t>1,267.52%</w:t>
      </w:r>
      <w:r>
        <w:rPr/>
        <w:t>，主要是由于本期利润总额大幅增长以及现金利息支出大幅减少所致；</w:t>
      </w:r>
    </w:p>
    <w:p>
      <w:pPr>
        <w:pStyle w:val="BodyText"/>
        <w:spacing w:line="240" w:lineRule="auto" w:before="63"/>
        <w:ind w:right="94"/>
        <w:jc w:val="left"/>
      </w:pPr>
      <w:r>
        <w:rPr>
          <w:rFonts w:ascii="Times New Roman" w:hAnsi="Times New Roman" w:cs="Times New Roman" w:eastAsia="Times New Roman" w:hint="default"/>
        </w:rPr>
        <w:t>6</w:t>
      </w:r>
      <w:r>
        <w:rPr/>
        <w:t>、现金利息保障倍数较上期增长</w:t>
      </w:r>
      <w:r>
        <w:rPr>
          <w:rFonts w:ascii="Times New Roman" w:hAnsi="Times New Roman" w:cs="Times New Roman" w:eastAsia="Times New Roman" w:hint="default"/>
        </w:rPr>
        <w:t>720.58%</w:t>
      </w:r>
      <w:r>
        <w:rPr/>
        <w:t>，主要是由于本期现金利息支出大幅减少所致；</w:t>
      </w:r>
    </w:p>
    <w:p>
      <w:pPr>
        <w:pStyle w:val="BodyText"/>
        <w:spacing w:line="240" w:lineRule="auto" w:before="63"/>
        <w:ind w:right="94"/>
        <w:jc w:val="left"/>
      </w:pPr>
      <w:r>
        <w:rPr>
          <w:rFonts w:ascii="Times New Roman" w:hAnsi="Times New Roman" w:cs="Times New Roman" w:eastAsia="Times New Roman" w:hint="default"/>
        </w:rPr>
        <w:t>7</w:t>
      </w:r>
      <w:r>
        <w:rPr/>
        <w:t>、</w:t>
      </w:r>
      <w:r>
        <w:rPr>
          <w:rFonts w:ascii="Times New Roman" w:hAnsi="Times New Roman" w:cs="Times New Roman" w:eastAsia="Times New Roman" w:hint="default"/>
        </w:rPr>
        <w:t>EBITDA</w:t>
      </w:r>
      <w:r>
        <w:rPr/>
        <w:t>利息保障倍数较上期增长</w:t>
      </w:r>
      <w:r>
        <w:rPr>
          <w:rFonts w:ascii="Times New Roman" w:hAnsi="Times New Roman" w:cs="Times New Roman" w:eastAsia="Times New Roman" w:hint="default"/>
        </w:rPr>
        <w:t>1,080.94%</w:t>
      </w:r>
      <w:r>
        <w:rPr/>
        <w:t>，主要是由于本期利润总额大幅增长以及现金利息支出大幅减少所致。</w:t>
      </w:r>
    </w:p>
    <w:p>
      <w:pPr>
        <w:spacing w:line="240" w:lineRule="auto" w:before="3"/>
        <w:rPr>
          <w:rFonts w:ascii="宋体" w:hAnsi="宋体" w:cs="宋体" w:eastAsia="宋体" w:hint="default"/>
          <w:sz w:val="24"/>
          <w:szCs w:val="24"/>
        </w:rPr>
      </w:pPr>
    </w:p>
    <w:p>
      <w:pPr>
        <w:pStyle w:val="Heading3"/>
        <w:spacing w:line="240" w:lineRule="auto"/>
        <w:ind w:right="94"/>
        <w:jc w:val="left"/>
        <w:rPr>
          <w:b w:val="0"/>
          <w:bCs w:val="0"/>
        </w:rPr>
      </w:pPr>
      <w:r>
        <w:rPr/>
        <w:t>九、报告期内对其他债券和债务融资工具的付息兑付情况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无</w:t>
      </w:r>
    </w:p>
    <w:p>
      <w:pPr>
        <w:spacing w:after="0" w:line="240" w:lineRule="auto"/>
        <w:jc w:val="left"/>
        <w:sectPr>
          <w:footerReference w:type="default" r:id="rId40"/>
          <w:pgSz w:w="11910" w:h="16840"/>
          <w:pgMar w:footer="979" w:header="745" w:top="1060" w:bottom="1160" w:left="980" w:right="940"/>
          <w:pgNumType w:start="98"/>
        </w:sectPr>
      </w:pPr>
    </w:p>
    <w:p>
      <w:pPr>
        <w:spacing w:line="240" w:lineRule="auto" w:before="8"/>
        <w:rPr>
          <w:rFonts w:ascii="宋体" w:hAnsi="宋体" w:cs="宋体" w:eastAsia="宋体" w:hint="default"/>
          <w:sz w:val="23"/>
          <w:szCs w:val="23"/>
        </w:rPr>
      </w:pPr>
    </w:p>
    <w:p>
      <w:pPr>
        <w:pStyle w:val="Heading3"/>
        <w:spacing w:line="240" w:lineRule="auto" w:before="26"/>
        <w:ind w:right="0"/>
        <w:jc w:val="left"/>
        <w:rPr>
          <w:b w:val="0"/>
          <w:bCs w:val="0"/>
        </w:rPr>
      </w:pPr>
      <w:r>
        <w:rPr/>
        <w:t>十、报告期内获得的银行授信情况、使用情况以及偿还银行贷款的情况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十一、报告期内执行公司债券募集说明书相关约定或承诺的情况</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0" w:firstLine="360"/>
        <w:jc w:val="left"/>
      </w:pPr>
      <w:r>
        <w:rPr>
          <w:spacing w:val="-2"/>
        </w:rPr>
        <w:t>报告期内，公司严格执行公司债券募集说明书的各项约定和承诺，并按照募集说明书的约定使用募集资金，未发生因执</w:t>
      </w:r>
      <w:r>
        <w:rPr/>
        <w:t> 行公司债券募集说明书相关约定或承诺不力而影响债券投资者利益的情况。</w:t>
      </w:r>
    </w:p>
    <w:p>
      <w:pPr>
        <w:spacing w:line="240" w:lineRule="auto" w:before="11"/>
        <w:rPr>
          <w:rFonts w:ascii="宋体" w:hAnsi="宋体" w:cs="宋体" w:eastAsia="宋体" w:hint="default"/>
          <w:sz w:val="20"/>
          <w:szCs w:val="20"/>
        </w:rPr>
      </w:pPr>
    </w:p>
    <w:p>
      <w:pPr>
        <w:pStyle w:val="Heading3"/>
        <w:spacing w:line="240" w:lineRule="auto"/>
        <w:ind w:right="0"/>
        <w:jc w:val="left"/>
        <w:rPr>
          <w:b w:val="0"/>
          <w:bCs w:val="0"/>
        </w:rPr>
      </w:pPr>
      <w:r>
        <w:rPr/>
        <w:t>十二、报告期内发生的重大事项</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513" w:right="0"/>
        <w:jc w:val="left"/>
      </w:pPr>
      <w:r>
        <w:rPr/>
        <w:t>报告期内，公司未发生可能影响偿债能力或债券价值的重大事项。</w:t>
      </w:r>
    </w:p>
    <w:p>
      <w:pPr>
        <w:spacing w:line="240" w:lineRule="auto" w:before="1"/>
        <w:rPr>
          <w:rFonts w:ascii="宋体" w:hAnsi="宋体" w:cs="宋体" w:eastAsia="宋体" w:hint="default"/>
          <w:sz w:val="25"/>
          <w:szCs w:val="25"/>
        </w:rPr>
      </w:pPr>
    </w:p>
    <w:p>
      <w:pPr>
        <w:pStyle w:val="Heading3"/>
        <w:spacing w:line="240" w:lineRule="auto"/>
        <w:ind w:right="0"/>
        <w:jc w:val="left"/>
        <w:rPr>
          <w:b w:val="0"/>
          <w:bCs w:val="0"/>
        </w:rPr>
      </w:pPr>
      <w:r>
        <w:rPr/>
        <w:t>十三、公司债券是否存在保证人</w:t>
      </w:r>
      <w:r>
        <w:rPr>
          <w:b w:val="0"/>
          <w:bCs w:val="0"/>
        </w:rPr>
      </w:r>
    </w:p>
    <w:p>
      <w:pPr>
        <w:spacing w:line="240" w:lineRule="auto" w:before="6"/>
        <w:rPr>
          <w:rFonts w:ascii="宋体" w:hAnsi="宋体" w:cs="宋体" w:eastAsia="宋体" w:hint="default"/>
          <w:b/>
          <w:bCs/>
          <w:sz w:val="26"/>
          <w:szCs w:val="26"/>
        </w:rPr>
      </w:pPr>
    </w:p>
    <w:p>
      <w:pPr>
        <w:pStyle w:val="BodyText"/>
        <w:spacing w:line="340" w:lineRule="auto"/>
        <w:ind w:right="65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否 公司债券的保证人是否为法人或其他组织</w:t>
      </w:r>
    </w:p>
    <w:p>
      <w:pPr>
        <w:pStyle w:val="BodyText"/>
        <w:spacing w:line="240" w:lineRule="auto" w:before="39"/>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pStyle w:val="BodyText"/>
        <w:spacing w:line="300" w:lineRule="auto" w:before="103"/>
        <w:ind w:right="143"/>
        <w:jc w:val="left"/>
      </w:pPr>
      <w:r>
        <w:rPr/>
        <w:t>是否在每个会计年度结束之日起</w:t>
      </w:r>
      <w:r>
        <w:rPr>
          <w:spacing w:val="-31"/>
        </w:rPr>
        <w:t> </w:t>
      </w:r>
      <w:r>
        <w:rPr>
          <w:rFonts w:ascii="Times New Roman" w:hAnsi="Times New Roman" w:cs="Times New Roman" w:eastAsia="Times New Roman" w:hint="default"/>
        </w:rPr>
        <w:t>4</w:t>
      </w:r>
      <w:r>
        <w:rPr>
          <w:rFonts w:ascii="Times New Roman" w:hAnsi="Times New Roman" w:cs="Times New Roman" w:eastAsia="Times New Roman" w:hint="default"/>
          <w:spacing w:val="14"/>
        </w:rPr>
        <w:t> </w:t>
      </w:r>
      <w:r>
        <w:rPr>
          <w:spacing w:val="-3"/>
        </w:rPr>
        <w:t>个月内单独披露保证人报告期财务报表，包括资产负债表、利润表、现金流量表、所有者</w:t>
      </w:r>
      <w:r>
        <w:rPr>
          <w:spacing w:val="-88"/>
        </w:rPr>
        <w:t> </w:t>
      </w:r>
      <w:r>
        <w:rPr>
          <w:spacing w:val="-88"/>
        </w:rPr>
      </w:r>
      <w:r>
        <w:rPr/>
        <w:t>权益（股东权益）变动表和财务报表附注</w:t>
      </w:r>
    </w:p>
    <w:p>
      <w:pPr>
        <w:pStyle w:val="BodyText"/>
        <w:spacing w:line="240" w:lineRule="auto" w:before="72"/>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after="0" w:line="240"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pStyle w:val="Heading1"/>
        <w:spacing w:line="240" w:lineRule="auto"/>
        <w:ind w:right="496"/>
        <w:jc w:val="center"/>
        <w:rPr>
          <w:b w:val="0"/>
          <w:bCs w:val="0"/>
        </w:rPr>
      </w:pPr>
      <w:bookmarkStart w:name="_bookmark10" w:id="11"/>
      <w:bookmarkEnd w:id="11"/>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3"/>
        <w:spacing w:line="240" w:lineRule="auto" w:before="26"/>
        <w:ind w:right="0"/>
        <w:jc w:val="left"/>
        <w:rPr>
          <w:b w:val="0"/>
          <w:bCs w:val="0"/>
        </w:rPr>
      </w:pP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r>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信永中和会计师事务所（特殊普通合伙）</w:t>
            </w:r>
          </w:p>
        </w:tc>
      </w:tr>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XYZH/2018BJA70133</w:t>
            </w:r>
          </w:p>
        </w:tc>
      </w:tr>
      <w:tr>
        <w:trPr>
          <w:trHeight w:val="404"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季晟、彭旭</w:t>
            </w:r>
          </w:p>
        </w:tc>
      </w:tr>
    </w:tbl>
    <w:p>
      <w:pPr>
        <w:spacing w:line="240" w:lineRule="auto" w:before="4"/>
        <w:rPr>
          <w:rFonts w:ascii="宋体" w:hAnsi="宋体" w:cs="宋体" w:eastAsia="宋体" w:hint="default"/>
          <w:b/>
          <w:bCs/>
          <w:sz w:val="29"/>
          <w:szCs w:val="29"/>
        </w:rPr>
      </w:pPr>
    </w:p>
    <w:p>
      <w:pPr>
        <w:pStyle w:val="Heading2"/>
        <w:spacing w:line="240" w:lineRule="auto" w:before="14"/>
        <w:ind w:left="495" w:right="495"/>
        <w:jc w:val="center"/>
        <w:rPr>
          <w:b w:val="0"/>
          <w:bCs w:val="0"/>
        </w:rPr>
      </w:pPr>
      <w:r>
        <w:rPr/>
        <w:t>审计报告</w:t>
      </w:r>
      <w:r>
        <w:rPr>
          <w:b w:val="0"/>
          <w:bCs w:val="0"/>
        </w:rPr>
      </w:r>
    </w:p>
    <w:p>
      <w:pPr>
        <w:spacing w:line="240" w:lineRule="auto" w:before="9"/>
        <w:rPr>
          <w:rFonts w:ascii="宋体" w:hAnsi="宋体" w:cs="宋体" w:eastAsia="宋体" w:hint="default"/>
          <w:b/>
          <w:bCs/>
          <w:sz w:val="9"/>
          <w:szCs w:val="9"/>
        </w:rPr>
      </w:pPr>
    </w:p>
    <w:p>
      <w:pPr>
        <w:spacing w:before="72"/>
        <w:ind w:left="0" w:right="150" w:firstLine="0"/>
        <w:jc w:val="right"/>
        <w:rPr>
          <w:rFonts w:ascii="Times New Roman" w:hAnsi="Times New Roman" w:cs="Times New Roman" w:eastAsia="Times New Roman" w:hint="default"/>
          <w:sz w:val="22"/>
          <w:szCs w:val="22"/>
        </w:rPr>
      </w:pPr>
      <w:r>
        <w:rPr>
          <w:rFonts w:ascii="Times New Roman"/>
          <w:spacing w:val="-1"/>
          <w:sz w:val="22"/>
        </w:rPr>
        <w:t>XYZH/2018BJA70133</w:t>
      </w:r>
    </w:p>
    <w:p>
      <w:pPr>
        <w:spacing w:line="240" w:lineRule="auto" w:before="7"/>
        <w:rPr>
          <w:rFonts w:ascii="Times New Roman" w:hAnsi="Times New Roman" w:cs="Times New Roman" w:eastAsia="Times New Roman" w:hint="default"/>
          <w:sz w:val="25"/>
          <w:szCs w:val="25"/>
        </w:rPr>
      </w:pPr>
    </w:p>
    <w:p>
      <w:pPr>
        <w:pStyle w:val="Heading5"/>
        <w:spacing w:line="482" w:lineRule="auto" w:before="36"/>
        <w:ind w:left="594" w:right="5769" w:hanging="443"/>
        <w:jc w:val="left"/>
        <w:rPr>
          <w:b w:val="0"/>
          <w:bCs w:val="0"/>
        </w:rPr>
      </w:pPr>
      <w:r>
        <w:rPr/>
        <w:t>北京四维图新科技股份有限公司全体股东：</w:t>
      </w:r>
      <w:r>
        <w:rPr>
          <w:w w:val="100"/>
        </w:rPr>
        <w:t> </w:t>
      </w:r>
      <w:r>
        <w:rPr/>
        <w:t>一、</w:t>
      </w:r>
      <w:r>
        <w:rPr>
          <w:spacing w:val="-47"/>
        </w:rPr>
        <w:t> </w:t>
      </w:r>
      <w:r>
        <w:rPr>
          <w:rFonts w:ascii="宋体" w:hAnsi="宋体" w:cs="宋体" w:eastAsia="宋体" w:hint="default"/>
          <w:spacing w:val="-47"/>
        </w:rPr>
      </w:r>
      <w:r>
        <w:rPr/>
        <w:t>审计意见</w:t>
      </w:r>
      <w:r>
        <w:rPr>
          <w:b w:val="0"/>
          <w:bCs w:val="0"/>
        </w:rPr>
      </w:r>
    </w:p>
    <w:p>
      <w:pPr>
        <w:pStyle w:val="Heading6"/>
        <w:spacing w:line="273" w:lineRule="auto" w:before="65"/>
        <w:ind w:left="513" w:right="146" w:firstLine="439"/>
        <w:jc w:val="both"/>
        <w:rPr>
          <w:rFonts w:ascii="宋体" w:hAnsi="宋体" w:cs="宋体" w:eastAsia="宋体" w:hint="default"/>
        </w:rPr>
      </w:pPr>
      <w:r>
        <w:rPr>
          <w:spacing w:val="-1"/>
        </w:rPr>
        <w:t>我们审计了北京四维图新科技股份有限公司（以下简称四维图新）财务报表，包括</w:t>
      </w:r>
      <w:r>
        <w:rPr>
          <w:rFonts w:ascii="宋体" w:hAnsi="宋体" w:cs="宋体" w:eastAsia="宋体" w:hint="default"/>
          <w:spacing w:val="-1"/>
        </w:rPr>
        <w:t>2017</w:t>
      </w:r>
      <w:r>
        <w:rPr>
          <w:spacing w:val="-1"/>
        </w:rPr>
        <w:t>年</w:t>
      </w:r>
      <w:r>
        <w:rPr>
          <w:rFonts w:ascii="宋体" w:hAnsi="宋体" w:cs="宋体" w:eastAsia="宋体" w:hint="default"/>
          <w:spacing w:val="-1"/>
        </w:rPr>
        <w:t>12</w:t>
      </w:r>
      <w:r>
        <w:rPr>
          <w:spacing w:val="-1"/>
        </w:rPr>
        <w:t>月</w:t>
      </w:r>
      <w:r>
        <w:rPr>
          <w:rFonts w:ascii="宋体" w:hAnsi="宋体" w:cs="宋体" w:eastAsia="宋体" w:hint="default"/>
          <w:spacing w:val="-1"/>
        </w:rPr>
        <w:t>31</w:t>
      </w:r>
      <w:r>
        <w:rPr>
          <w:rFonts w:ascii="宋体" w:hAnsi="宋体" w:cs="宋体" w:eastAsia="宋体" w:hint="default"/>
          <w:w w:val="100"/>
        </w:rPr>
        <w:t> </w:t>
      </w:r>
      <w:r>
        <w:rPr>
          <w:spacing w:val="-1"/>
        </w:rPr>
        <w:t>日的合并及母公司资产负债表，</w:t>
      </w:r>
      <w:r>
        <w:rPr>
          <w:rFonts w:ascii="宋体" w:hAnsi="宋体" w:cs="宋体" w:eastAsia="宋体" w:hint="default"/>
          <w:spacing w:val="-1"/>
        </w:rPr>
        <w:t>2017</w:t>
      </w:r>
      <w:r>
        <w:rPr>
          <w:spacing w:val="-1"/>
        </w:rPr>
        <w:t>年度的合并及母公司利润表、合并及母公司现金流量表、合并及</w:t>
      </w:r>
      <w:r>
        <w:rPr>
          <w:spacing w:val="-22"/>
        </w:rPr>
        <w:t> </w:t>
      </w:r>
      <w:r>
        <w:rPr>
          <w:spacing w:val="-22"/>
        </w:rPr>
      </w:r>
      <w:r>
        <w:rPr/>
        <w:t>母公司股东权益变动表，以及相关财务报表附注。</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73" w:lineRule="auto" w:before="0"/>
        <w:ind w:left="513" w:right="147" w:firstLine="439"/>
        <w:jc w:val="both"/>
        <w:rPr>
          <w:rFonts w:ascii="宋体" w:hAnsi="宋体" w:cs="宋体" w:eastAsia="宋体" w:hint="default"/>
        </w:rPr>
      </w:pPr>
      <w:r>
        <w:rPr>
          <w:spacing w:val="-1"/>
        </w:rPr>
        <w:t>我们认为，后附的财务报表在所有重大方面按照企业会计准则的规定编制，公允反映了四维图新</w:t>
      </w:r>
      <w:r>
        <w:rPr>
          <w:w w:val="100"/>
        </w:rPr>
        <w:t> </w:t>
      </w: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31</w:t>
      </w:r>
      <w:r>
        <w:rPr/>
        <w:t>日的合并及母公司财务状况以及</w:t>
      </w:r>
      <w:r>
        <w:rPr>
          <w:rFonts w:ascii="宋体" w:hAnsi="宋体" w:cs="宋体" w:eastAsia="宋体" w:hint="default"/>
        </w:rPr>
        <w:t>2017</w:t>
      </w:r>
      <w:r>
        <w:rPr/>
        <w:t>年度的合并及母公司经营成果和现金流量。</w:t>
      </w:r>
      <w:r>
        <w:rPr>
          <w:rFonts w:ascii="宋体" w:hAnsi="宋体" w:cs="宋体" w:eastAsia="宋体" w:hint="default"/>
        </w:rPr>
        <w:t> </w:t>
      </w:r>
    </w:p>
    <w:p>
      <w:pPr>
        <w:spacing w:line="552" w:lineRule="exact" w:before="51"/>
        <w:ind w:left="952" w:right="0" w:hanging="358"/>
        <w:jc w:val="left"/>
        <w:rPr>
          <w:rFonts w:ascii="宋体" w:hAnsi="宋体" w:cs="宋体" w:eastAsia="宋体" w:hint="default"/>
          <w:sz w:val="21"/>
          <w:szCs w:val="21"/>
        </w:rPr>
      </w:pPr>
      <w:r>
        <w:rPr>
          <w:rFonts w:ascii="宋体" w:hAnsi="宋体" w:cs="宋体" w:eastAsia="宋体" w:hint="default"/>
          <w:b/>
          <w:bCs/>
          <w:sz w:val="21"/>
          <w:szCs w:val="21"/>
        </w:rPr>
        <w:t>二、</w:t>
      </w:r>
      <w:r>
        <w:rPr>
          <w:rFonts w:ascii="宋体" w:hAnsi="宋体" w:cs="宋体" w:eastAsia="宋体" w:hint="default"/>
          <w:b/>
          <w:bCs/>
          <w:spacing w:val="-50"/>
          <w:sz w:val="21"/>
          <w:szCs w:val="21"/>
        </w:rPr>
        <w:t> </w:t>
      </w:r>
      <w:r>
        <w:rPr>
          <w:rFonts w:ascii="宋体" w:hAnsi="宋体" w:cs="宋体" w:eastAsia="宋体" w:hint="default"/>
          <w:b/>
          <w:bCs/>
          <w:spacing w:val="-50"/>
          <w:sz w:val="21"/>
          <w:szCs w:val="21"/>
        </w:rPr>
      </w:r>
      <w:r>
        <w:rPr>
          <w:rFonts w:ascii="宋体" w:hAnsi="宋体" w:cs="宋体" w:eastAsia="宋体" w:hint="default"/>
          <w:b/>
          <w:bCs/>
          <w:sz w:val="21"/>
          <w:szCs w:val="21"/>
        </w:rPr>
        <w:t>形成审计意见的基础</w:t>
      </w:r>
      <w:r>
        <w:rPr>
          <w:rFonts w:ascii="宋体" w:hAnsi="宋体" w:cs="宋体" w:eastAsia="宋体" w:hint="default"/>
          <w:b/>
          <w:bCs/>
          <w:spacing w:val="-102"/>
          <w:sz w:val="21"/>
          <w:szCs w:val="21"/>
        </w:rPr>
        <w:t> </w:t>
      </w:r>
      <w:r>
        <w:rPr>
          <w:rFonts w:ascii="宋体" w:hAnsi="宋体" w:cs="宋体" w:eastAsia="宋体" w:hint="default"/>
          <w:spacing w:val="-1"/>
          <w:sz w:val="21"/>
          <w:szCs w:val="21"/>
        </w:rPr>
        <w:t>我们按照中国注册会计师审计准则的规定执行了审计工作。审计报告的“注册会计师对财务报表</w:t>
      </w:r>
    </w:p>
    <w:p>
      <w:pPr>
        <w:pStyle w:val="Heading6"/>
        <w:spacing w:line="231" w:lineRule="exact" w:before="0"/>
        <w:ind w:left="513" w:right="0" w:firstLine="0"/>
        <w:jc w:val="left"/>
      </w:pPr>
      <w:r>
        <w:rPr/>
        <w:t>审计的责任”部分进一步阐述了我们在这些准则下的责任。按照中国注册会计师职业道德守则，我们</w:t>
      </w:r>
    </w:p>
    <w:p>
      <w:pPr>
        <w:pStyle w:val="Heading6"/>
        <w:spacing w:line="273" w:lineRule="auto" w:before="37"/>
        <w:ind w:left="513" w:right="0" w:firstLine="0"/>
        <w:jc w:val="left"/>
        <w:rPr>
          <w:rFonts w:ascii="宋体" w:hAnsi="宋体" w:cs="宋体" w:eastAsia="宋体" w:hint="default"/>
        </w:rPr>
      </w:pPr>
      <w:r>
        <w:rPr>
          <w:spacing w:val="-1"/>
        </w:rPr>
        <w:t>独立于四维图新，并履行了职业道德方面的其他责任。我们相信，我们获取的审计证据是充分、适当</w:t>
      </w:r>
      <w:r>
        <w:rPr>
          <w:spacing w:val="-22"/>
        </w:rPr>
        <w:t> </w:t>
      </w:r>
      <w:r>
        <w:rPr>
          <w:spacing w:val="-22"/>
        </w:rPr>
      </w:r>
      <w:r>
        <w:rPr/>
        <w:t>的，为发表审计意见提供了基础。</w:t>
      </w:r>
      <w:r>
        <w:rPr>
          <w:rFonts w:ascii="宋体" w:hAnsi="宋体" w:cs="宋体" w:eastAsia="宋体" w:hint="default"/>
        </w:rPr>
        <w:t> </w:t>
      </w:r>
    </w:p>
    <w:p>
      <w:pPr>
        <w:spacing w:line="240" w:lineRule="auto" w:before="13"/>
        <w:rPr>
          <w:rFonts w:ascii="宋体" w:hAnsi="宋体" w:cs="宋体" w:eastAsia="宋体" w:hint="default"/>
          <w:sz w:val="18"/>
          <w:szCs w:val="18"/>
        </w:rPr>
      </w:pPr>
    </w:p>
    <w:p>
      <w:pPr>
        <w:pStyle w:val="Heading5"/>
        <w:spacing w:line="240" w:lineRule="auto"/>
        <w:ind w:left="594" w:right="0"/>
        <w:jc w:val="left"/>
        <w:rPr>
          <w:rFonts w:ascii="宋体" w:hAnsi="宋体" w:cs="宋体" w:eastAsia="宋体" w:hint="default"/>
          <w:b w:val="0"/>
          <w:bCs w:val="0"/>
        </w:rPr>
      </w:pPr>
      <w:r>
        <w:rPr/>
        <w:t>三、</w:t>
      </w:r>
      <w:r>
        <w:rPr>
          <w:spacing w:val="-50"/>
        </w:rPr>
        <w:t> </w:t>
      </w:r>
      <w:r>
        <w:rPr>
          <w:rFonts w:ascii="宋体" w:hAnsi="宋体" w:cs="宋体" w:eastAsia="宋体" w:hint="default"/>
          <w:spacing w:val="-50"/>
        </w:rPr>
      </w:r>
      <w:r>
        <w:rPr/>
        <w:t>关键审计事项</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pStyle w:val="Heading6"/>
        <w:spacing w:line="273" w:lineRule="auto" w:before="135"/>
        <w:ind w:left="510" w:right="147" w:firstLine="441"/>
        <w:jc w:val="both"/>
        <w:rPr>
          <w:rFonts w:ascii="宋体" w:hAnsi="宋体" w:cs="宋体" w:eastAsia="宋体" w:hint="default"/>
        </w:rPr>
      </w:pPr>
      <w:r>
        <w:rPr>
          <w:spacing w:val="-1"/>
        </w:rPr>
        <w:t>关键审计事项是我们根据职业判断，认为对本期财务报表审计最为重要的事项。这些事项的应对</w:t>
      </w:r>
      <w:r>
        <w:rPr>
          <w:w w:val="100"/>
        </w:rPr>
        <w:t> </w:t>
      </w:r>
      <w:r>
        <w:rPr/>
        <w:t>以对财务报表整体进行审计并形成审计意见为背景，我们不对这些事项单独发表意见。</w:t>
      </w:r>
      <w:r>
        <w:rPr>
          <w:rFonts w:ascii="宋体" w:hAnsi="宋体" w:cs="宋体" w:eastAsia="宋体" w:hint="default"/>
        </w:rPr>
        <w:t> </w:t>
      </w:r>
    </w:p>
    <w:p>
      <w:pPr>
        <w:spacing w:line="240" w:lineRule="auto" w:before="6"/>
        <w:rPr>
          <w:rFonts w:ascii="宋体" w:hAnsi="宋体" w:cs="宋体" w:eastAsia="宋体" w:hint="default"/>
          <w:sz w:val="13"/>
          <w:szCs w:val="13"/>
        </w:rPr>
      </w:pPr>
    </w:p>
    <w:tbl>
      <w:tblPr>
        <w:tblW w:w="0" w:type="auto"/>
        <w:jc w:val="left"/>
        <w:tblInd w:w="573" w:type="dxa"/>
        <w:tblLayout w:type="fixed"/>
        <w:tblCellMar>
          <w:top w:w="0" w:type="dxa"/>
          <w:left w:w="0" w:type="dxa"/>
          <w:bottom w:w="0" w:type="dxa"/>
          <w:right w:w="0" w:type="dxa"/>
        </w:tblCellMar>
        <w:tblLook w:val="01E0"/>
      </w:tblPr>
      <w:tblGrid>
        <w:gridCol w:w="4961"/>
        <w:gridCol w:w="4251"/>
      </w:tblGrid>
      <w:tr>
        <w:trPr>
          <w:trHeight w:val="403" w:hRule="exact"/>
        </w:trPr>
        <w:tc>
          <w:tcPr>
            <w:tcW w:w="9213" w:type="dxa"/>
            <w:gridSpan w:val="2"/>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2" w:right="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、收购杰发科技科技有限公司事项</w:t>
            </w:r>
            <w:r>
              <w:rPr>
                <w:rFonts w:ascii="宋体" w:hAnsi="宋体" w:cs="宋体" w:eastAsia="宋体" w:hint="default"/>
                <w:sz w:val="21"/>
                <w:szCs w:val="21"/>
              </w:rPr>
            </w:r>
          </w:p>
        </w:tc>
      </w:tr>
      <w:tr>
        <w:trPr>
          <w:trHeight w:val="403" w:hRule="exact"/>
        </w:trPr>
        <w:tc>
          <w:tcPr>
            <w:tcW w:w="496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关键审计事项</w:t>
            </w:r>
            <w:r>
              <w:rPr>
                <w:rFonts w:ascii="宋体" w:hAnsi="宋体" w:cs="宋体" w:eastAsia="宋体" w:hint="default"/>
                <w:sz w:val="21"/>
                <w:szCs w:val="21"/>
              </w:rPr>
            </w:r>
          </w:p>
        </w:tc>
        <w:tc>
          <w:tcPr>
            <w:tcW w:w="4251" w:type="dxa"/>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审计中的应对</w:t>
            </w:r>
            <w:r>
              <w:rPr>
                <w:rFonts w:ascii="宋体" w:hAnsi="宋体" w:cs="宋体" w:eastAsia="宋体" w:hint="default"/>
                <w:sz w:val="21"/>
                <w:szCs w:val="21"/>
              </w:rPr>
            </w:r>
          </w:p>
        </w:tc>
      </w:tr>
      <w:tr>
        <w:trPr>
          <w:trHeight w:val="797" w:hRule="exact"/>
        </w:trPr>
        <w:tc>
          <w:tcPr>
            <w:tcW w:w="4961" w:type="dxa"/>
            <w:tcBorders>
              <w:top w:val="single" w:sz="6" w:space="0" w:color="000000"/>
              <w:left w:val="single" w:sz="6" w:space="0" w:color="000000"/>
              <w:bottom w:val="single" w:sz="6" w:space="0" w:color="000000"/>
              <w:right w:val="single" w:sz="6" w:space="0" w:color="000000"/>
            </w:tcBorders>
          </w:tcPr>
          <w:p>
            <w:pPr>
              <w:pStyle w:val="TableParagraph"/>
              <w:spacing w:line="285" w:lineRule="auto" w:before="81"/>
              <w:ind w:left="2" w:right="-15" w:firstLine="408"/>
              <w:jc w:val="left"/>
              <w:rPr>
                <w:rFonts w:ascii="宋体" w:hAnsi="宋体" w:cs="宋体" w:eastAsia="宋体" w:hint="default"/>
                <w:sz w:val="22"/>
                <w:szCs w:val="22"/>
              </w:rPr>
            </w:pPr>
            <w:r>
              <w:rPr>
                <w:rFonts w:ascii="宋体" w:hAnsi="宋体" w:cs="宋体" w:eastAsia="宋体" w:hint="default"/>
                <w:spacing w:val="-18"/>
                <w:w w:val="100"/>
                <w:sz w:val="22"/>
                <w:szCs w:val="22"/>
              </w:rPr>
              <w:t>如四维图新合并财务报表附注三、附注八</w:t>
            </w:r>
            <w:r>
              <w:rPr>
                <w:rFonts w:ascii="Times New Roman" w:hAnsi="Times New Roman" w:cs="Times New Roman" w:eastAsia="Times New Roman" w:hint="default"/>
                <w:spacing w:val="-18"/>
                <w:w w:val="100"/>
                <w:sz w:val="22"/>
                <w:szCs w:val="22"/>
              </w:rPr>
              <w:t>.1.</w:t>
            </w:r>
            <w:r>
              <w:rPr>
                <w:rFonts w:ascii="宋体" w:hAnsi="宋体" w:cs="宋体" w:eastAsia="宋体" w:hint="default"/>
                <w:spacing w:val="-18"/>
                <w:w w:val="100"/>
                <w:sz w:val="22"/>
                <w:szCs w:val="22"/>
              </w:rPr>
              <w:t>（</w:t>
            </w:r>
            <w:r>
              <w:rPr>
                <w:rFonts w:ascii="Times New Roman" w:hAnsi="Times New Roman" w:cs="Times New Roman" w:eastAsia="Times New Roman" w:hint="default"/>
                <w:spacing w:val="-18"/>
                <w:w w:val="100"/>
                <w:sz w:val="22"/>
                <w:szCs w:val="22"/>
              </w:rPr>
              <w:t>1</w:t>
            </w:r>
            <w:r>
              <w:rPr>
                <w:rFonts w:ascii="宋体" w:hAnsi="宋体" w:cs="宋体" w:eastAsia="宋体" w:hint="default"/>
                <w:spacing w:val="-18"/>
                <w:w w:val="100"/>
                <w:sz w:val="22"/>
                <w:szCs w:val="22"/>
              </w:rPr>
              <w:t>）、</w:t>
            </w:r>
            <w:r>
              <w:rPr>
                <w:rFonts w:ascii="宋体" w:hAnsi="宋体" w:cs="宋体" w:eastAsia="宋体" w:hint="default"/>
                <w:w w:val="100"/>
                <w:sz w:val="22"/>
                <w:szCs w:val="22"/>
              </w:rPr>
              <w:t> </w:t>
            </w:r>
            <w:r>
              <w:rPr>
                <w:rFonts w:ascii="宋体" w:hAnsi="宋体" w:cs="宋体" w:eastAsia="宋体" w:hint="default"/>
                <w:spacing w:val="-14"/>
                <w:sz w:val="22"/>
                <w:szCs w:val="22"/>
              </w:rPr>
              <w:t>附注九</w:t>
            </w:r>
            <w:r>
              <w:rPr>
                <w:rFonts w:ascii="Times New Roman" w:hAnsi="Times New Roman" w:cs="Times New Roman" w:eastAsia="Times New Roman" w:hint="default"/>
                <w:spacing w:val="-14"/>
                <w:sz w:val="22"/>
                <w:szCs w:val="22"/>
              </w:rPr>
              <w:t>.1.</w:t>
            </w:r>
            <w:r>
              <w:rPr>
                <w:rFonts w:ascii="宋体" w:hAnsi="宋体" w:cs="宋体" w:eastAsia="宋体" w:hint="default"/>
                <w:spacing w:val="-14"/>
                <w:sz w:val="22"/>
                <w:szCs w:val="22"/>
              </w:rPr>
              <w:t>（</w:t>
            </w:r>
            <w:r>
              <w:rPr>
                <w:rFonts w:ascii="Times New Roman" w:hAnsi="Times New Roman" w:cs="Times New Roman" w:eastAsia="Times New Roman" w:hint="default"/>
                <w:spacing w:val="-14"/>
                <w:sz w:val="22"/>
                <w:szCs w:val="22"/>
              </w:rPr>
              <w:t>1</w:t>
            </w:r>
            <w:r>
              <w:rPr>
                <w:rFonts w:ascii="宋体" w:hAnsi="宋体" w:cs="宋体" w:eastAsia="宋体" w:hint="default"/>
                <w:spacing w:val="-14"/>
                <w:sz w:val="22"/>
                <w:szCs w:val="22"/>
              </w:rPr>
              <w:t>）所述，四维图新 </w:t>
            </w:r>
            <w:r>
              <w:rPr>
                <w:rFonts w:ascii="Times New Roman" w:hAnsi="Times New Roman" w:cs="Times New Roman" w:eastAsia="Times New Roman" w:hint="default"/>
                <w:spacing w:val="-7"/>
                <w:sz w:val="22"/>
                <w:szCs w:val="22"/>
              </w:rPr>
              <w:t>2017</w:t>
            </w:r>
            <w:r>
              <w:rPr>
                <w:rFonts w:ascii="Times New Roman" w:hAnsi="Times New Roman" w:cs="Times New Roman" w:eastAsia="Times New Roman" w:hint="default"/>
                <w:sz w:val="22"/>
                <w:szCs w:val="22"/>
              </w:rPr>
              <w:t> </w:t>
            </w:r>
            <w:r>
              <w:rPr>
                <w:rFonts w:ascii="宋体" w:hAnsi="宋体" w:cs="宋体" w:eastAsia="宋体" w:hint="default"/>
                <w:spacing w:val="-17"/>
                <w:sz w:val="22"/>
                <w:szCs w:val="22"/>
              </w:rPr>
              <w:t>年度完成对合肥杰</w:t>
            </w:r>
            <w:r>
              <w:rPr>
                <w:rFonts w:ascii="宋体" w:hAnsi="宋体" w:cs="宋体" w:eastAsia="宋体" w:hint="default"/>
                <w:sz w:val="22"/>
                <w:szCs w:val="22"/>
              </w:rPr>
            </w:r>
          </w:p>
        </w:tc>
        <w:tc>
          <w:tcPr>
            <w:tcW w:w="4251" w:type="dxa"/>
            <w:tcBorders>
              <w:top w:val="single" w:sz="6" w:space="0" w:color="000000"/>
              <w:left w:val="single" w:sz="6" w:space="0" w:color="000000"/>
              <w:bottom w:val="single" w:sz="6" w:space="0" w:color="000000"/>
              <w:right w:val="single" w:sz="6" w:space="0" w:color="000000"/>
            </w:tcBorders>
          </w:tcPr>
          <w:p>
            <w:pPr>
              <w:pStyle w:val="TableParagraph"/>
              <w:spacing w:line="273" w:lineRule="auto"/>
              <w:ind w:left="2" w:right="0"/>
              <w:jc w:val="left"/>
              <w:rPr>
                <w:rFonts w:ascii="宋体" w:hAnsi="宋体" w:cs="宋体" w:eastAsia="宋体" w:hint="default"/>
                <w:sz w:val="21"/>
                <w:szCs w:val="21"/>
              </w:rPr>
            </w:pPr>
            <w:r>
              <w:rPr>
                <w:rFonts w:ascii="宋体" w:hAnsi="宋体" w:cs="宋体" w:eastAsia="宋体" w:hint="default"/>
                <w:sz w:val="21"/>
                <w:szCs w:val="21"/>
              </w:rPr>
              <w:t>我们执行的主要审计程序如下：</w:t>
            </w:r>
            <w:r>
              <w:rPr>
                <w:rFonts w:ascii="宋体" w:hAnsi="宋体" w:cs="宋体" w:eastAsia="宋体" w:hint="default"/>
                <w:w w:val="100"/>
                <w:sz w:val="21"/>
                <w:szCs w:val="21"/>
              </w:rPr>
              <w:t> </w:t>
            </w:r>
            <w:r>
              <w:rPr>
                <w:rFonts w:ascii="宋体" w:hAnsi="宋体" w:cs="宋体" w:eastAsia="宋体" w:hint="default"/>
                <w:sz w:val="21"/>
                <w:szCs w:val="21"/>
              </w:rPr>
              <w:t>与管理层沟通，了解收购和取得控制的过程，</w:t>
            </w:r>
          </w:p>
        </w:tc>
      </w:tr>
    </w:tbl>
    <w:p>
      <w:pPr>
        <w:spacing w:after="0" w:line="273" w:lineRule="auto"/>
        <w:jc w:val="left"/>
        <w:rPr>
          <w:rFonts w:ascii="宋体" w:hAnsi="宋体" w:cs="宋体" w:eastAsia="宋体" w:hint="default"/>
          <w:sz w:val="21"/>
          <w:szCs w:val="21"/>
        </w:rPr>
        <w:sectPr>
          <w:footerReference w:type="default" r:id="rId41"/>
          <w:pgSz w:w="11910" w:h="16840"/>
          <w:pgMar w:footer="979" w:header="745" w:top="1060" w:bottom="1160" w:left="980" w:right="980"/>
        </w:sectPr>
      </w:pPr>
    </w:p>
    <w:p>
      <w:pPr>
        <w:spacing w:line="240" w:lineRule="auto" w:before="6"/>
        <w:rPr>
          <w:rFonts w:ascii="宋体" w:hAnsi="宋体" w:cs="宋体" w:eastAsia="宋体" w:hint="default"/>
          <w:sz w:val="28"/>
          <w:szCs w:val="28"/>
        </w:rPr>
      </w:pPr>
    </w:p>
    <w:tbl>
      <w:tblPr>
        <w:tblW w:w="0" w:type="auto"/>
        <w:jc w:val="left"/>
        <w:tblInd w:w="573" w:type="dxa"/>
        <w:tblLayout w:type="fixed"/>
        <w:tblCellMar>
          <w:top w:w="0" w:type="dxa"/>
          <w:left w:w="0" w:type="dxa"/>
          <w:bottom w:w="0" w:type="dxa"/>
          <w:right w:w="0" w:type="dxa"/>
        </w:tblCellMar>
        <w:tblLook w:val="01E0"/>
      </w:tblPr>
      <w:tblGrid>
        <w:gridCol w:w="4961"/>
        <w:gridCol w:w="4251"/>
      </w:tblGrid>
      <w:tr>
        <w:trPr>
          <w:trHeight w:val="364" w:hRule="exact"/>
        </w:trPr>
        <w:tc>
          <w:tcPr>
            <w:tcW w:w="4961" w:type="dxa"/>
            <w:tcBorders>
              <w:top w:val="single" w:sz="6" w:space="0" w:color="000000"/>
              <w:left w:val="single" w:sz="6" w:space="0" w:color="000000"/>
              <w:bottom w:val="nil" w:sz="6" w:space="0" w:color="auto"/>
              <w:right w:val="single" w:sz="6" w:space="0" w:color="000000"/>
            </w:tcBorders>
          </w:tcPr>
          <w:p>
            <w:pPr>
              <w:pStyle w:val="TableParagraph"/>
              <w:spacing w:line="240" w:lineRule="auto" w:before="41"/>
              <w:ind w:left="2" w:right="-17"/>
              <w:jc w:val="left"/>
              <w:rPr>
                <w:rFonts w:ascii="宋体" w:hAnsi="宋体" w:cs="宋体" w:eastAsia="宋体" w:hint="default"/>
                <w:sz w:val="22"/>
                <w:szCs w:val="22"/>
              </w:rPr>
            </w:pPr>
            <w:r>
              <w:rPr>
                <w:rFonts w:ascii="宋体" w:hAnsi="宋体" w:cs="宋体" w:eastAsia="宋体" w:hint="default"/>
                <w:spacing w:val="-17"/>
                <w:w w:val="100"/>
                <w:sz w:val="22"/>
                <w:szCs w:val="22"/>
              </w:rPr>
              <w:t>发科技有限公</w:t>
            </w:r>
            <w:r>
              <w:rPr>
                <w:rFonts w:ascii="宋体" w:hAnsi="宋体" w:cs="宋体" w:eastAsia="宋体" w:hint="default"/>
                <w:spacing w:val="-82"/>
                <w:w w:val="100"/>
                <w:sz w:val="22"/>
                <w:szCs w:val="22"/>
              </w:rPr>
              <w:t>司</w:t>
            </w:r>
            <w:r>
              <w:rPr>
                <w:rFonts w:ascii="宋体" w:hAnsi="宋体" w:cs="宋体" w:eastAsia="宋体" w:hint="default"/>
                <w:spacing w:val="-17"/>
                <w:w w:val="100"/>
                <w:sz w:val="22"/>
                <w:szCs w:val="22"/>
              </w:rPr>
              <w:t>（以下简称杰发科技</w:t>
            </w:r>
            <w:r>
              <w:rPr>
                <w:rFonts w:ascii="宋体" w:hAnsi="宋体" w:cs="宋体" w:eastAsia="宋体" w:hint="default"/>
                <w:spacing w:val="-82"/>
                <w:w w:val="100"/>
                <w:sz w:val="22"/>
                <w:szCs w:val="22"/>
              </w:rPr>
              <w:t>）</w:t>
            </w:r>
            <w:r>
              <w:rPr>
                <w:rFonts w:ascii="Times New Roman" w:hAnsi="Times New Roman" w:cs="Times New Roman" w:eastAsia="Times New Roman" w:hint="default"/>
                <w:spacing w:val="-8"/>
                <w:w w:val="100"/>
                <w:sz w:val="22"/>
                <w:szCs w:val="22"/>
              </w:rPr>
              <w:t>1</w:t>
            </w:r>
            <w:r>
              <w:rPr>
                <w:rFonts w:ascii="Times New Roman" w:hAnsi="Times New Roman" w:cs="Times New Roman" w:eastAsia="Times New Roman" w:hint="default"/>
                <w:spacing w:val="-10"/>
                <w:w w:val="100"/>
                <w:sz w:val="22"/>
                <w:szCs w:val="22"/>
              </w:rPr>
              <w:t>00</w:t>
            </w:r>
            <w:r>
              <w:rPr>
                <w:rFonts w:ascii="Times New Roman" w:hAnsi="Times New Roman" w:cs="Times New Roman" w:eastAsia="Times New Roman" w:hint="default"/>
                <w:spacing w:val="-9"/>
                <w:w w:val="100"/>
                <w:sz w:val="22"/>
                <w:szCs w:val="22"/>
              </w:rPr>
              <w:t>%</w:t>
            </w:r>
            <w:r>
              <w:rPr>
                <w:rFonts w:ascii="宋体" w:hAnsi="宋体" w:cs="宋体" w:eastAsia="宋体" w:hint="default"/>
                <w:spacing w:val="-17"/>
                <w:w w:val="100"/>
                <w:sz w:val="22"/>
                <w:szCs w:val="22"/>
              </w:rPr>
              <w:t>股权的收购</w:t>
            </w:r>
            <w:r>
              <w:rPr>
                <w:rFonts w:ascii="宋体" w:hAnsi="宋体" w:cs="宋体" w:eastAsia="宋体" w:hint="default"/>
                <w:spacing w:val="-99"/>
                <w:w w:val="100"/>
                <w:sz w:val="22"/>
                <w:szCs w:val="22"/>
              </w:rPr>
              <w:t>，</w:t>
            </w:r>
            <w:r>
              <w:rPr>
                <w:rFonts w:ascii="宋体" w:hAnsi="宋体" w:cs="宋体" w:eastAsia="宋体" w:hint="default"/>
                <w:w w:val="100"/>
                <w:sz w:val="22"/>
                <w:szCs w:val="22"/>
              </w:rPr>
            </w:r>
          </w:p>
        </w:tc>
        <w:tc>
          <w:tcPr>
            <w:tcW w:w="4251" w:type="dxa"/>
            <w:tcBorders>
              <w:top w:val="single" w:sz="6" w:space="0" w:color="000000"/>
              <w:left w:val="single" w:sz="6" w:space="0" w:color="000000"/>
              <w:bottom w:val="nil" w:sz="6" w:space="0" w:color="auto"/>
              <w:right w:val="single" w:sz="6" w:space="0" w:color="000000"/>
            </w:tcBorders>
          </w:tcPr>
          <w:p>
            <w:pPr>
              <w:pStyle w:val="TableParagraph"/>
              <w:spacing w:line="272" w:lineRule="exact"/>
              <w:ind w:right="0"/>
              <w:jc w:val="right"/>
              <w:rPr>
                <w:rFonts w:ascii="宋体" w:hAnsi="宋体" w:cs="宋体" w:eastAsia="宋体" w:hint="default"/>
                <w:sz w:val="21"/>
                <w:szCs w:val="21"/>
              </w:rPr>
            </w:pPr>
            <w:r>
              <w:rPr>
                <w:rFonts w:ascii="宋体" w:hAnsi="宋体" w:cs="宋体" w:eastAsia="宋体" w:hint="default"/>
                <w:sz w:val="21"/>
                <w:szCs w:val="21"/>
              </w:rPr>
              <w:t>并检查相关的协议、决策决议、付款记录、法</w:t>
            </w:r>
          </w:p>
        </w:tc>
      </w:tr>
      <w:tr>
        <w:trPr>
          <w:trHeight w:val="1198"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90" w:lineRule="auto" w:before="44"/>
              <w:ind w:left="2" w:right="-15"/>
              <w:jc w:val="both"/>
              <w:rPr>
                <w:rFonts w:ascii="宋体" w:hAnsi="宋体" w:cs="宋体" w:eastAsia="宋体" w:hint="default"/>
                <w:sz w:val="22"/>
                <w:szCs w:val="22"/>
              </w:rPr>
            </w:pPr>
            <w:r>
              <w:rPr>
                <w:rFonts w:ascii="宋体" w:hAnsi="宋体" w:cs="宋体" w:eastAsia="宋体" w:hint="default"/>
                <w:spacing w:val="-13"/>
                <w:sz w:val="22"/>
                <w:szCs w:val="22"/>
              </w:rPr>
              <w:t>购买日为</w:t>
            </w:r>
            <w:r>
              <w:rPr>
                <w:rFonts w:ascii="宋体" w:hAnsi="宋体" w:cs="宋体" w:eastAsia="宋体" w:hint="default"/>
                <w:spacing w:val="-65"/>
                <w:sz w:val="22"/>
                <w:szCs w:val="22"/>
              </w:rPr>
              <w:t> </w:t>
            </w:r>
            <w:r>
              <w:rPr>
                <w:rFonts w:ascii="Times New Roman" w:hAnsi="Times New Roman" w:cs="Times New Roman" w:eastAsia="Times New Roman" w:hint="default"/>
                <w:spacing w:val="-7"/>
                <w:sz w:val="22"/>
                <w:szCs w:val="22"/>
              </w:rPr>
              <w:t>2017</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65"/>
                <w:sz w:val="22"/>
                <w:szCs w:val="22"/>
              </w:rPr>
              <w:t> </w:t>
            </w:r>
            <w:r>
              <w:rPr>
                <w:rFonts w:ascii="Times New Roman" w:hAnsi="Times New Roman" w:cs="Times New Roman" w:eastAsia="Times New Roman" w:hint="default"/>
                <w:sz w:val="22"/>
                <w:szCs w:val="22"/>
              </w:rPr>
              <w:t>3</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65"/>
                <w:sz w:val="22"/>
                <w:szCs w:val="22"/>
              </w:rPr>
              <w:t> </w:t>
            </w:r>
            <w:r>
              <w:rPr>
                <w:rFonts w:ascii="Times New Roman" w:hAnsi="Times New Roman" w:cs="Times New Roman" w:eastAsia="Times New Roman" w:hint="default"/>
                <w:sz w:val="22"/>
                <w:szCs w:val="22"/>
              </w:rPr>
              <w:t>2</w:t>
            </w:r>
            <w:r>
              <w:rPr>
                <w:rFonts w:ascii="Times New Roman" w:hAnsi="Times New Roman" w:cs="Times New Roman" w:eastAsia="Times New Roman" w:hint="default"/>
                <w:spacing w:val="-3"/>
                <w:sz w:val="22"/>
                <w:szCs w:val="22"/>
              </w:rPr>
              <w:t> </w:t>
            </w:r>
            <w:r>
              <w:rPr>
                <w:rFonts w:ascii="宋体" w:hAnsi="宋体" w:cs="宋体" w:eastAsia="宋体" w:hint="default"/>
                <w:spacing w:val="-15"/>
                <w:sz w:val="22"/>
                <w:szCs w:val="22"/>
              </w:rPr>
              <w:t>日，杰发科技于</w:t>
            </w:r>
            <w:r>
              <w:rPr>
                <w:rFonts w:ascii="宋体" w:hAnsi="宋体" w:cs="宋体" w:eastAsia="宋体" w:hint="default"/>
                <w:spacing w:val="-65"/>
                <w:sz w:val="22"/>
                <w:szCs w:val="22"/>
              </w:rPr>
              <w:t> </w:t>
            </w:r>
            <w:r>
              <w:rPr>
                <w:rFonts w:ascii="Times New Roman" w:hAnsi="Times New Roman" w:cs="Times New Roman" w:eastAsia="Times New Roman" w:hint="default"/>
                <w:spacing w:val="-7"/>
                <w:sz w:val="22"/>
                <w:szCs w:val="22"/>
              </w:rPr>
              <w:t>2017</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年</w:t>
            </w:r>
            <w:r>
              <w:rPr>
                <w:rFonts w:ascii="宋体" w:hAnsi="宋体" w:cs="宋体" w:eastAsia="宋体" w:hint="default"/>
                <w:spacing w:val="-65"/>
                <w:sz w:val="22"/>
                <w:szCs w:val="22"/>
              </w:rPr>
              <w:t> </w:t>
            </w:r>
            <w:r>
              <w:rPr>
                <w:rFonts w:ascii="Times New Roman" w:hAnsi="Times New Roman" w:cs="Times New Roman" w:eastAsia="Times New Roman" w:hint="default"/>
                <w:sz w:val="22"/>
                <w:szCs w:val="22"/>
              </w:rPr>
              <w:t>3</w:t>
            </w:r>
            <w:r>
              <w:rPr>
                <w:rFonts w:ascii="Times New Roman" w:hAnsi="Times New Roman" w:cs="Times New Roman" w:eastAsia="Times New Roman" w:hint="default"/>
                <w:spacing w:val="-3"/>
                <w:sz w:val="22"/>
                <w:szCs w:val="22"/>
              </w:rPr>
              <w:t> </w:t>
            </w:r>
            <w:r>
              <w:rPr>
                <w:rFonts w:ascii="宋体" w:hAnsi="宋体" w:cs="宋体" w:eastAsia="宋体" w:hint="default"/>
                <w:sz w:val="22"/>
                <w:szCs w:val="22"/>
              </w:rPr>
              <w:t>月</w:t>
            </w:r>
            <w:r>
              <w:rPr>
                <w:rFonts w:ascii="宋体" w:hAnsi="宋体" w:cs="宋体" w:eastAsia="宋体" w:hint="default"/>
                <w:spacing w:val="-65"/>
                <w:sz w:val="22"/>
                <w:szCs w:val="22"/>
              </w:rPr>
              <w:t> </w:t>
            </w:r>
            <w:r>
              <w:rPr>
                <w:rFonts w:ascii="Times New Roman" w:hAnsi="Times New Roman" w:cs="Times New Roman" w:eastAsia="Times New Roman" w:hint="default"/>
                <w:sz w:val="22"/>
                <w:szCs w:val="22"/>
              </w:rPr>
              <w:t>1</w:t>
            </w:r>
            <w:r>
              <w:rPr>
                <w:rFonts w:ascii="Times New Roman" w:hAnsi="Times New Roman" w:cs="Times New Roman" w:eastAsia="Times New Roman" w:hint="default"/>
                <w:w w:val="100"/>
                <w:sz w:val="22"/>
                <w:szCs w:val="22"/>
              </w:rPr>
              <w:t> </w:t>
            </w:r>
            <w:r>
              <w:rPr>
                <w:rFonts w:ascii="宋体" w:hAnsi="宋体" w:cs="宋体" w:eastAsia="宋体" w:hint="default"/>
                <w:spacing w:val="-15"/>
                <w:sz w:val="22"/>
                <w:szCs w:val="22"/>
              </w:rPr>
              <w:t>日起纳入四维图新合并报表范围，并同时在合并层面确</w:t>
            </w:r>
            <w:r>
              <w:rPr>
                <w:rFonts w:ascii="宋体" w:hAnsi="宋体" w:cs="宋体" w:eastAsia="宋体" w:hint="default"/>
                <w:spacing w:val="-84"/>
                <w:sz w:val="22"/>
                <w:szCs w:val="22"/>
              </w:rPr>
              <w:t> </w:t>
            </w:r>
            <w:r>
              <w:rPr>
                <w:rFonts w:ascii="宋体" w:hAnsi="宋体" w:cs="宋体" w:eastAsia="宋体" w:hint="default"/>
                <w:spacing w:val="-84"/>
                <w:sz w:val="22"/>
                <w:szCs w:val="22"/>
              </w:rPr>
            </w:r>
            <w:r>
              <w:rPr>
                <w:rFonts w:ascii="宋体" w:hAnsi="宋体" w:cs="宋体" w:eastAsia="宋体" w:hint="default"/>
                <w:spacing w:val="-12"/>
                <w:sz w:val="22"/>
                <w:szCs w:val="22"/>
              </w:rPr>
              <w:t>认商誉</w:t>
            </w:r>
            <w:r>
              <w:rPr>
                <w:rFonts w:ascii="宋体" w:hAnsi="宋体" w:cs="宋体" w:eastAsia="宋体" w:hint="default"/>
                <w:spacing w:val="-70"/>
                <w:sz w:val="22"/>
                <w:szCs w:val="22"/>
              </w:rPr>
              <w:t> </w:t>
            </w:r>
            <w:r>
              <w:rPr>
                <w:rFonts w:ascii="Times New Roman" w:hAnsi="Times New Roman" w:cs="Times New Roman" w:eastAsia="Times New Roman" w:hint="default"/>
                <w:spacing w:val="-8"/>
                <w:sz w:val="22"/>
                <w:szCs w:val="22"/>
              </w:rPr>
              <w:t>30.43</w:t>
            </w:r>
            <w:r>
              <w:rPr>
                <w:rFonts w:ascii="Times New Roman" w:hAnsi="Times New Roman" w:cs="Times New Roman" w:eastAsia="Times New Roman" w:hint="default"/>
                <w:spacing w:val="-9"/>
                <w:sz w:val="22"/>
                <w:szCs w:val="22"/>
              </w:rPr>
              <w:t> </w:t>
            </w:r>
            <w:r>
              <w:rPr>
                <w:rFonts w:ascii="宋体" w:hAnsi="宋体" w:cs="宋体" w:eastAsia="宋体" w:hint="default"/>
                <w:spacing w:val="-17"/>
                <w:sz w:val="22"/>
                <w:szCs w:val="22"/>
              </w:rPr>
              <w:t>亿元。</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27" w:lineRule="exact"/>
              <w:ind w:left="2" w:right="0"/>
              <w:jc w:val="left"/>
              <w:rPr>
                <w:rFonts w:ascii="宋体" w:hAnsi="宋体" w:cs="宋体" w:eastAsia="宋体" w:hint="default"/>
                <w:sz w:val="21"/>
                <w:szCs w:val="21"/>
              </w:rPr>
            </w:pPr>
            <w:r>
              <w:rPr>
                <w:rFonts w:ascii="宋体" w:hAnsi="宋体" w:cs="宋体" w:eastAsia="宋体" w:hint="default"/>
                <w:sz w:val="21"/>
                <w:szCs w:val="21"/>
              </w:rPr>
              <w:t>定权利文件变更记录等，综合评估合并时点确</w:t>
            </w:r>
          </w:p>
          <w:p>
            <w:pPr>
              <w:pStyle w:val="TableParagraph"/>
              <w:spacing w:line="273"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定、合并对价计量与企业会计准则规范的一致</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性。</w:t>
            </w:r>
            <w:r>
              <w:rPr>
                <w:rFonts w:ascii="宋体" w:hAnsi="宋体" w:cs="宋体" w:eastAsia="宋体" w:hint="default"/>
                <w:spacing w:val="-103"/>
                <w:sz w:val="21"/>
                <w:szCs w:val="21"/>
              </w:rPr>
              <w:t> </w:t>
            </w:r>
            <w:r>
              <w:rPr>
                <w:rFonts w:ascii="宋体" w:hAnsi="宋体" w:cs="宋体" w:eastAsia="宋体" w:hint="default"/>
                <w:sz w:val="21"/>
                <w:szCs w:val="21"/>
              </w:rPr>
              <w:t>了解杰发科技收购日可辨认资产、负债公允价</w:t>
            </w:r>
          </w:p>
        </w:tc>
      </w:tr>
      <w:tr>
        <w:trPr>
          <w:trHeight w:val="330"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55" w:lineRule="exact"/>
              <w:ind w:left="2" w:right="0"/>
              <w:jc w:val="left"/>
              <w:rPr>
                <w:rFonts w:ascii="宋体" w:hAnsi="宋体" w:cs="宋体" w:eastAsia="宋体" w:hint="default"/>
                <w:sz w:val="22"/>
                <w:szCs w:val="22"/>
              </w:rPr>
            </w:pPr>
            <w:r>
              <w:rPr>
                <w:rFonts w:ascii="宋体" w:hAnsi="宋体" w:cs="宋体" w:eastAsia="宋体" w:hint="default"/>
                <w:spacing w:val="-16"/>
                <w:sz w:val="22"/>
                <w:szCs w:val="22"/>
              </w:rPr>
              <w:t>管理层对于收购杰发科技购买日的判断是否准确，对财</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81" w:lineRule="exact"/>
              <w:ind w:right="0"/>
              <w:jc w:val="right"/>
              <w:rPr>
                <w:rFonts w:ascii="宋体" w:hAnsi="宋体" w:cs="宋体" w:eastAsia="宋体" w:hint="default"/>
                <w:sz w:val="21"/>
                <w:szCs w:val="21"/>
              </w:rPr>
            </w:pPr>
            <w:r>
              <w:rPr>
                <w:rFonts w:ascii="宋体" w:hAnsi="宋体" w:cs="宋体" w:eastAsia="宋体" w:hint="default"/>
                <w:spacing w:val="-2"/>
                <w:sz w:val="21"/>
                <w:szCs w:val="21"/>
              </w:rPr>
              <w:t>值的估计过程，与管理层和</w:t>
            </w:r>
            <w:r>
              <w:rPr>
                <w:rFonts w:ascii="宋体" w:hAnsi="宋体" w:cs="宋体" w:eastAsia="宋体" w:hint="default"/>
                <w:spacing w:val="-2"/>
                <w:sz w:val="22"/>
                <w:szCs w:val="22"/>
              </w:rPr>
              <w:t>四维图新</w:t>
            </w:r>
            <w:r>
              <w:rPr>
                <w:rFonts w:ascii="宋体" w:hAnsi="宋体" w:cs="宋体" w:eastAsia="宋体" w:hint="default"/>
                <w:spacing w:val="-2"/>
                <w:sz w:val="21"/>
                <w:szCs w:val="21"/>
              </w:rPr>
              <w:t>聘请的第</w:t>
            </w:r>
          </w:p>
        </w:tc>
      </w:tr>
      <w:tr>
        <w:trPr>
          <w:trHeight w:val="32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83" w:lineRule="exact"/>
              <w:ind w:left="2" w:right="0"/>
              <w:jc w:val="left"/>
              <w:rPr>
                <w:rFonts w:ascii="宋体" w:hAnsi="宋体" w:cs="宋体" w:eastAsia="宋体" w:hint="default"/>
                <w:sz w:val="22"/>
                <w:szCs w:val="22"/>
              </w:rPr>
            </w:pPr>
            <w:r>
              <w:rPr>
                <w:rFonts w:ascii="宋体" w:hAnsi="宋体" w:cs="宋体" w:eastAsia="宋体" w:hint="default"/>
                <w:spacing w:val="-17"/>
                <w:sz w:val="22"/>
                <w:szCs w:val="22"/>
              </w:rPr>
              <w:t>务报表的影响较大；</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hAnsi="宋体" w:cs="宋体" w:eastAsia="宋体" w:hint="default"/>
                <w:sz w:val="21"/>
                <w:szCs w:val="21"/>
              </w:rPr>
              <w:t>三方专业机构就估值过程中使用的方法、关键</w:t>
            </w:r>
          </w:p>
        </w:tc>
      </w:tr>
      <w:tr>
        <w:trPr>
          <w:trHeight w:val="1204"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300" w:lineRule="auto" w:before="76"/>
              <w:ind w:left="2" w:right="0"/>
              <w:jc w:val="both"/>
              <w:rPr>
                <w:rFonts w:ascii="宋体" w:hAnsi="宋体" w:cs="宋体" w:eastAsia="宋体" w:hint="default"/>
                <w:sz w:val="22"/>
                <w:szCs w:val="22"/>
              </w:rPr>
            </w:pPr>
            <w:r>
              <w:rPr>
                <w:rFonts w:ascii="宋体" w:hAnsi="宋体" w:cs="宋体" w:eastAsia="宋体" w:hint="default"/>
                <w:spacing w:val="-16"/>
                <w:sz w:val="22"/>
                <w:szCs w:val="22"/>
              </w:rPr>
              <w:t>管理层对购买杰发科技形成的企业合并成本的确认，对</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16"/>
                <w:sz w:val="22"/>
                <w:szCs w:val="22"/>
              </w:rPr>
              <w:t>购买日取得的杰发科技可辨认资产和负债的指定，以及</w:t>
            </w:r>
            <w:r>
              <w:rPr>
                <w:rFonts w:ascii="宋体" w:hAnsi="宋体" w:cs="宋体" w:eastAsia="宋体" w:hint="default"/>
                <w:spacing w:val="-75"/>
                <w:sz w:val="22"/>
                <w:szCs w:val="22"/>
              </w:rPr>
              <w:t> </w:t>
            </w:r>
            <w:r>
              <w:rPr>
                <w:rFonts w:ascii="宋体" w:hAnsi="宋体" w:cs="宋体" w:eastAsia="宋体" w:hint="default"/>
                <w:spacing w:val="-75"/>
                <w:sz w:val="22"/>
                <w:szCs w:val="22"/>
              </w:rPr>
            </w:r>
            <w:r>
              <w:rPr>
                <w:rFonts w:ascii="宋体" w:hAnsi="宋体" w:cs="宋体" w:eastAsia="宋体" w:hint="default"/>
                <w:spacing w:val="-16"/>
                <w:sz w:val="22"/>
                <w:szCs w:val="22"/>
              </w:rPr>
              <w:t>对合并成本在可辨认资产和负债之间的分配涉及管理层</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50" w:lineRule="exact"/>
              <w:ind w:left="2" w:right="0"/>
              <w:jc w:val="left"/>
              <w:rPr>
                <w:rFonts w:ascii="宋体" w:hAnsi="宋体" w:cs="宋体" w:eastAsia="宋体" w:hint="default"/>
                <w:sz w:val="21"/>
                <w:szCs w:val="21"/>
              </w:rPr>
            </w:pPr>
            <w:r>
              <w:rPr>
                <w:rFonts w:ascii="宋体" w:hAnsi="宋体" w:cs="宋体" w:eastAsia="宋体" w:hint="default"/>
                <w:sz w:val="21"/>
                <w:szCs w:val="21"/>
              </w:rPr>
              <w:t>估值假设、参数选择、预测未来收入及现金流</w:t>
            </w:r>
          </w:p>
          <w:p>
            <w:pPr>
              <w:pStyle w:val="TableParagraph"/>
              <w:spacing w:line="273"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折现率的合理性进行讨论，评估和复核其合理</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性。</w:t>
            </w:r>
            <w:r>
              <w:rPr>
                <w:rFonts w:ascii="宋体" w:hAnsi="宋体" w:cs="宋体" w:eastAsia="宋体" w:hint="default"/>
                <w:spacing w:val="-103"/>
                <w:sz w:val="21"/>
                <w:szCs w:val="21"/>
              </w:rPr>
              <w:t> </w:t>
            </w:r>
            <w:r>
              <w:rPr>
                <w:rFonts w:ascii="宋体" w:hAnsi="宋体" w:cs="宋体" w:eastAsia="宋体" w:hint="default"/>
                <w:sz w:val="21"/>
                <w:szCs w:val="21"/>
              </w:rPr>
              <w:t>评估管理层对收购事项财务报表反映和附注披</w:t>
            </w:r>
          </w:p>
        </w:tc>
      </w:tr>
      <w:tr>
        <w:trPr>
          <w:trHeight w:val="357"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38" w:lineRule="exact"/>
              <w:ind w:left="2" w:right="0"/>
              <w:jc w:val="left"/>
              <w:rPr>
                <w:rFonts w:ascii="宋体" w:hAnsi="宋体" w:cs="宋体" w:eastAsia="宋体" w:hint="default"/>
                <w:sz w:val="22"/>
                <w:szCs w:val="22"/>
              </w:rPr>
            </w:pPr>
            <w:r>
              <w:rPr>
                <w:rFonts w:ascii="宋体" w:hAnsi="宋体" w:cs="宋体" w:eastAsia="宋体" w:hint="default"/>
                <w:spacing w:val="-17"/>
                <w:sz w:val="22"/>
                <w:szCs w:val="22"/>
              </w:rPr>
              <w:t>的判断、估计，对财务报表的影响较大；</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40" w:lineRule="auto" w:before="19"/>
              <w:ind w:left="2" w:right="0"/>
              <w:jc w:val="left"/>
              <w:rPr>
                <w:rFonts w:ascii="宋体" w:hAnsi="宋体" w:cs="宋体" w:eastAsia="宋体" w:hint="default"/>
                <w:sz w:val="21"/>
                <w:szCs w:val="21"/>
              </w:rPr>
            </w:pPr>
            <w:r>
              <w:rPr>
                <w:rFonts w:ascii="宋体" w:hAnsi="宋体" w:cs="宋体" w:eastAsia="宋体" w:hint="default"/>
                <w:sz w:val="21"/>
                <w:szCs w:val="21"/>
              </w:rPr>
              <w:t>露的恰当性。</w:t>
            </w:r>
          </w:p>
        </w:tc>
      </w:tr>
      <w:tr>
        <w:trPr>
          <w:trHeight w:val="353"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83" w:lineRule="exact"/>
              <w:ind w:left="2" w:right="0"/>
              <w:jc w:val="left"/>
              <w:rPr>
                <w:rFonts w:ascii="宋体" w:hAnsi="宋体" w:cs="宋体" w:eastAsia="宋体" w:hint="default"/>
                <w:sz w:val="22"/>
                <w:szCs w:val="22"/>
              </w:rPr>
            </w:pPr>
            <w:r>
              <w:rPr>
                <w:rFonts w:ascii="宋体" w:hAnsi="宋体" w:cs="宋体" w:eastAsia="宋体" w:hint="default"/>
                <w:spacing w:val="-16"/>
                <w:sz w:val="22"/>
                <w:szCs w:val="22"/>
              </w:rPr>
              <w:t>管理层对于合并成本与合并成本中取得的杰发科技可辨</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
        </w:tc>
      </w:tr>
      <w:tr>
        <w:trPr>
          <w:trHeight w:val="359"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40" w:lineRule="auto" w:before="2"/>
              <w:ind w:left="2" w:right="0"/>
              <w:jc w:val="left"/>
              <w:rPr>
                <w:rFonts w:ascii="宋体" w:hAnsi="宋体" w:cs="宋体" w:eastAsia="宋体" w:hint="default"/>
                <w:sz w:val="22"/>
                <w:szCs w:val="22"/>
              </w:rPr>
            </w:pPr>
            <w:r>
              <w:rPr>
                <w:rFonts w:ascii="宋体" w:hAnsi="宋体" w:cs="宋体" w:eastAsia="宋体" w:hint="default"/>
                <w:spacing w:val="-16"/>
                <w:sz w:val="22"/>
                <w:szCs w:val="22"/>
              </w:rPr>
              <w:t>认净资产公允价值份额之间差额的处理，对财务报表影</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
        </w:tc>
      </w:tr>
      <w:tr>
        <w:trPr>
          <w:trHeight w:val="354"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40" w:lineRule="auto" w:before="1"/>
              <w:ind w:left="2" w:right="0"/>
              <w:jc w:val="left"/>
              <w:rPr>
                <w:rFonts w:ascii="宋体" w:hAnsi="宋体" w:cs="宋体" w:eastAsia="宋体" w:hint="default"/>
                <w:sz w:val="22"/>
                <w:szCs w:val="22"/>
              </w:rPr>
            </w:pPr>
            <w:r>
              <w:rPr>
                <w:rFonts w:ascii="宋体" w:hAnsi="宋体" w:cs="宋体" w:eastAsia="宋体" w:hint="default"/>
                <w:spacing w:val="-17"/>
                <w:sz w:val="22"/>
                <w:szCs w:val="22"/>
              </w:rPr>
              <w:t>响较大；</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
        </w:tc>
      </w:tr>
      <w:tr>
        <w:trPr>
          <w:trHeight w:val="331"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85" w:lineRule="exact"/>
              <w:ind w:left="2" w:right="0"/>
              <w:jc w:val="left"/>
              <w:rPr>
                <w:rFonts w:ascii="宋体" w:hAnsi="宋体" w:cs="宋体" w:eastAsia="宋体" w:hint="default"/>
                <w:sz w:val="22"/>
                <w:szCs w:val="22"/>
              </w:rPr>
            </w:pPr>
            <w:r>
              <w:rPr>
                <w:rFonts w:ascii="宋体" w:hAnsi="宋体" w:cs="宋体" w:eastAsia="宋体" w:hint="default"/>
                <w:spacing w:val="-16"/>
                <w:sz w:val="22"/>
                <w:szCs w:val="22"/>
              </w:rPr>
              <w:t>基于上述原因，我们将收购杰发科技事项作为关键审计</w:t>
            </w:r>
            <w:r>
              <w:rPr>
                <w:rFonts w:ascii="宋体" w:hAnsi="宋体" w:cs="宋体" w:eastAsia="宋体" w:hint="default"/>
                <w:sz w:val="22"/>
                <w:szCs w:val="22"/>
              </w:rPr>
            </w:r>
          </w:p>
        </w:tc>
        <w:tc>
          <w:tcPr>
            <w:tcW w:w="4251" w:type="dxa"/>
            <w:tcBorders>
              <w:top w:val="nil" w:sz="6" w:space="0" w:color="auto"/>
              <w:left w:val="single" w:sz="6" w:space="0" w:color="000000"/>
              <w:bottom w:val="nil" w:sz="6" w:space="0" w:color="auto"/>
              <w:right w:val="single" w:sz="6" w:space="0" w:color="000000"/>
            </w:tcBorders>
          </w:tcPr>
          <w:p>
            <w:pPr/>
          </w:p>
        </w:tc>
      </w:tr>
      <w:tr>
        <w:trPr>
          <w:trHeight w:val="329" w:hRule="exact"/>
        </w:trPr>
        <w:tc>
          <w:tcPr>
            <w:tcW w:w="4961" w:type="dxa"/>
            <w:tcBorders>
              <w:top w:val="nil" w:sz="6" w:space="0" w:color="auto"/>
              <w:left w:val="single" w:sz="6" w:space="0" w:color="000000"/>
              <w:bottom w:val="single" w:sz="6" w:space="0" w:color="000000"/>
              <w:right w:val="single" w:sz="6" w:space="0" w:color="000000"/>
            </w:tcBorders>
          </w:tcPr>
          <w:p>
            <w:pPr>
              <w:pStyle w:val="TableParagraph"/>
              <w:spacing w:line="266" w:lineRule="exact"/>
              <w:ind w:left="2" w:right="0"/>
              <w:jc w:val="left"/>
              <w:rPr>
                <w:rFonts w:ascii="宋体" w:hAnsi="宋体" w:cs="宋体" w:eastAsia="宋体" w:hint="default"/>
                <w:sz w:val="22"/>
                <w:szCs w:val="22"/>
              </w:rPr>
            </w:pPr>
            <w:r>
              <w:rPr>
                <w:rFonts w:ascii="宋体" w:hAnsi="宋体" w:cs="宋体" w:eastAsia="宋体" w:hint="default"/>
                <w:spacing w:val="-17"/>
                <w:sz w:val="22"/>
                <w:szCs w:val="22"/>
              </w:rPr>
              <w:t>事项。</w:t>
            </w:r>
            <w:r>
              <w:rPr>
                <w:rFonts w:ascii="宋体" w:hAnsi="宋体" w:cs="宋体" w:eastAsia="宋体" w:hint="default"/>
                <w:sz w:val="22"/>
                <w:szCs w:val="22"/>
              </w:rPr>
            </w:r>
          </w:p>
        </w:tc>
        <w:tc>
          <w:tcPr>
            <w:tcW w:w="4251" w:type="dxa"/>
            <w:tcBorders>
              <w:top w:val="nil" w:sz="6" w:space="0" w:color="auto"/>
              <w:left w:val="single" w:sz="6" w:space="0" w:color="000000"/>
              <w:bottom w:val="single" w:sz="6" w:space="0" w:color="000000"/>
              <w:right w:val="single" w:sz="6" w:space="0" w:color="000000"/>
            </w:tcBorders>
          </w:tcPr>
          <w:p>
            <w:pPr/>
          </w:p>
        </w:tc>
      </w:tr>
      <w:tr>
        <w:trPr>
          <w:trHeight w:val="406" w:hRule="exact"/>
        </w:trPr>
        <w:tc>
          <w:tcPr>
            <w:tcW w:w="9213" w:type="dxa"/>
            <w:gridSpan w:val="2"/>
            <w:tcBorders>
              <w:top w:val="single" w:sz="6" w:space="0" w:color="000000"/>
              <w:left w:val="single" w:sz="6" w:space="0" w:color="000000"/>
              <w:bottom w:val="single" w:sz="6" w:space="0" w:color="000000"/>
              <w:right w:val="single" w:sz="6" w:space="0" w:color="000000"/>
            </w:tcBorders>
          </w:tcPr>
          <w:p>
            <w:pPr>
              <w:pStyle w:val="TableParagraph"/>
              <w:spacing w:line="274" w:lineRule="exact"/>
              <w:ind w:left="2"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46"/>
                <w:sz w:val="21"/>
                <w:szCs w:val="21"/>
              </w:rPr>
              <w:t> </w:t>
            </w:r>
            <w:r>
              <w:rPr>
                <w:rFonts w:ascii="宋体" w:hAnsi="宋体" w:cs="宋体" w:eastAsia="宋体" w:hint="default"/>
                <w:b/>
                <w:bCs/>
                <w:sz w:val="21"/>
                <w:szCs w:val="21"/>
              </w:rPr>
              <w:t>商誉减值测试事项</w:t>
            </w:r>
            <w:r>
              <w:rPr>
                <w:rFonts w:ascii="宋体" w:hAnsi="宋体" w:cs="宋体" w:eastAsia="宋体" w:hint="default"/>
                <w:sz w:val="21"/>
                <w:szCs w:val="21"/>
              </w:rPr>
            </w:r>
          </w:p>
        </w:tc>
      </w:tr>
      <w:tr>
        <w:trPr>
          <w:trHeight w:val="403" w:hRule="exact"/>
        </w:trPr>
        <w:tc>
          <w:tcPr>
            <w:tcW w:w="496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1" w:right="0"/>
              <w:jc w:val="center"/>
              <w:rPr>
                <w:rFonts w:ascii="宋体" w:hAnsi="宋体" w:cs="宋体" w:eastAsia="宋体" w:hint="default"/>
                <w:sz w:val="21"/>
                <w:szCs w:val="21"/>
              </w:rPr>
            </w:pPr>
            <w:r>
              <w:rPr>
                <w:rFonts w:ascii="宋体" w:hAnsi="宋体" w:cs="宋体" w:eastAsia="宋体" w:hint="default"/>
                <w:b/>
                <w:bCs/>
                <w:sz w:val="21"/>
                <w:szCs w:val="21"/>
              </w:rPr>
              <w:t>关键审计事项</w:t>
            </w:r>
            <w:r>
              <w:rPr>
                <w:rFonts w:ascii="宋体" w:hAnsi="宋体" w:cs="宋体" w:eastAsia="宋体" w:hint="default"/>
                <w:sz w:val="21"/>
                <w:szCs w:val="21"/>
              </w:rPr>
            </w:r>
          </w:p>
        </w:tc>
        <w:tc>
          <w:tcPr>
            <w:tcW w:w="4251" w:type="dxa"/>
            <w:tcBorders>
              <w:top w:val="single" w:sz="6" w:space="0" w:color="000000"/>
              <w:left w:val="single" w:sz="6" w:space="0" w:color="000000"/>
              <w:bottom w:val="single" w:sz="6" w:space="0" w:color="000000"/>
              <w:right w:val="single" w:sz="6" w:space="0" w:color="000000"/>
            </w:tcBorders>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b/>
                <w:bCs/>
                <w:sz w:val="21"/>
                <w:szCs w:val="21"/>
              </w:rPr>
              <w:t>审计中的应对</w:t>
            </w:r>
            <w:r>
              <w:rPr>
                <w:rFonts w:ascii="宋体" w:hAnsi="宋体" w:cs="宋体" w:eastAsia="宋体" w:hint="default"/>
                <w:sz w:val="21"/>
                <w:szCs w:val="21"/>
              </w:rPr>
            </w:r>
          </w:p>
        </w:tc>
      </w:tr>
      <w:tr>
        <w:trPr>
          <w:trHeight w:val="335" w:hRule="exact"/>
        </w:trPr>
        <w:tc>
          <w:tcPr>
            <w:tcW w:w="4961" w:type="dxa"/>
            <w:tcBorders>
              <w:top w:val="single" w:sz="6" w:space="0" w:color="000000"/>
              <w:left w:val="single" w:sz="6" w:space="0" w:color="000000"/>
              <w:bottom w:val="nil" w:sz="6" w:space="0" w:color="auto"/>
              <w:right w:val="single" w:sz="6" w:space="0" w:color="000000"/>
            </w:tcBorders>
          </w:tcPr>
          <w:p>
            <w:pPr>
              <w:pStyle w:val="TableParagraph"/>
              <w:spacing w:line="288" w:lineRule="exact"/>
              <w:ind w:left="453"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日，如四维图新合并财务报表</w:t>
            </w:r>
          </w:p>
        </w:tc>
        <w:tc>
          <w:tcPr>
            <w:tcW w:w="4251" w:type="dxa"/>
            <w:tcBorders>
              <w:top w:val="single" w:sz="6" w:space="0" w:color="000000"/>
              <w:left w:val="single" w:sz="6" w:space="0" w:color="000000"/>
              <w:bottom w:val="nil" w:sz="6" w:space="0" w:color="auto"/>
              <w:right w:val="single" w:sz="6" w:space="0" w:color="000000"/>
            </w:tcBorders>
          </w:tcPr>
          <w:p>
            <w:pPr>
              <w:pStyle w:val="TableParagraph"/>
              <w:spacing w:line="272" w:lineRule="exact"/>
              <w:ind w:right="27"/>
              <w:jc w:val="right"/>
              <w:rPr>
                <w:rFonts w:ascii="宋体" w:hAnsi="宋体" w:cs="宋体" w:eastAsia="宋体" w:hint="default"/>
                <w:sz w:val="21"/>
                <w:szCs w:val="21"/>
              </w:rPr>
            </w:pPr>
            <w:r>
              <w:rPr>
                <w:rFonts w:ascii="宋体" w:hAnsi="宋体" w:cs="宋体" w:eastAsia="宋体" w:hint="default"/>
                <w:spacing w:val="-2"/>
                <w:sz w:val="21"/>
                <w:szCs w:val="21"/>
              </w:rPr>
              <w:t>我们就商誉减值测试行的程序包括：与管理层</w:t>
            </w: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72" w:lineRule="exact"/>
              <w:ind w:left="2" w:right="0"/>
              <w:jc w:val="left"/>
              <w:rPr>
                <w:rFonts w:ascii="宋体" w:hAnsi="宋体" w:cs="宋体" w:eastAsia="宋体" w:hint="default"/>
                <w:sz w:val="21"/>
                <w:szCs w:val="21"/>
              </w:rPr>
            </w:pPr>
            <w:r>
              <w:rPr>
                <w:rFonts w:ascii="宋体" w:hAnsi="宋体" w:cs="宋体" w:eastAsia="宋体" w:hint="default"/>
                <w:spacing w:val="-5"/>
                <w:sz w:val="21"/>
                <w:szCs w:val="21"/>
              </w:rPr>
              <w:t>附注五、</w:t>
            </w:r>
            <w:r>
              <w:rPr>
                <w:rFonts w:ascii="Times New Roman" w:hAnsi="Times New Roman" w:cs="Times New Roman" w:eastAsia="Times New Roman" w:hint="default"/>
                <w:spacing w:val="-5"/>
                <w:sz w:val="21"/>
                <w:szCs w:val="21"/>
              </w:rPr>
              <w:t>32</w:t>
            </w:r>
            <w:r>
              <w:rPr>
                <w:rFonts w:ascii="宋体" w:hAnsi="宋体" w:cs="宋体" w:eastAsia="宋体" w:hint="default"/>
                <w:spacing w:val="-5"/>
                <w:sz w:val="21"/>
                <w:szCs w:val="21"/>
              </w:rPr>
              <w:t>及七、</w:t>
            </w:r>
            <w:r>
              <w:rPr>
                <w:rFonts w:ascii="Times New Roman" w:hAnsi="Times New Roman" w:cs="Times New Roman" w:eastAsia="Times New Roman" w:hint="default"/>
                <w:spacing w:val="-5"/>
                <w:sz w:val="21"/>
                <w:szCs w:val="21"/>
              </w:rPr>
              <w:t>27</w:t>
            </w:r>
            <w:r>
              <w:rPr>
                <w:rFonts w:ascii="宋体" w:hAnsi="宋体" w:cs="宋体" w:eastAsia="宋体" w:hint="default"/>
                <w:spacing w:val="-5"/>
                <w:sz w:val="21"/>
                <w:szCs w:val="21"/>
              </w:rPr>
              <w:t>所述，合并财务报表中商誉的账面</w:t>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27"/>
              <w:jc w:val="right"/>
              <w:rPr>
                <w:rFonts w:ascii="宋体" w:hAnsi="宋体" w:cs="宋体" w:eastAsia="宋体" w:hint="default"/>
                <w:sz w:val="21"/>
                <w:szCs w:val="21"/>
              </w:rPr>
            </w:pPr>
            <w:r>
              <w:rPr>
                <w:rFonts w:ascii="宋体" w:hAnsi="宋体" w:cs="宋体" w:eastAsia="宋体" w:hint="default"/>
                <w:spacing w:val="-2"/>
                <w:sz w:val="21"/>
                <w:szCs w:val="21"/>
              </w:rPr>
              <w:t>讨论商誉减值的评估方法，包括每个资产组的</w:t>
            </w: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72" w:lineRule="exact"/>
              <w:ind w:left="2" w:right="0"/>
              <w:jc w:val="left"/>
              <w:rPr>
                <w:rFonts w:ascii="宋体" w:hAnsi="宋体" w:cs="宋体" w:eastAsia="宋体" w:hint="default"/>
                <w:sz w:val="21"/>
                <w:szCs w:val="21"/>
              </w:rPr>
            </w:pPr>
            <w:r>
              <w:rPr>
                <w:rFonts w:ascii="宋体" w:hAnsi="宋体" w:cs="宋体" w:eastAsia="宋体" w:hint="default"/>
                <w:sz w:val="21"/>
                <w:szCs w:val="21"/>
              </w:rPr>
              <w:t>价值为人民币</w:t>
            </w:r>
            <w:r>
              <w:rPr>
                <w:rFonts w:ascii="Times New Roman" w:hAnsi="Times New Roman" w:cs="Times New Roman" w:eastAsia="Times New Roman" w:hint="default"/>
                <w:sz w:val="21"/>
                <w:szCs w:val="21"/>
              </w:rPr>
              <w:t>33.25</w:t>
            </w:r>
            <w:r>
              <w:rPr>
                <w:rFonts w:ascii="宋体" w:hAnsi="宋体" w:cs="宋体" w:eastAsia="宋体" w:hint="default"/>
                <w:sz w:val="21"/>
                <w:szCs w:val="21"/>
              </w:rPr>
              <w:t>亿元。</w:t>
            </w:r>
            <w:r>
              <w:rPr>
                <w:rFonts w:ascii="宋体" w:hAnsi="宋体" w:cs="宋体" w:eastAsia="宋体" w:hint="default"/>
                <w:sz w:val="21"/>
                <w:szCs w:val="21"/>
              </w:rPr>
              <w:t> </w:t>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27"/>
              <w:jc w:val="right"/>
              <w:rPr>
                <w:rFonts w:ascii="宋体" w:hAnsi="宋体" w:cs="宋体" w:eastAsia="宋体" w:hint="default"/>
                <w:sz w:val="21"/>
                <w:szCs w:val="21"/>
              </w:rPr>
            </w:pPr>
            <w:r>
              <w:rPr>
                <w:rFonts w:ascii="宋体" w:hAnsi="宋体" w:cs="宋体" w:eastAsia="宋体" w:hint="default"/>
                <w:spacing w:val="-2"/>
                <w:sz w:val="21"/>
                <w:szCs w:val="21"/>
              </w:rPr>
              <w:t>未来盈利预测，现金流折现等假设的合理性；</w:t>
            </w:r>
          </w:p>
        </w:tc>
      </w:tr>
      <w:tr>
        <w:trPr>
          <w:trHeight w:val="306"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56" w:lineRule="exact"/>
              <w:ind w:left="453" w:right="0"/>
              <w:jc w:val="left"/>
              <w:rPr>
                <w:rFonts w:ascii="宋体" w:hAnsi="宋体" w:cs="宋体" w:eastAsia="宋体" w:hint="default"/>
                <w:sz w:val="21"/>
                <w:szCs w:val="21"/>
              </w:rPr>
            </w:pPr>
            <w:r>
              <w:rPr>
                <w:rFonts w:ascii="宋体" w:hAnsi="宋体" w:cs="宋体" w:eastAsia="宋体" w:hint="default"/>
                <w:sz w:val="21"/>
                <w:szCs w:val="21"/>
              </w:rPr>
              <w:t>管理层每年对商誉进行减值测试。管理层通过比</w:t>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56" w:lineRule="exact"/>
              <w:ind w:right="27"/>
              <w:jc w:val="right"/>
              <w:rPr>
                <w:rFonts w:ascii="宋体" w:hAnsi="宋体" w:cs="宋体" w:eastAsia="宋体" w:hint="default"/>
                <w:sz w:val="21"/>
                <w:szCs w:val="21"/>
              </w:rPr>
            </w:pPr>
            <w:r>
              <w:rPr>
                <w:rFonts w:ascii="宋体" w:hAnsi="宋体" w:cs="宋体" w:eastAsia="宋体" w:hint="default"/>
                <w:spacing w:val="-2"/>
                <w:sz w:val="21"/>
                <w:szCs w:val="21"/>
              </w:rPr>
              <w:t>依据管理层提供的数据及支持证据，包括每个</w:t>
            </w: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较被分摊商誉的相关资产组的可收回金额与该资产组</w:t>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61" w:lineRule="exact"/>
              <w:ind w:right="27"/>
              <w:jc w:val="right"/>
              <w:rPr>
                <w:rFonts w:ascii="宋体" w:hAnsi="宋体" w:cs="宋体" w:eastAsia="宋体" w:hint="default"/>
                <w:sz w:val="21"/>
                <w:szCs w:val="21"/>
              </w:rPr>
            </w:pPr>
            <w:r>
              <w:rPr>
                <w:rFonts w:ascii="宋体" w:hAnsi="宋体" w:cs="宋体" w:eastAsia="宋体" w:hint="default"/>
                <w:spacing w:val="-2"/>
                <w:sz w:val="21"/>
                <w:szCs w:val="21"/>
              </w:rPr>
              <w:t>资产组的预算，关注管理层对该等预算合理性</w:t>
            </w: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1"/>
              <w:jc w:val="left"/>
              <w:rPr>
                <w:rFonts w:ascii="宋体" w:hAnsi="宋体" w:cs="宋体" w:eastAsia="宋体" w:hint="default"/>
                <w:sz w:val="21"/>
                <w:szCs w:val="21"/>
              </w:rPr>
            </w:pPr>
            <w:r>
              <w:rPr>
                <w:rFonts w:ascii="宋体" w:hAnsi="宋体" w:cs="宋体" w:eastAsia="宋体" w:hint="default"/>
                <w:spacing w:val="-6"/>
                <w:sz w:val="21"/>
                <w:szCs w:val="21"/>
              </w:rPr>
              <w:t>及商誉的账面价值，对商誉进行减值测试。资产组预计</w:t>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的判断依据。</w:t>
            </w: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1"/>
              <w:jc w:val="left"/>
              <w:rPr>
                <w:rFonts w:ascii="宋体" w:hAnsi="宋体" w:cs="宋体" w:eastAsia="宋体" w:hint="default"/>
                <w:sz w:val="21"/>
                <w:szCs w:val="21"/>
              </w:rPr>
            </w:pPr>
            <w:r>
              <w:rPr>
                <w:rFonts w:ascii="宋体" w:hAnsi="宋体" w:cs="宋体" w:eastAsia="宋体" w:hint="default"/>
                <w:w w:val="100"/>
                <w:sz w:val="21"/>
                <w:szCs w:val="21"/>
              </w:rPr>
              <w:t>可收</w:t>
            </w:r>
            <w:r>
              <w:rPr>
                <w:rFonts w:ascii="宋体" w:hAnsi="宋体" w:cs="宋体" w:eastAsia="宋体" w:hint="default"/>
                <w:spacing w:val="-3"/>
                <w:w w:val="100"/>
                <w:sz w:val="21"/>
                <w:szCs w:val="21"/>
              </w:rPr>
              <w:t>回</w:t>
            </w:r>
            <w:r>
              <w:rPr>
                <w:rFonts w:ascii="宋体" w:hAnsi="宋体" w:cs="宋体" w:eastAsia="宋体" w:hint="default"/>
                <w:w w:val="100"/>
                <w:sz w:val="21"/>
                <w:szCs w:val="21"/>
              </w:rPr>
              <w:t>金</w:t>
            </w:r>
            <w:r>
              <w:rPr>
                <w:rFonts w:ascii="宋体" w:hAnsi="宋体" w:cs="宋体" w:eastAsia="宋体" w:hint="default"/>
                <w:spacing w:val="-3"/>
                <w:w w:val="100"/>
                <w:sz w:val="21"/>
                <w:szCs w:val="21"/>
              </w:rPr>
              <w:t>额</w:t>
            </w:r>
            <w:r>
              <w:rPr>
                <w:rFonts w:ascii="宋体" w:hAnsi="宋体" w:cs="宋体" w:eastAsia="宋体" w:hint="default"/>
                <w:w w:val="100"/>
                <w:sz w:val="21"/>
                <w:szCs w:val="21"/>
              </w:rPr>
              <w:t>涉</w:t>
            </w:r>
            <w:r>
              <w:rPr>
                <w:rFonts w:ascii="宋体" w:hAnsi="宋体" w:cs="宋体" w:eastAsia="宋体" w:hint="default"/>
                <w:spacing w:val="-3"/>
                <w:w w:val="100"/>
                <w:sz w:val="21"/>
                <w:szCs w:val="21"/>
              </w:rPr>
              <w:t>及</w:t>
            </w:r>
            <w:r>
              <w:rPr>
                <w:rFonts w:ascii="宋体" w:hAnsi="宋体" w:cs="宋体" w:eastAsia="宋体" w:hint="default"/>
                <w:w w:val="100"/>
                <w:sz w:val="21"/>
                <w:szCs w:val="21"/>
              </w:rPr>
              <w:t>对</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组</w:t>
            </w:r>
            <w:r>
              <w:rPr>
                <w:rFonts w:ascii="宋体" w:hAnsi="宋体" w:cs="宋体" w:eastAsia="宋体" w:hint="default"/>
                <w:w w:val="100"/>
                <w:sz w:val="21"/>
                <w:szCs w:val="21"/>
              </w:rPr>
              <w:t>未来</w:t>
            </w:r>
            <w:r>
              <w:rPr>
                <w:rFonts w:ascii="宋体" w:hAnsi="宋体" w:cs="宋体" w:eastAsia="宋体" w:hint="default"/>
                <w:spacing w:val="-3"/>
                <w:w w:val="100"/>
                <w:sz w:val="21"/>
                <w:szCs w:val="21"/>
              </w:rPr>
              <w:t>现</w:t>
            </w:r>
            <w:r>
              <w:rPr>
                <w:rFonts w:ascii="宋体" w:hAnsi="宋体" w:cs="宋体" w:eastAsia="宋体" w:hint="default"/>
                <w:w w:val="100"/>
                <w:sz w:val="21"/>
                <w:szCs w:val="21"/>
              </w:rPr>
              <w:t>金</w:t>
            </w:r>
            <w:r>
              <w:rPr>
                <w:rFonts w:ascii="宋体" w:hAnsi="宋体" w:cs="宋体" w:eastAsia="宋体" w:hint="default"/>
                <w:spacing w:val="-3"/>
                <w:w w:val="100"/>
                <w:sz w:val="21"/>
                <w:szCs w:val="21"/>
              </w:rPr>
              <w:t>流</w:t>
            </w:r>
            <w:r>
              <w:rPr>
                <w:rFonts w:ascii="宋体" w:hAnsi="宋体" w:cs="宋体" w:eastAsia="宋体" w:hint="default"/>
                <w:w w:val="100"/>
                <w:sz w:val="21"/>
                <w:szCs w:val="21"/>
              </w:rPr>
              <w:t>量</w:t>
            </w:r>
            <w:r>
              <w:rPr>
                <w:rFonts w:ascii="宋体" w:hAnsi="宋体" w:cs="宋体" w:eastAsia="宋体" w:hint="default"/>
                <w:spacing w:val="-3"/>
                <w:w w:val="100"/>
                <w:sz w:val="21"/>
                <w:szCs w:val="21"/>
              </w:rPr>
              <w:t>现</w:t>
            </w:r>
            <w:r>
              <w:rPr>
                <w:rFonts w:ascii="宋体" w:hAnsi="宋体" w:cs="宋体" w:eastAsia="宋体" w:hint="default"/>
                <w:w w:val="100"/>
                <w:sz w:val="21"/>
                <w:szCs w:val="21"/>
              </w:rPr>
              <w:t>值</w:t>
            </w:r>
            <w:r>
              <w:rPr>
                <w:rFonts w:ascii="宋体" w:hAnsi="宋体" w:cs="宋体" w:eastAsia="宋体" w:hint="default"/>
                <w:spacing w:val="-3"/>
                <w:w w:val="100"/>
                <w:sz w:val="21"/>
                <w:szCs w:val="21"/>
              </w:rPr>
              <w:t>的</w:t>
            </w:r>
            <w:r>
              <w:rPr>
                <w:rFonts w:ascii="宋体" w:hAnsi="宋体" w:cs="宋体" w:eastAsia="宋体" w:hint="default"/>
                <w:w w:val="100"/>
                <w:sz w:val="21"/>
                <w:szCs w:val="21"/>
              </w:rPr>
              <w:t>预</w:t>
            </w:r>
            <w:r>
              <w:rPr>
                <w:rFonts w:ascii="宋体" w:hAnsi="宋体" w:cs="宋体" w:eastAsia="宋体" w:hint="default"/>
                <w:spacing w:val="-3"/>
                <w:w w:val="100"/>
                <w:sz w:val="21"/>
                <w:szCs w:val="21"/>
              </w:rPr>
              <w:t>测</w:t>
            </w:r>
            <w:r>
              <w:rPr>
                <w:rFonts w:ascii="宋体" w:hAnsi="宋体" w:cs="宋体" w:eastAsia="宋体" w:hint="default"/>
                <w:spacing w:val="-101"/>
                <w:w w:val="100"/>
                <w:sz w:val="21"/>
                <w:szCs w:val="21"/>
              </w:rPr>
              <w:t>，</w:t>
            </w:r>
            <w:r>
              <w:rPr>
                <w:rFonts w:ascii="宋体" w:hAnsi="宋体" w:cs="宋体" w:eastAsia="宋体" w:hint="default"/>
                <w:w w:val="100"/>
                <w:sz w:val="21"/>
                <w:szCs w:val="21"/>
              </w:rPr>
              <w:t>管</w:t>
            </w:r>
          </w:p>
        </w:tc>
        <w:tc>
          <w:tcPr>
            <w:tcW w:w="4251"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1"/>
              <w:jc w:val="left"/>
              <w:rPr>
                <w:rFonts w:ascii="宋体" w:hAnsi="宋体" w:cs="宋体" w:eastAsia="宋体" w:hint="default"/>
                <w:sz w:val="21"/>
                <w:szCs w:val="21"/>
              </w:rPr>
            </w:pPr>
            <w:r>
              <w:rPr>
                <w:rFonts w:ascii="宋体" w:hAnsi="宋体" w:cs="宋体" w:eastAsia="宋体" w:hint="default"/>
                <w:w w:val="100"/>
                <w:sz w:val="21"/>
                <w:szCs w:val="21"/>
              </w:rPr>
              <w:t>理层</w:t>
            </w:r>
            <w:r>
              <w:rPr>
                <w:rFonts w:ascii="宋体" w:hAnsi="宋体" w:cs="宋体" w:eastAsia="宋体" w:hint="default"/>
                <w:spacing w:val="-3"/>
                <w:w w:val="100"/>
                <w:sz w:val="21"/>
                <w:szCs w:val="21"/>
              </w:rPr>
              <w:t>在</w:t>
            </w:r>
            <w:r>
              <w:rPr>
                <w:rFonts w:ascii="宋体" w:hAnsi="宋体" w:cs="宋体" w:eastAsia="宋体" w:hint="default"/>
                <w:w w:val="100"/>
                <w:sz w:val="21"/>
                <w:szCs w:val="21"/>
              </w:rPr>
              <w:t>预</w:t>
            </w:r>
            <w:r>
              <w:rPr>
                <w:rFonts w:ascii="宋体" w:hAnsi="宋体" w:cs="宋体" w:eastAsia="宋体" w:hint="default"/>
                <w:spacing w:val="-3"/>
                <w:w w:val="100"/>
                <w:sz w:val="21"/>
                <w:szCs w:val="21"/>
              </w:rPr>
              <w:t>测</w:t>
            </w:r>
            <w:r>
              <w:rPr>
                <w:rFonts w:ascii="宋体" w:hAnsi="宋体" w:cs="宋体" w:eastAsia="宋体" w:hint="default"/>
                <w:w w:val="100"/>
                <w:sz w:val="21"/>
                <w:szCs w:val="21"/>
              </w:rPr>
              <w:t>中</w:t>
            </w:r>
            <w:r>
              <w:rPr>
                <w:rFonts w:ascii="宋体" w:hAnsi="宋体" w:cs="宋体" w:eastAsia="宋体" w:hint="default"/>
                <w:spacing w:val="-3"/>
                <w:w w:val="100"/>
                <w:sz w:val="21"/>
                <w:szCs w:val="21"/>
              </w:rPr>
              <w:t>需</w:t>
            </w:r>
            <w:r>
              <w:rPr>
                <w:rFonts w:ascii="宋体" w:hAnsi="宋体" w:cs="宋体" w:eastAsia="宋体" w:hint="default"/>
                <w:w w:val="100"/>
                <w:sz w:val="21"/>
                <w:szCs w:val="21"/>
              </w:rPr>
              <w:t>要</w:t>
            </w:r>
            <w:r>
              <w:rPr>
                <w:rFonts w:ascii="宋体" w:hAnsi="宋体" w:cs="宋体" w:eastAsia="宋体" w:hint="default"/>
                <w:spacing w:val="-3"/>
                <w:w w:val="100"/>
                <w:sz w:val="21"/>
                <w:szCs w:val="21"/>
              </w:rPr>
              <w:t>做</w:t>
            </w:r>
            <w:r>
              <w:rPr>
                <w:rFonts w:ascii="宋体" w:hAnsi="宋体" w:cs="宋体" w:eastAsia="宋体" w:hint="default"/>
                <w:w w:val="100"/>
                <w:sz w:val="21"/>
                <w:szCs w:val="21"/>
              </w:rPr>
              <w:t>出</w:t>
            </w:r>
            <w:r>
              <w:rPr>
                <w:rFonts w:ascii="宋体" w:hAnsi="宋体" w:cs="宋体" w:eastAsia="宋体" w:hint="default"/>
                <w:spacing w:val="-3"/>
                <w:w w:val="100"/>
                <w:sz w:val="21"/>
                <w:szCs w:val="21"/>
              </w:rPr>
              <w:t>重</w:t>
            </w:r>
            <w:r>
              <w:rPr>
                <w:rFonts w:ascii="宋体" w:hAnsi="宋体" w:cs="宋体" w:eastAsia="宋体" w:hint="default"/>
                <w:w w:val="100"/>
                <w:sz w:val="21"/>
                <w:szCs w:val="21"/>
              </w:rPr>
              <w:t>大判</w:t>
            </w:r>
            <w:r>
              <w:rPr>
                <w:rFonts w:ascii="宋体" w:hAnsi="宋体" w:cs="宋体" w:eastAsia="宋体" w:hint="default"/>
                <w:spacing w:val="-3"/>
                <w:w w:val="100"/>
                <w:sz w:val="21"/>
                <w:szCs w:val="21"/>
              </w:rPr>
              <w:t>断</w:t>
            </w:r>
            <w:r>
              <w:rPr>
                <w:rFonts w:ascii="宋体" w:hAnsi="宋体" w:cs="宋体" w:eastAsia="宋体" w:hint="default"/>
                <w:w w:val="100"/>
                <w:sz w:val="21"/>
                <w:szCs w:val="21"/>
              </w:rPr>
              <w:t>和</w:t>
            </w:r>
            <w:r>
              <w:rPr>
                <w:rFonts w:ascii="宋体" w:hAnsi="宋体" w:cs="宋体" w:eastAsia="宋体" w:hint="default"/>
                <w:spacing w:val="-3"/>
                <w:w w:val="100"/>
                <w:sz w:val="21"/>
                <w:szCs w:val="21"/>
              </w:rPr>
              <w:t>假设</w:t>
            </w:r>
            <w:r>
              <w:rPr>
                <w:rFonts w:ascii="宋体" w:hAnsi="宋体" w:cs="宋体" w:eastAsia="宋体" w:hint="default"/>
                <w:spacing w:val="-99"/>
                <w:w w:val="100"/>
                <w:sz w:val="21"/>
                <w:szCs w:val="21"/>
              </w:rPr>
              <w:t>，</w:t>
            </w:r>
            <w:r>
              <w:rPr>
                <w:rFonts w:ascii="宋体" w:hAnsi="宋体" w:cs="宋体" w:eastAsia="宋体" w:hint="default"/>
                <w:spacing w:val="-3"/>
                <w:w w:val="100"/>
                <w:sz w:val="21"/>
                <w:szCs w:val="21"/>
              </w:rPr>
              <w:t>特</w:t>
            </w:r>
            <w:r>
              <w:rPr>
                <w:rFonts w:ascii="宋体" w:hAnsi="宋体" w:cs="宋体" w:eastAsia="宋体" w:hint="default"/>
                <w:w w:val="100"/>
                <w:sz w:val="21"/>
                <w:szCs w:val="21"/>
              </w:rPr>
              <w:t>别</w:t>
            </w:r>
            <w:r>
              <w:rPr>
                <w:rFonts w:ascii="宋体" w:hAnsi="宋体" w:cs="宋体" w:eastAsia="宋体" w:hint="default"/>
                <w:spacing w:val="-3"/>
                <w:w w:val="100"/>
                <w:sz w:val="21"/>
                <w:szCs w:val="21"/>
              </w:rPr>
              <w:t>是</w:t>
            </w:r>
            <w:r>
              <w:rPr>
                <w:rFonts w:ascii="宋体" w:hAnsi="宋体" w:cs="宋体" w:eastAsia="宋体" w:hint="default"/>
                <w:w w:val="100"/>
                <w:sz w:val="21"/>
                <w:szCs w:val="21"/>
              </w:rPr>
              <w:t>对</w:t>
            </w:r>
            <w:r>
              <w:rPr>
                <w:rFonts w:ascii="宋体" w:hAnsi="宋体" w:cs="宋体" w:eastAsia="宋体" w:hint="default"/>
                <w:spacing w:val="-3"/>
                <w:w w:val="100"/>
                <w:sz w:val="21"/>
                <w:szCs w:val="21"/>
              </w:rPr>
              <w:t>于</w:t>
            </w:r>
            <w:r>
              <w:rPr>
                <w:rFonts w:ascii="宋体" w:hAnsi="宋体" w:cs="宋体" w:eastAsia="宋体" w:hint="default"/>
                <w:w w:val="100"/>
                <w:sz w:val="21"/>
                <w:szCs w:val="21"/>
              </w:rPr>
              <w:t>未</w:t>
            </w:r>
          </w:p>
        </w:tc>
        <w:tc>
          <w:tcPr>
            <w:tcW w:w="4251"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1"/>
              <w:jc w:val="left"/>
              <w:rPr>
                <w:rFonts w:ascii="宋体" w:hAnsi="宋体" w:cs="宋体" w:eastAsia="宋体" w:hint="default"/>
                <w:sz w:val="21"/>
                <w:szCs w:val="21"/>
              </w:rPr>
            </w:pPr>
            <w:r>
              <w:rPr>
                <w:rFonts w:ascii="宋体" w:hAnsi="宋体" w:cs="宋体" w:eastAsia="宋体" w:hint="default"/>
                <w:spacing w:val="-6"/>
                <w:sz w:val="21"/>
                <w:szCs w:val="21"/>
              </w:rPr>
              <w:t>来市场状况、生产成本、经营费用、折现率及业绩增长</w:t>
            </w:r>
          </w:p>
        </w:tc>
        <w:tc>
          <w:tcPr>
            <w:tcW w:w="4251"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率等因素的盘点和假设。由于减值测试过程较为复杂</w:t>
            </w:r>
          </w:p>
        </w:tc>
        <w:tc>
          <w:tcPr>
            <w:tcW w:w="425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125" w:right="0"/>
              <w:jc w:val="left"/>
              <w:rPr>
                <w:rFonts w:ascii="宋体" w:hAnsi="宋体" w:cs="宋体" w:eastAsia="宋体" w:hint="default"/>
                <w:sz w:val="21"/>
                <w:szCs w:val="21"/>
              </w:rPr>
            </w:pPr>
            <w:r>
              <w:rPr>
                <w:rFonts w:ascii="宋体" w:hAnsi="宋体" w:cs="宋体" w:eastAsia="宋体" w:hint="default"/>
                <w:w w:val="100"/>
                <w:sz w:val="21"/>
                <w:szCs w:val="21"/>
              </w:rPr>
              <w:t>，</w:t>
            </w: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1"/>
              <w:jc w:val="left"/>
              <w:rPr>
                <w:rFonts w:ascii="宋体" w:hAnsi="宋体" w:cs="宋体" w:eastAsia="宋体" w:hint="default"/>
                <w:sz w:val="21"/>
                <w:szCs w:val="21"/>
              </w:rPr>
            </w:pPr>
            <w:r>
              <w:rPr>
                <w:rFonts w:ascii="宋体" w:hAnsi="宋体" w:cs="宋体" w:eastAsia="宋体" w:hint="default"/>
                <w:w w:val="100"/>
                <w:sz w:val="21"/>
                <w:szCs w:val="21"/>
              </w:rPr>
              <w:t>涉及</w:t>
            </w:r>
            <w:r>
              <w:rPr>
                <w:rFonts w:ascii="宋体" w:hAnsi="宋体" w:cs="宋体" w:eastAsia="宋体" w:hint="default"/>
                <w:spacing w:val="-3"/>
                <w:w w:val="100"/>
                <w:sz w:val="21"/>
                <w:szCs w:val="21"/>
              </w:rPr>
              <w:t>重</w:t>
            </w:r>
            <w:r>
              <w:rPr>
                <w:rFonts w:ascii="宋体" w:hAnsi="宋体" w:cs="宋体" w:eastAsia="宋体" w:hint="default"/>
                <w:w w:val="100"/>
                <w:sz w:val="21"/>
                <w:szCs w:val="21"/>
              </w:rPr>
              <w:t>大</w:t>
            </w:r>
            <w:r>
              <w:rPr>
                <w:rFonts w:ascii="宋体" w:hAnsi="宋体" w:cs="宋体" w:eastAsia="宋体" w:hint="default"/>
                <w:spacing w:val="-3"/>
                <w:w w:val="100"/>
                <w:sz w:val="21"/>
                <w:szCs w:val="21"/>
              </w:rPr>
              <w:t>判断</w:t>
            </w:r>
            <w:r>
              <w:rPr>
                <w:rFonts w:ascii="宋体" w:hAnsi="宋体" w:cs="宋体" w:eastAsia="宋体" w:hint="default"/>
                <w:spacing w:val="-99"/>
                <w:w w:val="100"/>
                <w:sz w:val="21"/>
                <w:szCs w:val="21"/>
              </w:rPr>
              <w:t>，</w:t>
            </w:r>
            <w:r>
              <w:rPr>
                <w:rFonts w:ascii="宋体" w:hAnsi="宋体" w:cs="宋体" w:eastAsia="宋体" w:hint="default"/>
                <w:spacing w:val="-3"/>
                <w:w w:val="100"/>
                <w:sz w:val="21"/>
                <w:szCs w:val="21"/>
              </w:rPr>
              <w:t>同</w:t>
            </w:r>
            <w:r>
              <w:rPr>
                <w:rFonts w:ascii="宋体" w:hAnsi="宋体" w:cs="宋体" w:eastAsia="宋体" w:hint="default"/>
                <w:w w:val="100"/>
                <w:sz w:val="21"/>
                <w:szCs w:val="21"/>
              </w:rPr>
              <w:t>时</w:t>
            </w:r>
            <w:r>
              <w:rPr>
                <w:rFonts w:ascii="宋体" w:hAnsi="宋体" w:cs="宋体" w:eastAsia="宋体" w:hint="default"/>
                <w:spacing w:val="-3"/>
                <w:w w:val="100"/>
                <w:sz w:val="21"/>
                <w:szCs w:val="21"/>
              </w:rPr>
              <w:t>商</w:t>
            </w:r>
            <w:r>
              <w:rPr>
                <w:rFonts w:ascii="宋体" w:hAnsi="宋体" w:cs="宋体" w:eastAsia="宋体" w:hint="default"/>
                <w:w w:val="100"/>
                <w:sz w:val="21"/>
                <w:szCs w:val="21"/>
              </w:rPr>
              <w:t>誉</w:t>
            </w:r>
            <w:r>
              <w:rPr>
                <w:rFonts w:ascii="宋体" w:hAnsi="宋体" w:cs="宋体" w:eastAsia="宋体" w:hint="default"/>
                <w:spacing w:val="-3"/>
                <w:w w:val="100"/>
                <w:sz w:val="21"/>
                <w:szCs w:val="21"/>
              </w:rPr>
              <w:t>在</w:t>
            </w:r>
            <w:r>
              <w:rPr>
                <w:rFonts w:ascii="宋体" w:hAnsi="宋体" w:cs="宋体" w:eastAsia="宋体" w:hint="default"/>
                <w:w w:val="100"/>
                <w:sz w:val="21"/>
                <w:szCs w:val="21"/>
              </w:rPr>
              <w:t>四维</w:t>
            </w:r>
            <w:r>
              <w:rPr>
                <w:rFonts w:ascii="宋体" w:hAnsi="宋体" w:cs="宋体" w:eastAsia="宋体" w:hint="default"/>
                <w:spacing w:val="-3"/>
                <w:w w:val="100"/>
                <w:sz w:val="21"/>
                <w:szCs w:val="21"/>
              </w:rPr>
              <w:t>图</w:t>
            </w:r>
            <w:r>
              <w:rPr>
                <w:rFonts w:ascii="宋体" w:hAnsi="宋体" w:cs="宋体" w:eastAsia="宋体" w:hint="default"/>
                <w:spacing w:val="-1"/>
                <w:w w:val="100"/>
                <w:sz w:val="21"/>
                <w:szCs w:val="21"/>
              </w:rPr>
              <w:t>新</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总</w:t>
            </w:r>
            <w:r>
              <w:rPr>
                <w:rFonts w:ascii="宋体" w:hAnsi="宋体" w:cs="宋体" w:eastAsia="宋体" w:hint="default"/>
                <w:w w:val="100"/>
                <w:sz w:val="21"/>
                <w:szCs w:val="21"/>
              </w:rPr>
              <w:t>额</w:t>
            </w:r>
            <w:r>
              <w:rPr>
                <w:rFonts w:ascii="宋体" w:hAnsi="宋体" w:cs="宋体" w:eastAsia="宋体" w:hint="default"/>
                <w:spacing w:val="-3"/>
                <w:w w:val="100"/>
                <w:sz w:val="21"/>
                <w:szCs w:val="21"/>
              </w:rPr>
              <w:t>中</w:t>
            </w:r>
            <w:r>
              <w:rPr>
                <w:rFonts w:ascii="宋体" w:hAnsi="宋体" w:cs="宋体" w:eastAsia="宋体" w:hint="default"/>
                <w:w w:val="100"/>
                <w:sz w:val="21"/>
                <w:szCs w:val="21"/>
              </w:rPr>
              <w:t>占</w:t>
            </w:r>
            <w:r>
              <w:rPr>
                <w:rFonts w:ascii="宋体" w:hAnsi="宋体" w:cs="宋体" w:eastAsia="宋体" w:hint="default"/>
                <w:spacing w:val="-3"/>
                <w:w w:val="100"/>
                <w:sz w:val="21"/>
                <w:szCs w:val="21"/>
              </w:rPr>
              <w:t>比</w:t>
            </w:r>
            <w:r>
              <w:rPr>
                <w:rFonts w:ascii="宋体" w:hAnsi="宋体" w:cs="宋体" w:eastAsia="宋体" w:hint="default"/>
                <w:w w:val="100"/>
                <w:sz w:val="21"/>
                <w:szCs w:val="21"/>
              </w:rPr>
              <w:t>很</w:t>
            </w:r>
          </w:p>
        </w:tc>
        <w:tc>
          <w:tcPr>
            <w:tcW w:w="4251" w:type="dxa"/>
            <w:tcBorders>
              <w:top w:val="nil" w:sz="6" w:space="0" w:color="auto"/>
              <w:left w:val="single" w:sz="6" w:space="0" w:color="000000"/>
              <w:bottom w:val="nil" w:sz="6" w:space="0" w:color="auto"/>
              <w:right w:val="single" w:sz="6" w:space="0" w:color="000000"/>
            </w:tcBorders>
          </w:tcPr>
          <w:p>
            <w:pPr/>
          </w:p>
        </w:tc>
      </w:tr>
      <w:tr>
        <w:trPr>
          <w:trHeight w:val="312" w:hRule="exact"/>
        </w:trPr>
        <w:tc>
          <w:tcPr>
            <w:tcW w:w="4961" w:type="dxa"/>
            <w:tcBorders>
              <w:top w:val="nil" w:sz="6" w:space="0" w:color="auto"/>
              <w:left w:val="single" w:sz="6" w:space="0" w:color="000000"/>
              <w:bottom w:val="nil" w:sz="6" w:space="0" w:color="auto"/>
              <w:right w:val="single" w:sz="6" w:space="0" w:color="000000"/>
            </w:tcBorders>
          </w:tcPr>
          <w:p>
            <w:pPr>
              <w:pStyle w:val="TableParagraph"/>
              <w:spacing w:line="261" w:lineRule="exact"/>
              <w:ind w:left="2" w:right="-1"/>
              <w:jc w:val="left"/>
              <w:rPr>
                <w:rFonts w:ascii="宋体" w:hAnsi="宋体" w:cs="宋体" w:eastAsia="宋体" w:hint="default"/>
                <w:sz w:val="21"/>
                <w:szCs w:val="21"/>
              </w:rPr>
            </w:pPr>
            <w:r>
              <w:rPr>
                <w:rFonts w:ascii="宋体" w:hAnsi="宋体" w:cs="宋体" w:eastAsia="宋体" w:hint="default"/>
                <w:w w:val="100"/>
                <w:sz w:val="21"/>
                <w:szCs w:val="21"/>
              </w:rPr>
              <w:t>大</w:t>
            </w:r>
            <w:r>
              <w:rPr>
                <w:rFonts w:ascii="宋体" w:hAnsi="宋体" w:cs="宋体" w:eastAsia="宋体" w:hint="default"/>
                <w:spacing w:val="-101"/>
                <w:w w:val="100"/>
                <w:sz w:val="21"/>
                <w:szCs w:val="21"/>
              </w:rPr>
              <w:t>，</w:t>
            </w:r>
            <w:r>
              <w:rPr>
                <w:rFonts w:ascii="宋体" w:hAnsi="宋体" w:cs="宋体" w:eastAsia="宋体" w:hint="default"/>
                <w:w w:val="100"/>
                <w:sz w:val="21"/>
                <w:szCs w:val="21"/>
              </w:rPr>
              <w:t>因</w:t>
            </w:r>
            <w:r>
              <w:rPr>
                <w:rFonts w:ascii="宋体" w:hAnsi="宋体" w:cs="宋体" w:eastAsia="宋体" w:hint="default"/>
                <w:spacing w:val="-3"/>
                <w:w w:val="100"/>
                <w:sz w:val="21"/>
                <w:szCs w:val="21"/>
              </w:rPr>
              <w:t>此</w:t>
            </w:r>
            <w:r>
              <w:rPr>
                <w:rFonts w:ascii="宋体" w:hAnsi="宋体" w:cs="宋体" w:eastAsia="宋体" w:hint="default"/>
                <w:w w:val="100"/>
                <w:sz w:val="21"/>
                <w:szCs w:val="21"/>
              </w:rPr>
              <w:t>我</w:t>
            </w:r>
            <w:r>
              <w:rPr>
                <w:rFonts w:ascii="宋体" w:hAnsi="宋体" w:cs="宋体" w:eastAsia="宋体" w:hint="default"/>
                <w:spacing w:val="-3"/>
                <w:w w:val="100"/>
                <w:sz w:val="21"/>
                <w:szCs w:val="21"/>
              </w:rPr>
              <w:t>们</w:t>
            </w:r>
            <w:r>
              <w:rPr>
                <w:rFonts w:ascii="宋体" w:hAnsi="宋体" w:cs="宋体" w:eastAsia="宋体" w:hint="default"/>
                <w:w w:val="100"/>
                <w:sz w:val="21"/>
                <w:szCs w:val="21"/>
              </w:rPr>
              <w:t>认</w:t>
            </w:r>
            <w:r>
              <w:rPr>
                <w:rFonts w:ascii="宋体" w:hAnsi="宋体" w:cs="宋体" w:eastAsia="宋体" w:hint="default"/>
                <w:spacing w:val="-3"/>
                <w:w w:val="100"/>
                <w:sz w:val="21"/>
                <w:szCs w:val="21"/>
              </w:rPr>
              <w:t>为</w:t>
            </w:r>
            <w:r>
              <w:rPr>
                <w:rFonts w:ascii="宋体" w:hAnsi="宋体" w:cs="宋体" w:eastAsia="宋体" w:hint="default"/>
                <w:w w:val="100"/>
                <w:sz w:val="21"/>
                <w:szCs w:val="21"/>
              </w:rPr>
              <w:t>商</w:t>
            </w:r>
            <w:r>
              <w:rPr>
                <w:rFonts w:ascii="宋体" w:hAnsi="宋体" w:cs="宋体" w:eastAsia="宋体" w:hint="default"/>
                <w:spacing w:val="-3"/>
                <w:w w:val="100"/>
                <w:sz w:val="21"/>
                <w:szCs w:val="21"/>
              </w:rPr>
              <w:t>誉</w:t>
            </w:r>
            <w:r>
              <w:rPr>
                <w:rFonts w:ascii="宋体" w:hAnsi="宋体" w:cs="宋体" w:eastAsia="宋体" w:hint="default"/>
                <w:w w:val="100"/>
                <w:sz w:val="21"/>
                <w:szCs w:val="21"/>
              </w:rPr>
              <w:t>减</w:t>
            </w:r>
            <w:r>
              <w:rPr>
                <w:rFonts w:ascii="宋体" w:hAnsi="宋体" w:cs="宋体" w:eastAsia="宋体" w:hint="default"/>
                <w:spacing w:val="-3"/>
                <w:w w:val="100"/>
                <w:sz w:val="21"/>
                <w:szCs w:val="21"/>
              </w:rPr>
              <w:t>值</w:t>
            </w:r>
            <w:r>
              <w:rPr>
                <w:rFonts w:ascii="宋体" w:hAnsi="宋体" w:cs="宋体" w:eastAsia="宋体" w:hint="default"/>
                <w:w w:val="100"/>
                <w:sz w:val="21"/>
                <w:szCs w:val="21"/>
              </w:rPr>
              <w:t>是我</w:t>
            </w:r>
            <w:r>
              <w:rPr>
                <w:rFonts w:ascii="宋体" w:hAnsi="宋体" w:cs="宋体" w:eastAsia="宋体" w:hint="default"/>
                <w:spacing w:val="-3"/>
                <w:w w:val="100"/>
                <w:sz w:val="21"/>
                <w:szCs w:val="21"/>
              </w:rPr>
              <w:t>们</w:t>
            </w:r>
            <w:r>
              <w:rPr>
                <w:rFonts w:ascii="宋体" w:hAnsi="宋体" w:cs="宋体" w:eastAsia="宋体" w:hint="default"/>
                <w:w w:val="100"/>
                <w:sz w:val="21"/>
                <w:szCs w:val="21"/>
              </w:rPr>
              <w:t>审</w:t>
            </w:r>
            <w:r>
              <w:rPr>
                <w:rFonts w:ascii="宋体" w:hAnsi="宋体" w:cs="宋体" w:eastAsia="宋体" w:hint="default"/>
                <w:spacing w:val="-3"/>
                <w:w w:val="100"/>
                <w:sz w:val="21"/>
                <w:szCs w:val="21"/>
              </w:rPr>
              <w:t>计</w:t>
            </w:r>
            <w:r>
              <w:rPr>
                <w:rFonts w:ascii="宋体" w:hAnsi="宋体" w:cs="宋体" w:eastAsia="宋体" w:hint="default"/>
                <w:w w:val="100"/>
                <w:sz w:val="21"/>
                <w:szCs w:val="21"/>
              </w:rPr>
              <w:t>中</w:t>
            </w:r>
            <w:r>
              <w:rPr>
                <w:rFonts w:ascii="宋体" w:hAnsi="宋体" w:cs="宋体" w:eastAsia="宋体" w:hint="default"/>
                <w:spacing w:val="-3"/>
                <w:w w:val="100"/>
                <w:sz w:val="21"/>
                <w:szCs w:val="21"/>
              </w:rPr>
              <w:t>的</w:t>
            </w:r>
            <w:r>
              <w:rPr>
                <w:rFonts w:ascii="宋体" w:hAnsi="宋体" w:cs="宋体" w:eastAsia="宋体" w:hint="default"/>
                <w:w w:val="100"/>
                <w:sz w:val="21"/>
                <w:szCs w:val="21"/>
              </w:rPr>
              <w:t>关</w:t>
            </w:r>
            <w:r>
              <w:rPr>
                <w:rFonts w:ascii="宋体" w:hAnsi="宋体" w:cs="宋体" w:eastAsia="宋体" w:hint="default"/>
                <w:spacing w:val="-3"/>
                <w:w w:val="100"/>
                <w:sz w:val="21"/>
                <w:szCs w:val="21"/>
              </w:rPr>
              <w:t>键</w:t>
            </w:r>
            <w:r>
              <w:rPr>
                <w:rFonts w:ascii="宋体" w:hAnsi="宋体" w:cs="宋体" w:eastAsia="宋体" w:hint="default"/>
                <w:w w:val="100"/>
                <w:sz w:val="21"/>
                <w:szCs w:val="21"/>
              </w:rPr>
              <w:t>审</w:t>
            </w:r>
            <w:r>
              <w:rPr>
                <w:rFonts w:ascii="宋体" w:hAnsi="宋体" w:cs="宋体" w:eastAsia="宋体" w:hint="default"/>
                <w:spacing w:val="-3"/>
                <w:w w:val="100"/>
                <w:sz w:val="21"/>
                <w:szCs w:val="21"/>
              </w:rPr>
              <w:t>计</w:t>
            </w:r>
            <w:r>
              <w:rPr>
                <w:rFonts w:ascii="宋体" w:hAnsi="宋体" w:cs="宋体" w:eastAsia="宋体" w:hint="default"/>
                <w:w w:val="100"/>
                <w:sz w:val="21"/>
                <w:szCs w:val="21"/>
              </w:rPr>
              <w:t>事</w:t>
            </w:r>
          </w:p>
        </w:tc>
        <w:tc>
          <w:tcPr>
            <w:tcW w:w="4251" w:type="dxa"/>
            <w:tcBorders>
              <w:top w:val="nil" w:sz="6" w:space="0" w:color="auto"/>
              <w:left w:val="single" w:sz="6" w:space="0" w:color="000000"/>
              <w:bottom w:val="nil" w:sz="6" w:space="0" w:color="auto"/>
              <w:right w:val="single" w:sz="6" w:space="0" w:color="000000"/>
            </w:tcBorders>
          </w:tcPr>
          <w:p>
            <w:pPr/>
          </w:p>
        </w:tc>
      </w:tr>
      <w:tr>
        <w:trPr>
          <w:trHeight w:val="330" w:hRule="exact"/>
        </w:trPr>
        <w:tc>
          <w:tcPr>
            <w:tcW w:w="4961" w:type="dxa"/>
            <w:tcBorders>
              <w:top w:val="nil" w:sz="6" w:space="0" w:color="auto"/>
              <w:left w:val="single" w:sz="6" w:space="0" w:color="000000"/>
              <w:bottom w:val="single" w:sz="6" w:space="0" w:color="000000"/>
              <w:right w:val="single" w:sz="6" w:space="0" w:color="000000"/>
            </w:tcBorders>
          </w:tcPr>
          <w:p>
            <w:pPr>
              <w:pStyle w:val="TableParagraph"/>
              <w:spacing w:line="261" w:lineRule="exact"/>
              <w:ind w:left="2" w:right="0"/>
              <w:jc w:val="left"/>
              <w:rPr>
                <w:rFonts w:ascii="宋体" w:hAnsi="宋体" w:cs="宋体" w:eastAsia="宋体" w:hint="default"/>
                <w:sz w:val="21"/>
                <w:szCs w:val="21"/>
              </w:rPr>
            </w:pPr>
            <w:r>
              <w:rPr>
                <w:rFonts w:ascii="宋体" w:hAnsi="宋体" w:cs="宋体" w:eastAsia="宋体" w:hint="default"/>
                <w:sz w:val="21"/>
                <w:szCs w:val="21"/>
              </w:rPr>
              <w:t>项。</w:t>
            </w:r>
          </w:p>
        </w:tc>
        <w:tc>
          <w:tcPr>
            <w:tcW w:w="4251" w:type="dxa"/>
            <w:tcBorders>
              <w:top w:val="nil" w:sz="6" w:space="0" w:color="auto"/>
              <w:left w:val="single" w:sz="6" w:space="0" w:color="000000"/>
              <w:bottom w:val="single" w:sz="6" w:space="0" w:color="000000"/>
              <w:right w:val="single" w:sz="6" w:space="0" w:color="000000"/>
            </w:tcBorders>
          </w:tcPr>
          <w:p>
            <w:pPr/>
          </w:p>
        </w:tc>
      </w:tr>
    </w:tbl>
    <w:p>
      <w:pPr>
        <w:spacing w:line="240" w:lineRule="auto" w:before="9"/>
        <w:rPr>
          <w:rFonts w:ascii="宋体" w:hAnsi="宋体" w:cs="宋体" w:eastAsia="宋体" w:hint="default"/>
          <w:sz w:val="14"/>
          <w:szCs w:val="14"/>
        </w:rPr>
      </w:pPr>
    </w:p>
    <w:p>
      <w:pPr>
        <w:pStyle w:val="Heading5"/>
        <w:spacing w:line="240" w:lineRule="auto" w:before="36"/>
        <w:ind w:left="594" w:right="0"/>
        <w:jc w:val="left"/>
        <w:rPr>
          <w:b w:val="0"/>
          <w:bCs w:val="0"/>
        </w:rPr>
      </w:pPr>
      <w:r>
        <w:rPr/>
        <w:t>四、</w:t>
      </w:r>
      <w:r>
        <w:rPr>
          <w:spacing w:val="-47"/>
        </w:rPr>
        <w:t> </w:t>
      </w:r>
      <w:r>
        <w:rPr>
          <w:rFonts w:ascii="宋体" w:hAnsi="宋体" w:cs="宋体" w:eastAsia="宋体" w:hint="default"/>
          <w:spacing w:val="-47"/>
        </w:rPr>
      </w:r>
      <w:r>
        <w:rPr/>
        <w:t>其他信息</w:t>
      </w:r>
      <w:r>
        <w:rPr>
          <w:b w:val="0"/>
          <w:bCs w:val="0"/>
        </w:rPr>
      </w:r>
    </w:p>
    <w:p>
      <w:pPr>
        <w:spacing w:line="240" w:lineRule="auto" w:before="2"/>
        <w:rPr>
          <w:rFonts w:ascii="宋体" w:hAnsi="宋体" w:cs="宋体" w:eastAsia="宋体" w:hint="default"/>
          <w:b/>
          <w:bCs/>
          <w:sz w:val="21"/>
          <w:szCs w:val="21"/>
        </w:rPr>
      </w:pPr>
    </w:p>
    <w:p>
      <w:pPr>
        <w:pStyle w:val="Heading6"/>
        <w:spacing w:line="273" w:lineRule="auto" w:before="0"/>
        <w:ind w:left="513" w:right="0" w:firstLine="439"/>
        <w:jc w:val="left"/>
        <w:rPr>
          <w:rFonts w:ascii="宋体" w:hAnsi="宋体" w:cs="宋体" w:eastAsia="宋体" w:hint="default"/>
        </w:rPr>
      </w:pPr>
      <w:r>
        <w:rPr>
          <w:spacing w:val="-2"/>
        </w:rPr>
        <w:t>四维图新管理层</w:t>
      </w:r>
      <w:r>
        <w:rPr>
          <w:rFonts w:ascii="宋体" w:hAnsi="宋体" w:cs="宋体" w:eastAsia="宋体" w:hint="default"/>
          <w:spacing w:val="-2"/>
        </w:rPr>
        <w:t>(</w:t>
      </w:r>
      <w:r>
        <w:rPr>
          <w:spacing w:val="-2"/>
        </w:rPr>
        <w:t>以下简称管理层</w:t>
      </w:r>
      <w:r>
        <w:rPr>
          <w:rFonts w:ascii="宋体" w:hAnsi="宋体" w:cs="宋体" w:eastAsia="宋体" w:hint="default"/>
          <w:spacing w:val="-2"/>
        </w:rPr>
        <w:t>)</w:t>
      </w:r>
      <w:r>
        <w:rPr>
          <w:spacing w:val="-2"/>
        </w:rPr>
        <w:t>对其他信息负责。其他信息包括四维图新</w:t>
      </w:r>
      <w:r>
        <w:rPr>
          <w:rFonts w:ascii="宋体" w:hAnsi="宋体" w:cs="宋体" w:eastAsia="宋体" w:hint="default"/>
          <w:spacing w:val="-2"/>
        </w:rPr>
        <w:t>2017</w:t>
      </w:r>
      <w:r>
        <w:rPr>
          <w:spacing w:val="-2"/>
        </w:rPr>
        <w:t>年年度报告中涵</w:t>
      </w:r>
      <w:r>
        <w:rPr>
          <w:w w:val="100"/>
        </w:rPr>
        <w:t> </w:t>
      </w:r>
      <w:r>
        <w:rPr/>
        <w:t>盖的信息，但不包括财务报表和我们的审计报告。</w:t>
      </w:r>
      <w:r>
        <w:rPr>
          <w:rFonts w:ascii="宋体" w:hAnsi="宋体" w:cs="宋体" w:eastAsia="宋体" w:hint="default"/>
        </w:rPr>
        <w:t> </w:t>
      </w:r>
    </w:p>
    <w:p>
      <w:pPr>
        <w:pStyle w:val="Heading6"/>
        <w:spacing w:line="552" w:lineRule="exact" w:before="51"/>
        <w:ind w:left="952" w:right="0" w:firstLine="0"/>
        <w:jc w:val="left"/>
      </w:pPr>
      <w:r>
        <w:rPr>
          <w:spacing w:val="-6"/>
          <w:w w:val="100"/>
        </w:rPr>
        <w:t>我们对财务报表发表的审计意见不涵盖其他信息，我们也不对其他信息发表任何形式的鉴证结论。</w:t>
      </w:r>
      <w:r>
        <w:rPr>
          <w:spacing w:val="-104"/>
          <w:w w:val="100"/>
        </w:rPr>
        <w:t> </w:t>
      </w:r>
      <w:r>
        <w:rPr>
          <w:rFonts w:ascii="宋体" w:hAnsi="宋体" w:cs="宋体" w:eastAsia="宋体" w:hint="default"/>
          <w:spacing w:val="-104"/>
          <w:w w:val="100"/>
        </w:rPr>
      </w:r>
      <w:r>
        <w:rPr/>
        <w:t>结合我们对财务报表的审计，我们的责任是阅读其他信息，在此过程中，考虑其他信息是否与财</w:t>
      </w:r>
    </w:p>
    <w:p>
      <w:pPr>
        <w:pStyle w:val="Heading6"/>
        <w:spacing w:line="231" w:lineRule="exact" w:before="0"/>
        <w:ind w:left="513" w:right="0" w:firstLine="0"/>
        <w:jc w:val="left"/>
        <w:rPr>
          <w:rFonts w:ascii="宋体" w:hAnsi="宋体" w:cs="宋体" w:eastAsia="宋体" w:hint="default"/>
        </w:rPr>
      </w:pPr>
      <w:r>
        <w:rPr/>
        <w:t>务报表或我们在审计过程中了解到的情况存在重大不一致或者似乎存在重大错报。</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Heading6"/>
        <w:spacing w:line="240" w:lineRule="auto" w:before="0"/>
        <w:ind w:left="952" w:right="0" w:firstLine="0"/>
        <w:jc w:val="left"/>
      </w:pPr>
      <w:r>
        <w:rPr>
          <w:spacing w:val="-6"/>
        </w:rPr>
        <w:t>基于我们已执行的工作，如果我们确定其他信息存在重大错报，我们应当报告该事实。在这方面，</w:t>
      </w:r>
    </w:p>
    <w:p>
      <w:pPr>
        <w:spacing w:after="0" w:line="240" w:lineRule="auto"/>
        <w:jc w:val="left"/>
        <w:sectPr>
          <w:footerReference w:type="default" r:id="rId42"/>
          <w:pgSz w:w="11910" w:h="16840"/>
          <w:pgMar w:footer="979" w:header="745" w:top="1060" w:bottom="1160" w:left="980" w:right="920"/>
          <w:pgNumType w:start="101"/>
        </w:sectPr>
      </w:pPr>
    </w:p>
    <w:p>
      <w:pPr>
        <w:spacing w:line="240" w:lineRule="auto" w:before="10"/>
        <w:rPr>
          <w:rFonts w:ascii="宋体" w:hAnsi="宋体" w:cs="宋体" w:eastAsia="宋体" w:hint="default"/>
          <w:sz w:val="24"/>
          <w:szCs w:val="24"/>
        </w:rPr>
      </w:pPr>
    </w:p>
    <w:p>
      <w:pPr>
        <w:pStyle w:val="Heading6"/>
        <w:spacing w:line="240" w:lineRule="auto" w:before="36"/>
        <w:ind w:left="513" w:right="0" w:firstLine="0"/>
        <w:jc w:val="left"/>
        <w:rPr>
          <w:rFonts w:ascii="宋体" w:hAnsi="宋体" w:cs="宋体" w:eastAsia="宋体" w:hint="default"/>
        </w:rPr>
      </w:pPr>
      <w:r>
        <w:rPr/>
        <w:t>我们无任何事项需要报告。</w:t>
      </w:r>
      <w:r>
        <w:rPr>
          <w:rFonts w:ascii="宋体" w:hAnsi="宋体" w:cs="宋体" w:eastAsia="宋体" w:hint="default"/>
        </w:rPr>
        <w:t> </w:t>
      </w:r>
    </w:p>
    <w:p>
      <w:pPr>
        <w:spacing w:line="550" w:lineRule="atLeast" w:before="2"/>
        <w:ind w:left="952" w:right="0" w:hanging="358"/>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50"/>
          <w:sz w:val="21"/>
          <w:szCs w:val="21"/>
        </w:rPr>
        <w:t> </w:t>
      </w:r>
      <w:r>
        <w:rPr>
          <w:rFonts w:ascii="宋体" w:hAnsi="宋体" w:cs="宋体" w:eastAsia="宋体" w:hint="default"/>
          <w:b/>
          <w:bCs/>
          <w:spacing w:val="-50"/>
          <w:sz w:val="21"/>
          <w:szCs w:val="21"/>
        </w:rPr>
      </w:r>
      <w:r>
        <w:rPr>
          <w:rFonts w:ascii="宋体" w:hAnsi="宋体" w:cs="宋体" w:eastAsia="宋体" w:hint="default"/>
          <w:b/>
          <w:bCs/>
          <w:sz w:val="21"/>
          <w:szCs w:val="21"/>
        </w:rPr>
        <w:t>管理层和治理层对财务报表的责任</w:t>
      </w:r>
      <w:r>
        <w:rPr>
          <w:rFonts w:ascii="宋体" w:hAnsi="宋体" w:cs="宋体" w:eastAsia="宋体" w:hint="default"/>
          <w:b/>
          <w:bCs/>
          <w:spacing w:val="-3"/>
          <w:w w:val="99"/>
          <w:sz w:val="21"/>
          <w:szCs w:val="21"/>
        </w:rPr>
        <w:t> </w:t>
      </w:r>
      <w:r>
        <w:rPr>
          <w:rFonts w:ascii="宋体" w:hAnsi="宋体" w:cs="宋体" w:eastAsia="宋体" w:hint="default"/>
          <w:b/>
          <w:bCs/>
          <w:w w:val="99"/>
          <w:sz w:val="21"/>
          <w:szCs w:val="21"/>
        </w:rPr>
        <w:t> </w:t>
      </w:r>
      <w:r>
        <w:rPr>
          <w:rFonts w:ascii="宋体" w:hAnsi="宋体" w:cs="宋体" w:eastAsia="宋体" w:hint="default"/>
          <w:spacing w:val="-2"/>
          <w:sz w:val="21"/>
          <w:szCs w:val="21"/>
        </w:rPr>
        <w:t>管理层负责按照企业会计准则的规定编制财务报表，使其实现公允反映，并设计、执行和维护必</w:t>
      </w:r>
    </w:p>
    <w:p>
      <w:pPr>
        <w:pStyle w:val="Heading6"/>
        <w:spacing w:line="240" w:lineRule="auto" w:before="37"/>
        <w:ind w:left="513" w:right="0" w:firstLine="0"/>
        <w:jc w:val="left"/>
        <w:rPr>
          <w:rFonts w:ascii="宋体" w:hAnsi="宋体" w:cs="宋体" w:eastAsia="宋体" w:hint="default"/>
        </w:rPr>
      </w:pPr>
      <w:r>
        <w:rPr/>
        <w:t>要的内部控制，以使财务报表不存在由于舞弊或错误导致的重大错报。</w:t>
      </w:r>
      <w:r>
        <w:rPr>
          <w:rFonts w:ascii="宋体" w:hAnsi="宋体" w:cs="宋体" w:eastAsia="宋体" w:hint="default"/>
          <w:spacing w:val="-3"/>
        </w:rPr>
        <w:t> </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Heading6"/>
        <w:spacing w:line="273" w:lineRule="auto" w:before="0"/>
        <w:ind w:left="513" w:right="163" w:firstLine="439"/>
        <w:jc w:val="both"/>
        <w:rPr>
          <w:rFonts w:ascii="宋体" w:hAnsi="宋体" w:cs="宋体" w:eastAsia="宋体" w:hint="default"/>
        </w:rPr>
      </w:pPr>
      <w:r>
        <w:rPr>
          <w:spacing w:val="-2"/>
        </w:rPr>
        <w:t>在编制财务报表时，管理层负责评估四维图新的持续经营能力，披露与持续经营相关的事项（如</w:t>
      </w:r>
      <w:r>
        <w:rPr>
          <w:w w:val="100"/>
        </w:rPr>
        <w:t> </w:t>
      </w:r>
      <w:r>
        <w:rPr/>
        <w:t>适用），并运用持续经营假设，除非管理层计划清算四维图新、终止运营或别无其他现实的选择。</w:t>
      </w:r>
      <w:r>
        <w:rPr>
          <w:rFonts w:ascii="宋体" w:hAnsi="宋体" w:cs="宋体" w:eastAsia="宋体" w:hint="default"/>
        </w:rPr>
        <w:t> </w:t>
      </w:r>
    </w:p>
    <w:p>
      <w:pPr>
        <w:spacing w:line="240" w:lineRule="auto" w:before="12"/>
        <w:rPr>
          <w:rFonts w:ascii="宋体" w:hAnsi="宋体" w:cs="宋体" w:eastAsia="宋体" w:hint="default"/>
          <w:sz w:val="18"/>
          <w:szCs w:val="18"/>
        </w:rPr>
      </w:pPr>
    </w:p>
    <w:p>
      <w:pPr>
        <w:spacing w:line="482" w:lineRule="auto" w:before="0"/>
        <w:ind w:left="594" w:right="4734" w:firstLine="357"/>
        <w:jc w:val="left"/>
        <w:rPr>
          <w:rFonts w:ascii="宋体" w:hAnsi="宋体" w:cs="宋体" w:eastAsia="宋体" w:hint="default"/>
          <w:sz w:val="21"/>
          <w:szCs w:val="21"/>
        </w:rPr>
      </w:pPr>
      <w:r>
        <w:rPr>
          <w:rFonts w:ascii="宋体" w:hAnsi="宋体" w:cs="宋体" w:eastAsia="宋体" w:hint="default"/>
          <w:sz w:val="21"/>
          <w:szCs w:val="21"/>
        </w:rPr>
        <w:t>治理层负责监督四维图新的财务报告过程。</w:t>
      </w:r>
      <w:r>
        <w:rPr>
          <w:rFonts w:ascii="宋体" w:hAnsi="宋体" w:cs="宋体" w:eastAsia="宋体" w:hint="default"/>
          <w:w w:val="100"/>
          <w:sz w:val="21"/>
          <w:szCs w:val="21"/>
        </w:rPr>
        <w:t> </w:t>
      </w:r>
      <w:r>
        <w:rPr>
          <w:rFonts w:ascii="宋体" w:hAnsi="宋体" w:cs="宋体" w:eastAsia="宋体" w:hint="default"/>
          <w:b/>
          <w:bCs/>
          <w:sz w:val="21"/>
          <w:szCs w:val="21"/>
        </w:rPr>
        <w:t>六、</w:t>
      </w:r>
      <w:r>
        <w:rPr>
          <w:rFonts w:ascii="宋体" w:hAnsi="宋体" w:cs="宋体" w:eastAsia="宋体" w:hint="default"/>
          <w:b/>
          <w:bCs/>
          <w:spacing w:val="-51"/>
          <w:sz w:val="21"/>
          <w:szCs w:val="21"/>
        </w:rPr>
        <w:t> </w:t>
      </w:r>
      <w:r>
        <w:rPr>
          <w:rFonts w:ascii="宋体" w:hAnsi="宋体" w:cs="宋体" w:eastAsia="宋体" w:hint="default"/>
          <w:b/>
          <w:bCs/>
          <w:spacing w:val="-51"/>
          <w:sz w:val="21"/>
          <w:szCs w:val="21"/>
        </w:rPr>
      </w:r>
      <w:r>
        <w:rPr>
          <w:rFonts w:ascii="宋体" w:hAnsi="宋体" w:cs="宋体" w:eastAsia="宋体" w:hint="default"/>
          <w:b/>
          <w:bCs/>
          <w:sz w:val="21"/>
          <w:szCs w:val="21"/>
        </w:rPr>
        <w:t>注册会计师对财务报表审计的责任</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6"/>
        <w:spacing w:line="273" w:lineRule="auto" w:before="65"/>
        <w:ind w:left="513" w:right="163" w:firstLine="439"/>
        <w:jc w:val="both"/>
        <w:rPr>
          <w:rFonts w:ascii="宋体" w:hAnsi="宋体" w:cs="宋体" w:eastAsia="宋体" w:hint="default"/>
        </w:rPr>
      </w:pPr>
      <w:r>
        <w:rPr>
          <w:spacing w:val="-2"/>
        </w:rPr>
        <w:t>我们的目标是对财务报表整体是否不存在由于舞弊或错误导致的重大错报获取合理保证，并出具</w:t>
      </w:r>
      <w:r>
        <w:rPr>
          <w:w w:val="100"/>
        </w:rPr>
        <w:t> </w:t>
      </w:r>
      <w:r>
        <w:rPr>
          <w:spacing w:val="-2"/>
        </w:rPr>
        <w:t>包含审计意见的审计报告。合理保证是高水平的保证，但并不能保证按照审计准则执行的审计在某一</w:t>
      </w:r>
      <w:r>
        <w:rPr>
          <w:spacing w:val="-21"/>
        </w:rPr>
        <w:t> </w:t>
      </w:r>
      <w:r>
        <w:rPr>
          <w:spacing w:val="-21"/>
        </w:rPr>
      </w:r>
      <w:r>
        <w:rPr>
          <w:spacing w:val="-2"/>
        </w:rPr>
        <w:t>重大错报存在时总能发现。错报可能由于舞弊或错误导致，如果合理预期错报单独或汇总起来可能影</w:t>
      </w:r>
      <w:r>
        <w:rPr>
          <w:spacing w:val="-21"/>
        </w:rPr>
        <w:t> </w:t>
      </w:r>
      <w:r>
        <w:rPr>
          <w:spacing w:val="-21"/>
        </w:rPr>
      </w:r>
      <w:r>
        <w:rPr/>
        <w:t>响财务报表使用者依据财务报表作出的经济决策，则通常认为错报是重大的。</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73" w:lineRule="auto" w:before="0"/>
        <w:ind w:left="513" w:right="163" w:firstLine="439"/>
        <w:jc w:val="both"/>
        <w:rPr>
          <w:rFonts w:ascii="宋体" w:hAnsi="宋体" w:cs="宋体" w:eastAsia="宋体" w:hint="default"/>
        </w:rPr>
      </w:pPr>
      <w:r>
        <w:rPr>
          <w:spacing w:val="-2"/>
        </w:rPr>
        <w:t>在按照审计准则执行审计工作的过程中，我们运用职业判断，并保持职业怀疑。同时，我们也执</w:t>
      </w:r>
      <w:r>
        <w:rPr>
          <w:w w:val="100"/>
        </w:rPr>
        <w:t> </w:t>
      </w:r>
      <w:r>
        <w:rPr/>
        <w:t>行以下工作：</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73" w:lineRule="auto" w:before="0"/>
        <w:ind w:left="513" w:right="148" w:firstLine="439"/>
        <w:jc w:val="both"/>
        <w:rPr>
          <w:rFonts w:ascii="宋体" w:hAnsi="宋体" w:cs="宋体" w:eastAsia="宋体" w:hint="default"/>
        </w:rPr>
      </w:pPr>
      <w:r>
        <w:rPr>
          <w:spacing w:val="-4"/>
        </w:rPr>
        <w:t>（</w:t>
      </w:r>
      <w:r>
        <w:rPr>
          <w:rFonts w:ascii="宋体" w:hAnsi="宋体" w:cs="宋体" w:eastAsia="宋体" w:hint="default"/>
          <w:spacing w:val="-4"/>
        </w:rPr>
        <w:t>1</w:t>
      </w:r>
      <w:r>
        <w:rPr>
          <w:spacing w:val="-4"/>
        </w:rPr>
        <w:t>）识别和评估由于舞弊或错误导致的财务报表重大错报风险，设计和实施审计程序以应对这些</w:t>
      </w:r>
      <w:r>
        <w:rPr>
          <w:w w:val="100"/>
        </w:rPr>
        <w:t> </w:t>
      </w:r>
      <w:r>
        <w:rPr>
          <w:spacing w:val="-2"/>
        </w:rPr>
        <w:t>风险，并获取充分、适当的审计证据，作为发表审计意见的基础。由于舞弊可能涉及串通、伪造、故</w:t>
      </w:r>
      <w:r>
        <w:rPr>
          <w:spacing w:val="-21"/>
        </w:rPr>
        <w:t> </w:t>
      </w:r>
      <w:r>
        <w:rPr>
          <w:spacing w:val="-21"/>
        </w:rPr>
      </w:r>
      <w:r>
        <w:rPr>
          <w:spacing w:val="-2"/>
        </w:rPr>
        <w:t>意遗漏、虚假陈述或凌驾于内部控制之上，未能发现由于舞弊导致的重大错报的风险高于未能发现由</w:t>
      </w:r>
      <w:r>
        <w:rPr>
          <w:spacing w:val="-21"/>
        </w:rPr>
        <w:t> </w:t>
      </w:r>
      <w:r>
        <w:rPr>
          <w:spacing w:val="-21"/>
        </w:rPr>
      </w:r>
      <w:r>
        <w:rPr/>
        <w:t>于错误导致的重大错报的风险。</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73" w:lineRule="auto" w:before="0"/>
        <w:ind w:left="513" w:right="151" w:firstLine="439"/>
        <w:jc w:val="both"/>
        <w:rPr>
          <w:rFonts w:ascii="宋体" w:hAnsi="宋体" w:cs="宋体" w:eastAsia="宋体" w:hint="default"/>
        </w:rPr>
      </w:pPr>
      <w:r>
        <w:rPr>
          <w:spacing w:val="-4"/>
        </w:rPr>
        <w:t>（</w:t>
      </w:r>
      <w:r>
        <w:rPr>
          <w:rFonts w:ascii="宋体" w:hAnsi="宋体" w:cs="宋体" w:eastAsia="宋体" w:hint="default"/>
          <w:spacing w:val="-4"/>
        </w:rPr>
        <w:t>2</w:t>
      </w:r>
      <w:r>
        <w:rPr>
          <w:spacing w:val="-4"/>
        </w:rPr>
        <w:t>）了解与审计相关的内部控制，以设计恰当的审计程序，但目的并非对内部控制的有效性发表</w:t>
      </w:r>
      <w:r>
        <w:rPr>
          <w:w w:val="100"/>
        </w:rPr>
        <w:t> </w:t>
      </w:r>
      <w:r>
        <w:rPr/>
        <w:t>意见。</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40" w:lineRule="auto" w:before="0"/>
        <w:ind w:left="952" w:right="0" w:firstLine="0"/>
        <w:jc w:val="left"/>
        <w:rPr>
          <w:rFonts w:ascii="宋体" w:hAnsi="宋体" w:cs="宋体" w:eastAsia="宋体" w:hint="default"/>
        </w:rPr>
      </w:pPr>
      <w:r>
        <w:rPr/>
        <w:t>（</w:t>
      </w:r>
      <w:r>
        <w:rPr>
          <w:rFonts w:ascii="宋体" w:hAnsi="宋体" w:cs="宋体" w:eastAsia="宋体" w:hint="default"/>
        </w:rPr>
        <w:t>3</w:t>
      </w:r>
      <w:r>
        <w:rPr/>
        <w:t>）评价管理层选用会计政策的恰当性和作出会计估计及相关披露的合理性。</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Heading6"/>
        <w:spacing w:line="273" w:lineRule="auto" w:before="0"/>
        <w:ind w:left="513" w:right="151" w:firstLine="439"/>
        <w:jc w:val="both"/>
        <w:rPr>
          <w:rFonts w:ascii="宋体" w:hAnsi="宋体" w:cs="宋体" w:eastAsia="宋体" w:hint="default"/>
        </w:rPr>
      </w:pPr>
      <w:r>
        <w:rPr>
          <w:spacing w:val="-4"/>
        </w:rPr>
        <w:t>（</w:t>
      </w:r>
      <w:r>
        <w:rPr>
          <w:rFonts w:ascii="宋体" w:hAnsi="宋体" w:cs="宋体" w:eastAsia="宋体" w:hint="default"/>
          <w:spacing w:val="-4"/>
        </w:rPr>
        <w:t>4</w:t>
      </w:r>
      <w:r>
        <w:rPr>
          <w:spacing w:val="-4"/>
        </w:rPr>
        <w:t>）对管理层使用持续经营假设的恰当性得出结论。同时，根据获取的审计证据，就可能导致对</w:t>
      </w:r>
      <w:r>
        <w:rPr>
          <w:w w:val="100"/>
        </w:rPr>
        <w:t> </w:t>
      </w:r>
      <w:r>
        <w:rPr>
          <w:spacing w:val="-2"/>
        </w:rPr>
        <w:t>四维图新持续经营能力产生重大疑虑的事项或情况是否存在重大不确定性得出结论。如果我们得出结</w:t>
      </w:r>
      <w:r>
        <w:rPr>
          <w:spacing w:val="-22"/>
        </w:rPr>
        <w:t> </w:t>
      </w:r>
      <w:r>
        <w:rPr>
          <w:spacing w:val="-22"/>
        </w:rPr>
      </w:r>
      <w:r>
        <w:rPr>
          <w:spacing w:val="-2"/>
        </w:rPr>
        <w:t>论认为存在重大不确定性，审计准则要求我们在审计报告中提请报表使用者注意财务报表中的相关披</w:t>
      </w:r>
      <w:r>
        <w:rPr>
          <w:spacing w:val="-21"/>
        </w:rPr>
        <w:t> </w:t>
      </w:r>
      <w:r>
        <w:rPr>
          <w:spacing w:val="-21"/>
        </w:rPr>
      </w:r>
      <w:r>
        <w:rPr>
          <w:spacing w:val="-2"/>
        </w:rPr>
        <w:t>露；如果披露不充分，我们应当发表非无保留意见。我们的结论基于截至审计报告日可获得的信息。</w:t>
      </w:r>
      <w:r>
        <w:rPr>
          <w:spacing w:val="-21"/>
        </w:rPr>
        <w:t> </w:t>
      </w:r>
      <w:r>
        <w:rPr>
          <w:spacing w:val="-21"/>
        </w:rPr>
      </w:r>
      <w:r>
        <w:rPr/>
        <w:t>然而，未来的事项或情况可能导致四维图新不能持续经营。</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73" w:lineRule="auto" w:before="0"/>
        <w:ind w:left="513" w:right="149" w:firstLine="439"/>
        <w:jc w:val="both"/>
        <w:rPr>
          <w:rFonts w:ascii="宋体" w:hAnsi="宋体" w:cs="宋体" w:eastAsia="宋体" w:hint="default"/>
        </w:rPr>
      </w:pPr>
      <w:r>
        <w:rPr>
          <w:spacing w:val="-4"/>
        </w:rPr>
        <w:t>（</w:t>
      </w:r>
      <w:r>
        <w:rPr>
          <w:rFonts w:ascii="宋体" w:hAnsi="宋体" w:cs="宋体" w:eastAsia="宋体" w:hint="default"/>
          <w:spacing w:val="-4"/>
        </w:rPr>
        <w:t>5</w:t>
      </w:r>
      <w:r>
        <w:rPr>
          <w:spacing w:val="-4"/>
        </w:rPr>
        <w:t>）评价财务报表的总体列报、结构和内容（包括披露），并评价财务报表是否公允反映相关交</w:t>
      </w:r>
      <w:r>
        <w:rPr>
          <w:w w:val="100"/>
        </w:rPr>
        <w:t> </w:t>
      </w:r>
      <w:r>
        <w:rPr/>
        <w:t>易和事项。</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73" w:lineRule="auto" w:before="0"/>
        <w:ind w:left="513" w:right="149" w:firstLine="439"/>
        <w:jc w:val="both"/>
        <w:rPr>
          <w:rFonts w:ascii="宋体" w:hAnsi="宋体" w:cs="宋体" w:eastAsia="宋体" w:hint="default"/>
        </w:rPr>
      </w:pPr>
      <w:r>
        <w:rPr>
          <w:spacing w:val="-4"/>
        </w:rPr>
        <w:t>（</w:t>
      </w:r>
      <w:r>
        <w:rPr>
          <w:rFonts w:ascii="宋体" w:hAnsi="宋体" w:cs="宋体" w:eastAsia="宋体" w:hint="default"/>
          <w:spacing w:val="-4"/>
        </w:rPr>
        <w:t>6</w:t>
      </w:r>
      <w:r>
        <w:rPr>
          <w:spacing w:val="-4"/>
        </w:rPr>
        <w:t>）就四维图新中实体或业务活动的财务信息获取充分、适当的审计证据，以对财务报表发表审</w:t>
      </w:r>
      <w:r>
        <w:rPr>
          <w:w w:val="100"/>
        </w:rPr>
        <w:t> </w:t>
      </w:r>
      <w:r>
        <w:rPr/>
        <w:t>计意见。我们负责指导、监督和执行集团审计，并对审计意见承担全部责任。</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73" w:lineRule="auto" w:before="0"/>
        <w:ind w:left="513" w:right="163" w:firstLine="439"/>
        <w:jc w:val="both"/>
        <w:rPr>
          <w:rFonts w:ascii="宋体" w:hAnsi="宋体" w:cs="宋体" w:eastAsia="宋体" w:hint="default"/>
        </w:rPr>
      </w:pPr>
      <w:r>
        <w:rPr>
          <w:spacing w:val="-2"/>
        </w:rPr>
        <w:t>我们与治理层就计划的审计范围、时间安排和重大审计发现等事项进行沟通，包括沟通我们在审</w:t>
      </w:r>
      <w:r>
        <w:rPr>
          <w:w w:val="100"/>
        </w:rPr>
        <w:t> </w:t>
      </w:r>
      <w:r>
        <w:rPr/>
        <w:t>计中识别出的值得关注的内部控制缺陷。</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6"/>
        <w:spacing w:line="240" w:lineRule="auto" w:before="0"/>
        <w:ind w:left="952" w:right="0" w:firstLine="0"/>
        <w:jc w:val="left"/>
      </w:pPr>
      <w:r>
        <w:rPr/>
        <w:t>我们还就已遵守与独立性相关的职业道德要求向治理层提供声明，并与治理层沟通可能被合理认</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6"/>
        <w:spacing w:line="240" w:lineRule="auto" w:before="36"/>
        <w:ind w:left="513" w:right="0" w:firstLine="0"/>
        <w:jc w:val="left"/>
        <w:rPr>
          <w:rFonts w:ascii="宋体" w:hAnsi="宋体" w:cs="宋体" w:eastAsia="宋体" w:hint="default"/>
        </w:rPr>
      </w:pPr>
      <w:r>
        <w:rPr/>
        <w:t>为影响我们独立性的所有关系和其他事项，以及相关的防范措施（如适用）。</w:t>
      </w:r>
      <w:r>
        <w:rPr>
          <w:rFonts w:ascii="宋体" w:hAnsi="宋体" w:cs="宋体" w:eastAsia="宋体" w:hint="default"/>
        </w:rPr>
        <w:t> </w:t>
      </w:r>
    </w:p>
    <w:p>
      <w:pPr>
        <w:spacing w:line="240" w:lineRule="auto" w:before="3"/>
        <w:rPr>
          <w:rFonts w:ascii="宋体" w:hAnsi="宋体" w:cs="宋体" w:eastAsia="宋体" w:hint="default"/>
          <w:sz w:val="21"/>
          <w:szCs w:val="21"/>
        </w:rPr>
      </w:pPr>
    </w:p>
    <w:p>
      <w:pPr>
        <w:pStyle w:val="Heading6"/>
        <w:spacing w:line="273" w:lineRule="auto" w:before="0"/>
        <w:ind w:left="513" w:right="148" w:firstLine="439"/>
        <w:jc w:val="both"/>
        <w:rPr>
          <w:rFonts w:ascii="宋体" w:hAnsi="宋体" w:cs="宋体" w:eastAsia="宋体" w:hint="default"/>
        </w:rPr>
      </w:pPr>
      <w:r>
        <w:rPr>
          <w:spacing w:val="-2"/>
        </w:rPr>
        <w:t>从与治理层沟通过的事项中，我们确定哪些事项对本期财务报表审计最为重要，因而构成关键审</w:t>
      </w:r>
      <w:r>
        <w:rPr>
          <w:w w:val="100"/>
        </w:rPr>
        <w:t> </w:t>
      </w:r>
      <w:r>
        <w:rPr>
          <w:spacing w:val="-6"/>
        </w:rPr>
        <w:t>计事项。我们在审计报告中描述这些事项，除非法律法规禁止公开披露这些事项，或在极少数情形下，</w:t>
      </w:r>
      <w:r>
        <w:rPr>
          <w:spacing w:val="-17"/>
        </w:rPr>
        <w:t> </w:t>
      </w:r>
      <w:r>
        <w:rPr>
          <w:spacing w:val="-17"/>
        </w:rPr>
      </w:r>
      <w:r>
        <w:rPr>
          <w:spacing w:val="-2"/>
        </w:rPr>
        <w:t>如果合理预期在审计报告中沟通某事项造成的负面后果超过在公众利益方面产生的益处，我们确定不</w:t>
      </w:r>
      <w:r>
        <w:rPr>
          <w:spacing w:val="-21"/>
        </w:rPr>
        <w:t> </w:t>
      </w:r>
      <w:r>
        <w:rPr>
          <w:spacing w:val="-21"/>
        </w:rPr>
      </w:r>
      <w:r>
        <w:rPr/>
        <w:t>应在审计报告中沟通该事项。</w:t>
      </w:r>
      <w:r>
        <w:rPr>
          <w:rFonts w:ascii="宋体" w:hAnsi="宋体" w:cs="宋体" w:eastAsia="宋体" w:hint="default"/>
        </w:rPr>
        <w:t> </w:t>
      </w:r>
    </w:p>
    <w:p>
      <w:pPr>
        <w:spacing w:line="240" w:lineRule="auto" w:before="8"/>
        <w:rPr>
          <w:rFonts w:ascii="宋体" w:hAnsi="宋体" w:cs="宋体" w:eastAsia="宋体" w:hint="default"/>
          <w:sz w:val="21"/>
          <w:szCs w:val="21"/>
        </w:rPr>
      </w:pPr>
    </w:p>
    <w:p>
      <w:pPr>
        <w:pStyle w:val="Heading3"/>
        <w:spacing w:line="240" w:lineRule="auto"/>
        <w:ind w:right="0"/>
        <w:jc w:val="left"/>
        <w:rPr>
          <w:b w:val="0"/>
          <w:bCs w:val="0"/>
        </w:rPr>
      </w:pPr>
      <w:r>
        <w:rPr/>
        <w:t>二、财务报表</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0"/>
        <w:jc w:val="left"/>
      </w:pPr>
      <w:r>
        <w:rPr/>
        <w:t>财务附注中报表的单位为：人民币元</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1</w:t>
      </w:r>
      <w:r>
        <w:rPr/>
        <w:t>、合并资产负债表</w:t>
      </w:r>
      <w:r>
        <w:rPr>
          <w:b w:val="0"/>
          <w:bCs w:val="0"/>
        </w:rPr>
      </w:r>
    </w:p>
    <w:p>
      <w:pPr>
        <w:spacing w:line="240" w:lineRule="auto" w:before="13"/>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980"/>
        </w:sectPr>
      </w:pPr>
    </w:p>
    <w:p>
      <w:pPr>
        <w:pStyle w:val="BodyText"/>
        <w:spacing w:line="240" w:lineRule="auto" w:before="44"/>
        <w:ind w:right="-20"/>
        <w:jc w:val="left"/>
      </w:pPr>
      <w:r>
        <w:rPr/>
        <w:t>编制单位：北京四维图新科技股份有限公司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1"/>
        <w:ind w:right="-14"/>
        <w:jc w:val="left"/>
      </w:pP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8"/>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right="0"/>
        <w:jc w:val="left"/>
      </w:pPr>
      <w:r>
        <w:rPr/>
        <w:t>单位：元</w:t>
      </w:r>
    </w:p>
    <w:p>
      <w:pPr>
        <w:spacing w:after="0" w:line="240" w:lineRule="auto"/>
        <w:jc w:val="left"/>
        <w:sectPr>
          <w:type w:val="continuous"/>
          <w:pgSz w:w="11910" w:h="16840"/>
          <w:pgMar w:top="1060" w:bottom="1160" w:left="980" w:right="980"/>
          <w:cols w:num="3" w:equalWidth="0">
            <w:col w:w="3573" w:space="503"/>
            <w:col w:w="1641" w:space="3203"/>
            <w:col w:w="1030"/>
          </w:cols>
        </w:sectPr>
      </w:pP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3,443,447,257.54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1,724,246,122.81</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结算备付金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拆出资金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2"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 损益的金融资产</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101,274,757.52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54,726,880.85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626,954,316.42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411,107,244.03</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预付款项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35,646,837.96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28,603,273.75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应收保费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应收分保账款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应收分保合同准备金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35,500,706.76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7,340,196.63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应收股利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23,924,933.06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30,249,616.83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40,778,474.53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买入返售金融资产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79,888,388.01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57,905,786.88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持有待售的资产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3,453,582.34</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137,556,506.25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15,802,455.69</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4,514,443,320.35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2,345,964,017.51</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发放贷款及垫款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可供出售金融资产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224,685,199.66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141,375,897.26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持有至到期投资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长期股权投资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82,766,100.44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41,400,418.46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投资性房地产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647,443,991.80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139,273,919.82</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在建工程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626,635,185.76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工程物资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固定资产清理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生产性生物资产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油气资产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无形资产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597,060,326.99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221,512,917.24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开发支出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307,251,268.16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222,305,532.15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商誉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3,324,579,146.37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314,538,036.60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长期待摊费用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30,189,409.57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8,993,792.22</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39,880,682.22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30,460,039.40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30,617,659.26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29,782,967.27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5,284,473,784.47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1,776,278,706.18</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9,798,917,104.82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4,122,242,723.69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短期借款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21,920,400.00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向中央银行借款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吸收存款及同业存放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拆入资金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 损益的金融负债</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5,724,911.00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771,579.00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116,651,648.93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114,287,355.93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预收款项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42,104,914.52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57,485,537.41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卖出回购金融资产款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应付手续费及佣金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296,719,642.27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156,149,911.39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应交税费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73,607,218.16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56,749,881.18</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327,710.00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应付股利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2,240,998,697.04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459,167,786.79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应付分保账款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保险合同准备金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代理买卖证券款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代理承销证券款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持有待售的负债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52,739,126.60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59,582,851.04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2,828,866,706.47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926,443,012.74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长期借款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应付债券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专项应付款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预计负债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46,099,808.20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24,203,355.39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96,099,808.20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24,203,355.39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2,924,966,514.67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950,646,368.13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股本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1,282,615,013.00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1,066,527,265.00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其他权益工具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资本公积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4,205,523,831.08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883,679,794.78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减：库存股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77,973,177.02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157,907,497.44</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其他综合收益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5,933,809.71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-1,404,265.09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专项储备</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盈余公积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109,115,366.29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106,213,813.12</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一般风险准备</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未分配利润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1,110,939,772.85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896,308,435.34</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6,636,154,615.91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2,793,417,545.71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237,795,974.24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378,178,809.85</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6,873,950,590.15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3,171,596,355.56</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9,798,917,104.82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4,122,242,723.69</w:t>
            </w:r>
          </w:p>
        </w:tc>
      </w:tr>
    </w:tbl>
    <w:p>
      <w:pPr>
        <w:spacing w:line="240" w:lineRule="auto" w:before="11"/>
        <w:rPr>
          <w:rFonts w:ascii="Times New Roman" w:hAnsi="Times New Roman" w:cs="Times New Roman" w:eastAsia="Times New Roman" w:hint="default"/>
          <w:sz w:val="22"/>
          <w:szCs w:val="22"/>
        </w:rPr>
      </w:pPr>
    </w:p>
    <w:p>
      <w:pPr>
        <w:pStyle w:val="BodyText"/>
        <w:tabs>
          <w:tab w:pos="3514" w:val="left" w:leader="none"/>
          <w:tab w:pos="7566" w:val="left" w:leader="none"/>
        </w:tabs>
        <w:spacing w:line="240" w:lineRule="auto" w:before="44"/>
        <w:ind w:left="0" w:right="245"/>
        <w:jc w:val="right"/>
      </w:pPr>
      <w:r>
        <w:rPr/>
        <w:t>法定代表人：吴劲风</w:t>
        <w:tab/>
      </w:r>
      <w:r>
        <w:rPr>
          <w:spacing w:val="-1"/>
        </w:rPr>
        <w:t>主管会计工作负责人：唐伟</w:t>
        <w:tab/>
      </w:r>
      <w:r>
        <w:rPr/>
        <w:t>会计机构负责人：姜晓明</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2</w:t>
      </w:r>
      <w:r>
        <w:rPr/>
        <w:t>、母公司资产负债表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51"/>
        <w:jc w:val="right"/>
      </w:pPr>
      <w:r>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1,969,466,463.38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985,042,715.09</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 损益的金融资产</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55,368,510.91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23,839,678.61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243,558,092.30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245,292,043.47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预付款项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83,679.99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2,248,635.66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32,170,946.09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3,410,581.31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应收股利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59,616,965.35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47,869,898.35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20,675,948.61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150,943.39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306,283.20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持有待售的资产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35,110,350.00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201,805.38</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8,313,642.32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86,773.25</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2,451,709,492.08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1,281,104,464.58</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可供出售金融资产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183,801,153.31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113,191,830.50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持有至到期投资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长期股权投资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5,187,668,818.34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1,068,742,622.39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投资性房地产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547,248,654.49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55,292,904.79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在建工程</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626,635,185.76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工程物资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固定资产清理</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生产性生物资产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油气资产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无形资产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277,753,614.70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42,918,710.19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开发支出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180,260,173.01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152,248,485.82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商誉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长期待摊费用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17,662,511.14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1,119,030.21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19,771,711.51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18,528,436.68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26,043,719.26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56,890,011.13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6,440,210,355.76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2,135,567,217.47</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8,891,919,847.84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3,416,671,682.05</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短期借款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以公允价值计量且其变动计入当期 损益的金融负债</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衍生金融负债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1,651,603.95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40,550,111.55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预收款项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447,630.41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3,911,049.50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125,441,815.79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84,642,346.98</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应交税费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33,938,463.66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25,422,775.91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应付利息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应付股利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其他应付款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2,201,168,865.17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522,098,766.78</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持有待售的负债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一年内到期的非流动负债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26,279,290.73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29,876,687.83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2,389,248,217.66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706,501,738.55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长期借款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应付债券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长期应付职工薪酬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专项应付款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预计负债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1,204,000.00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递延所得税负债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其他非流动负债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51,204,000.00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2,440,452,217.66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706,501,738.55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股本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1,282,615,013.00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1,066,527,265.00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其他权益工具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其中：优先股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永续债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资本公积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4,412,940,468.57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947,472,406.38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减：库存股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77,973,177.02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157,907,497.44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其他综合收益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专项储备</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盈余公积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122,019,887.40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2"/>
                <w:sz w:val="18"/>
              </w:rPr>
              <w:t>119,118,334.23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未分配利润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711,865,438.23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734,959,435.33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6,451,467,630.18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2,710,169,943.50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8,891,919,847.84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3,416,671,682.05</w:t>
            </w:r>
          </w:p>
        </w:tc>
      </w:tr>
    </w:tbl>
    <w:p>
      <w:pPr>
        <w:spacing w:line="240" w:lineRule="auto" w:before="10"/>
        <w:rPr>
          <w:rFonts w:ascii="Times New Roman" w:hAnsi="Times New Roman" w:cs="Times New Roman" w:eastAsia="Times New Roman" w:hint="default"/>
          <w:sz w:val="21"/>
          <w:szCs w:val="21"/>
        </w:rPr>
      </w:pPr>
    </w:p>
    <w:p>
      <w:pPr>
        <w:pStyle w:val="Heading5"/>
        <w:spacing w:line="240" w:lineRule="auto" w:before="36"/>
        <w:ind w:right="0"/>
        <w:jc w:val="left"/>
        <w:rPr>
          <w:b w:val="0"/>
          <w:bCs w:val="0"/>
        </w:rPr>
      </w:pPr>
      <w:r>
        <w:rPr>
          <w:rFonts w:ascii="Times New Roman" w:hAnsi="Times New Roman" w:cs="Times New Roman" w:eastAsia="Times New Roman" w:hint="default"/>
        </w:rPr>
        <w:t>3</w:t>
      </w:r>
      <w:r>
        <w:rPr/>
        <w:t>、合并利润表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88"/>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2,156,487,774.85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1,585,306,335.51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其中：营业收入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2,156,487,774.85</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1,585,306,335.51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r>
        <w:rPr/>
        <w:pict>
          <v:group style="position:absolute;margin-left:216.410004pt;margin-top:429.885986pt;width:159.050pt;height:19.6pt;mso-position-horizontal-relative:page;mso-position-vertical-relative:page;z-index:-1265128" coordorigin="4328,8598" coordsize="3181,392">
            <v:group style="position:absolute;left:7485;top:8598;width:24;height:392" coordorigin="7485,8598" coordsize="24,392">
              <v:shape style="position:absolute;left:7485;top:8598;width:24;height:392" coordorigin="7485,8598" coordsize="24,392" path="m7485,8989l7509,8989,7509,8598,7485,8598,7485,8989xe" filled="true" fillcolor="#ffffff" stroked="false">
                <v:path arrowok="t"/>
                <v:fill type="solid"/>
              </v:shape>
            </v:group>
            <v:group style="position:absolute;left:4328;top:8598;width:24;height:392" coordorigin="4328,8598" coordsize="24,392">
              <v:shape style="position:absolute;left:4328;top:8598;width:24;height:392" coordorigin="4328,8598" coordsize="24,392" path="m4328,8989l4352,8989,4352,8598,4328,8598,4328,8989xe" filled="true" fillcolor="#ffffff" stroked="false">
                <v:path arrowok="t"/>
                <v:fill type="solid"/>
              </v:shape>
            </v:group>
            <v:group style="position:absolute;left:4352;top:8598;width:3133;height:392" coordorigin="4352,8598" coordsize="3133,392">
              <v:shape style="position:absolute;left:4352;top:8598;width:3133;height:392" coordorigin="4352,8598" coordsize="3133,392" path="m4352,8989l7485,8989,7485,8598,4352,8598,4352,8989xe" filled="true" fillcolor="#ffffff" stroked="false">
                <v:path arrowok="t"/>
                <v:fill type="solid"/>
              </v:shape>
            </v:group>
            <w10:wrap type="none"/>
          </v:group>
        </w:pict>
      </w:r>
      <w:r>
        <w:rPr/>
        <w:pict>
          <v:group style="position:absolute;margin-left:216.410004pt;margin-top:621.940002pt;width:159.050pt;height:19.6pt;mso-position-horizontal-relative:page;mso-position-vertical-relative:page;z-index:-1265104" coordorigin="4328,12439" coordsize="3181,392">
            <v:group style="position:absolute;left:7485;top:12439;width:24;height:392" coordorigin="7485,12439" coordsize="24,392">
              <v:shape style="position:absolute;left:7485;top:12439;width:24;height:392" coordorigin="7485,12439" coordsize="24,392" path="m7485,12830l7509,12830,7509,12439,7485,12439,7485,12830xe" filled="true" fillcolor="#ffffff" stroked="false">
                <v:path arrowok="t"/>
                <v:fill type="solid"/>
              </v:shape>
            </v:group>
            <v:group style="position:absolute;left:4328;top:12439;width:24;height:392" coordorigin="4328,12439" coordsize="24,392">
              <v:shape style="position:absolute;left:4328;top:12439;width:24;height:392" coordorigin="4328,12439" coordsize="24,392" path="m4328,12830l4352,12830,4352,12439,4328,12439,4328,12830xe" filled="true" fillcolor="#ffffff" stroked="false">
                <v:path arrowok="t"/>
                <v:fill type="solid"/>
              </v:shape>
            </v:group>
            <v:group style="position:absolute;left:4352;top:12439;width:3133;height:392" coordorigin="4352,12439" coordsize="3133,392">
              <v:shape style="position:absolute;left:4352;top:12439;width:3133;height:392" coordorigin="4352,12439" coordsize="3133,392" path="m4352,12830l7485,12830,7485,12439,4352,12439,4352,12830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88"/>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已赚保费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手续费及佣金收入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2,009,563,761.76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1,520,341,000.18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其中：营业成本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530,840,997.69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366,987,308.45</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手续费及佣金支出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退保金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赔付支出净额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提取保险合同准备金净额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保单红利支出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分保费用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税金及附加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21,604,359.48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13,720,362.09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146,123,416.19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112,528,660.60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管理费用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1,314,248,738.41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1,017,768,494.27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财务费用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-58,836,896.72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-26,764,909.73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资产减值损失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55,583,146.71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36,101,084.50</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2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6"/>
                <w:sz w:val="18"/>
                <w:szCs w:val="18"/>
              </w:rPr>
              <w:t>加：公允价值变动收益（损失以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tabs>
                <w:tab w:pos="2121" w:val="left" w:leader="none"/>
              </w:tabs>
              <w:spacing w:line="240" w:lineRule="auto" w:before="51"/>
              <w:ind w:left="-128"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24,089,363.22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20,449,978.54</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其中：对联营企业和合营企业 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4,473,110.87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14,659,142.82</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-1,015,076.20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-440,829.71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98,895,048.08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268,893,348.19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84,974,484.16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加：营业外收入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3,599,190.67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80,741,587.27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减：营业外支出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3,048,277.14</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2,110,151.04</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tabs>
                <w:tab w:pos="2030" w:val="left" w:leader="none"/>
              </w:tabs>
              <w:spacing w:line="240" w:lineRule="auto" w:before="51"/>
              <w:ind w:left="-128"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269,444,261.72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163,605,920.39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减：所得税费用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57,122,553.53</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47,347,015.59</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212,321,708.19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116,258,904.80</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21"/>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
                <w:sz w:val="18"/>
                <w:szCs w:val="18"/>
              </w:rPr>
              <w:t> </w:t>
            </w:r>
            <w:r>
              <w:rPr>
                <w:rFonts w:ascii="宋体" w:hAnsi="宋体" w:cs="宋体" w:eastAsia="宋体" w:hint="default"/>
                <w:spacing w:val="-10"/>
                <w:w w:val="100"/>
                <w:sz w:val="18"/>
                <w:szCs w:val="18"/>
              </w:rPr>
              <w:t>（一）持续经营净利润（净亏损以</w:t>
            </w:r>
            <w:r>
              <w:rPr>
                <w:rFonts w:ascii="Times New Roman" w:hAnsi="Times New Roman" w:cs="Times New Roman" w:eastAsia="Times New Roman" w:hint="default"/>
                <w:spacing w:val="-10"/>
                <w:w w:val="100"/>
                <w:sz w:val="18"/>
                <w:szCs w:val="18"/>
              </w:rPr>
              <w:t>“</w:t>
            </w:r>
            <w:r>
              <w:rPr>
                <w:rFonts w:ascii="宋体" w:hAnsi="宋体" w:cs="宋体" w:eastAsia="宋体" w:hint="default"/>
                <w:spacing w:val="-10"/>
                <w:w w:val="100"/>
                <w:sz w:val="18"/>
                <w:szCs w:val="18"/>
              </w:rPr>
              <w:t>－</w:t>
            </w:r>
            <w:r>
              <w:rPr>
                <w:rFonts w:ascii="Times New Roman" w:hAnsi="Times New Roman" w:cs="Times New Roman" w:eastAsia="Times New Roman" w:hint="default"/>
                <w:spacing w:val="-10"/>
                <w:w w:val="100"/>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212,321,708.19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116,258,904.80</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
                <w:sz w:val="18"/>
                <w:szCs w:val="18"/>
              </w:rPr>
              <w:t> </w:t>
            </w:r>
            <w:r>
              <w:rPr>
                <w:rFonts w:ascii="宋体" w:hAnsi="宋体" w:cs="宋体" w:eastAsia="宋体" w:hint="default"/>
                <w:spacing w:val="-10"/>
                <w:w w:val="100"/>
                <w:sz w:val="18"/>
                <w:szCs w:val="18"/>
              </w:rPr>
              <w:t>（二）终止经营净利润（净亏损以</w:t>
            </w:r>
            <w:r>
              <w:rPr>
                <w:rFonts w:ascii="Times New Roman" w:hAnsi="Times New Roman" w:cs="Times New Roman" w:eastAsia="Times New Roman" w:hint="default"/>
                <w:spacing w:val="-10"/>
                <w:w w:val="100"/>
                <w:sz w:val="18"/>
                <w:szCs w:val="18"/>
              </w:rPr>
              <w:t>“</w:t>
            </w:r>
            <w:r>
              <w:rPr>
                <w:rFonts w:ascii="宋体" w:hAnsi="宋体" w:cs="宋体" w:eastAsia="宋体" w:hint="default"/>
                <w:spacing w:val="-10"/>
                <w:w w:val="100"/>
                <w:sz w:val="18"/>
                <w:szCs w:val="18"/>
              </w:rPr>
              <w:t>－</w:t>
            </w:r>
            <w:r>
              <w:rPr>
                <w:rFonts w:ascii="Times New Roman" w:hAnsi="Times New Roman" w:cs="Times New Roman" w:eastAsia="Times New Roman" w:hint="default"/>
                <w:spacing w:val="-10"/>
                <w:w w:val="100"/>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88"/>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归属于母公司所有者的净利润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265,199,610.30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156,569,086.39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-52,877,902.11</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-40,310,181.59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4,801,515.73</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5,919,619.84</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4"/>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归属母公司所有者的其他综合收益的 税后净额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7,338,074.80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6,031,611.99</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（一）以后不能重分类进损益的其 他综合收益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4" w:right="96"/>
              <w:jc w:val="both"/>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能重分类进损益的其他综合收益中享有 的份额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（二）以后将重分类进损益的其他 综合收益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7,338,074.80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6,031,611.99</w:t>
            </w:r>
          </w:p>
        </w:tc>
      </w:tr>
      <w:tr>
        <w:trPr>
          <w:trHeight w:val="102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4" w:right="96"/>
              <w:jc w:val="both"/>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后将重分类进损益的其他综合收益中享 有的份额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 值变动损益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 部分</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7,338,074.80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6,031,611.99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归属于少数股东的其他综合收益的税 后净额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-2,536,559.07</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-111,992.15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217,123,223.92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122,178,524.64</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归属于母公司所有者的综合收益总 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272,537,685.10</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162,600,698.38</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归属于少数股东的综合收益总额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-55,414,461.18</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-40,422,173.74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（一）基本每股收益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0.2186</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0.1502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（二）稀释每股收益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0.2171</w:t>
            </w:r>
            <w:r>
              <w:rPr>
                <w:rFonts w:ascii="Times New Roman"/>
                <w:sz w:val="18"/>
              </w:rPr>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0.1491</w:t>
            </w:r>
          </w:p>
        </w:tc>
      </w:tr>
    </w:tbl>
    <w:p>
      <w:pPr>
        <w:pStyle w:val="BodyText"/>
        <w:tabs>
          <w:tab w:pos="3667" w:val="left" w:leader="none"/>
          <w:tab w:pos="7718" w:val="left" w:leader="none"/>
        </w:tabs>
        <w:spacing w:line="588" w:lineRule="auto" w:before="49"/>
        <w:ind w:right="245"/>
        <w:jc w:val="left"/>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 </w:t>
      </w:r>
      <w:r>
        <w:rPr>
          <w:spacing w:val="-3"/>
        </w:rPr>
        <w:t>元。 </w:t>
      </w:r>
      <w:r>
        <w:rPr/>
        <w:t>法定代表人：吴劲风</w:t>
        <w:tab/>
      </w:r>
      <w:r>
        <w:rPr>
          <w:spacing w:val="-1"/>
        </w:rPr>
        <w:t>主管会计工作负责人：唐伟</w:t>
        <w:tab/>
      </w:r>
      <w:r>
        <w:rPr/>
        <w:t>会计机构负责人：姜晓明</w:t>
      </w:r>
    </w:p>
    <w:p>
      <w:pPr>
        <w:spacing w:after="0" w:line="588" w:lineRule="auto"/>
        <w:jc w:val="left"/>
        <w:sectPr>
          <w:footerReference w:type="default" r:id="rId43"/>
          <w:pgSz w:w="11910" w:h="16840"/>
          <w:pgMar w:footer="979" w:header="745" w:top="1060" w:bottom="1160" w:left="980" w:right="980"/>
          <w:pgNumType w:start="110"/>
        </w:sectPr>
      </w:pPr>
    </w:p>
    <w:p>
      <w:pPr>
        <w:spacing w:line="240" w:lineRule="auto" w:before="10"/>
        <w:rPr>
          <w:rFonts w:ascii="宋体" w:hAnsi="宋体" w:cs="宋体" w:eastAsia="宋体" w:hint="default"/>
          <w:sz w:val="24"/>
          <w:szCs w:val="24"/>
        </w:rPr>
      </w:pPr>
      <w:r>
        <w:rPr/>
        <w:pict>
          <v:group style="position:absolute;margin-left:216.410004pt;margin-top:317.329987pt;width:159.050pt;height:19.6pt;mso-position-horizontal-relative:page;mso-position-vertical-relative:page;z-index:-1265080" coordorigin="4328,6347" coordsize="3181,392">
            <v:group style="position:absolute;left:7485;top:6347;width:24;height:392" coordorigin="7485,6347" coordsize="24,392">
              <v:shape style="position:absolute;left:7485;top:6347;width:24;height:392" coordorigin="7485,6347" coordsize="24,392" path="m7485,6738l7509,6738,7509,6347,7485,6347,7485,6738xe" filled="true" fillcolor="#ffffff" stroked="false">
                <v:path arrowok="t"/>
                <v:fill type="solid"/>
              </v:shape>
            </v:group>
            <v:group style="position:absolute;left:4328;top:6347;width:24;height:392" coordorigin="4328,6347" coordsize="24,392">
              <v:shape style="position:absolute;left:4328;top:6347;width:24;height:392" coordorigin="4328,6347" coordsize="24,392" path="m4328,6738l4352,6738,4352,6347,4328,6347,4328,6738xe" filled="true" fillcolor="#ffffff" stroked="false">
                <v:path arrowok="t"/>
                <v:fill type="solid"/>
              </v:shape>
            </v:group>
            <v:group style="position:absolute;left:4352;top:6347;width:3133;height:392" coordorigin="4352,6347" coordsize="3133,392">
              <v:shape style="position:absolute;left:4352;top:6347;width:3133;height:392" coordorigin="4352,6347" coordsize="3133,392" path="m4352,6738l7485,6738,7485,6347,4352,6347,4352,6738xe" filled="true" fillcolor="#ffffff" stroked="false">
                <v:path arrowok="t"/>
                <v:fill type="solid"/>
              </v:shape>
            </v:group>
            <w10:wrap type="none"/>
          </v:group>
        </w:pict>
      </w:r>
      <w:r>
        <w:rPr/>
        <w:pict>
          <v:group style="position:absolute;margin-left:216.410004pt;margin-top:489.189972pt;width:159.050pt;height:19.7pt;mso-position-horizontal-relative:page;mso-position-vertical-relative:page;z-index:-1265056" coordorigin="4328,9784" coordsize="3181,394">
            <v:group style="position:absolute;left:7485;top:9784;width:24;height:394" coordorigin="7485,9784" coordsize="24,394">
              <v:shape style="position:absolute;left:7485;top:9784;width:24;height:394" coordorigin="7485,9784" coordsize="24,394" path="m7485,10177l7509,10177,7509,9784,7485,9784,7485,10177xe" filled="true" fillcolor="#ffffff" stroked="false">
                <v:path arrowok="t"/>
                <v:fill type="solid"/>
              </v:shape>
            </v:group>
            <v:group style="position:absolute;left:4328;top:9784;width:24;height:394" coordorigin="4328,9784" coordsize="24,394">
              <v:shape style="position:absolute;left:4328;top:9784;width:24;height:394" coordorigin="4328,9784" coordsize="24,394" path="m4328,10177l4352,10177,4352,9784,4328,9784,4328,10177xe" filled="true" fillcolor="#ffffff" stroked="false">
                <v:path arrowok="t"/>
                <v:fill type="solid"/>
              </v:shape>
            </v:group>
            <v:group style="position:absolute;left:4352;top:9784;width:3133;height:394" coordorigin="4352,9784" coordsize="3133,394">
              <v:shape style="position:absolute;left:4352;top:9784;width:3133;height:394" coordorigin="4352,9784" coordsize="3133,394" path="m4352,10177l7485,10177,7485,9784,4352,9784,4352,10177xe" filled="true" fillcolor="#ffffff" stroked="false">
                <v:path arrowok="t"/>
                <v:fill type="solid"/>
              </v:shape>
            </v:group>
            <w10:wrap type="none"/>
          </v:group>
        </w:pict>
      </w:r>
    </w:p>
    <w:p>
      <w:pPr>
        <w:pStyle w:val="Heading5"/>
        <w:spacing w:line="240" w:lineRule="auto" w:before="36"/>
        <w:ind w:right="0"/>
        <w:jc w:val="left"/>
        <w:rPr>
          <w:b w:val="0"/>
          <w:bCs w:val="0"/>
        </w:rPr>
      </w:pPr>
      <w:r>
        <w:rPr>
          <w:rFonts w:ascii="Times New Roman" w:hAnsi="Times New Roman" w:cs="Times New Roman" w:eastAsia="Times New Roman" w:hint="default"/>
        </w:rPr>
        <w:t>4</w:t>
      </w:r>
      <w:r>
        <w:rPr/>
        <w:t>、母公司利润表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640,928,055.89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726,141,983.79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减：营业成本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46,220,663.99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86,931,367.11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税金及附加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16,060,978.18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8,825,546.69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42,135,546.31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20,737,567.02</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管理费用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672,700,910.56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626,172,448.95</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财务费用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-49,603,991.96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-18,935,820.96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资产减值损失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35,198,653.92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14,027,044.84</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6"/>
                <w:sz w:val="18"/>
                <w:szCs w:val="18"/>
              </w:rPr>
              <w:t>加：公允价值变动收益（损失以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tabs>
                <w:tab w:pos="2121" w:val="left" w:leader="none"/>
              </w:tabs>
              <w:spacing w:line="240" w:lineRule="auto" w:before="49"/>
              <w:ind w:left="-128"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90,171,022.55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22,291,062.07</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其中：对联营企业和合营企业 的投资收益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4,470,565.52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13,769,059.90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56"/>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-631,585.48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5,176.13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52,151,003.19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19,905,735.15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10,680,068.34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加：营业外收入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411,442.77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69,657,190.47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减：营业外支出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376,319.91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2,044,279.56</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tabs>
                <w:tab w:pos="2121" w:val="left" w:leader="none"/>
              </w:tabs>
              <w:spacing w:line="240" w:lineRule="auto" w:before="49"/>
              <w:ind w:left="-128" w:right="22"/>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19,940,858.01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78,292,979.25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减：所得税费用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-9,074,673.66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9,515,431.89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29,015,531.67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68,777,547.36</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1"/>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
                <w:sz w:val="18"/>
                <w:szCs w:val="18"/>
              </w:rPr>
              <w:t> </w:t>
            </w:r>
            <w:r>
              <w:rPr>
                <w:rFonts w:ascii="宋体" w:hAnsi="宋体" w:cs="宋体" w:eastAsia="宋体" w:hint="default"/>
                <w:spacing w:val="-10"/>
                <w:w w:val="100"/>
                <w:sz w:val="18"/>
                <w:szCs w:val="18"/>
              </w:rPr>
              <w:t>（一）持续经营净利润（净亏损以</w:t>
            </w:r>
            <w:r>
              <w:rPr>
                <w:rFonts w:ascii="Times New Roman" w:hAnsi="Times New Roman" w:cs="Times New Roman" w:eastAsia="Times New Roman" w:hint="default"/>
                <w:spacing w:val="-10"/>
                <w:w w:val="100"/>
                <w:sz w:val="18"/>
                <w:szCs w:val="18"/>
              </w:rPr>
              <w:t>“</w:t>
            </w:r>
            <w:r>
              <w:rPr>
                <w:rFonts w:ascii="宋体" w:hAnsi="宋体" w:cs="宋体" w:eastAsia="宋体" w:hint="default"/>
                <w:spacing w:val="-10"/>
                <w:w w:val="100"/>
                <w:sz w:val="18"/>
                <w:szCs w:val="18"/>
              </w:rPr>
              <w:t>－</w:t>
            </w:r>
            <w:r>
              <w:rPr>
                <w:rFonts w:ascii="Times New Roman" w:hAnsi="Times New Roman" w:cs="Times New Roman" w:eastAsia="Times New Roman" w:hint="default"/>
                <w:spacing w:val="-10"/>
                <w:w w:val="100"/>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29,015,531.67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68,777,547.36</w:t>
            </w:r>
          </w:p>
        </w:tc>
      </w:tr>
      <w:tr>
        <w:trPr>
          <w:trHeight w:val="716"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1"/>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pacing w:val="1"/>
                <w:sz w:val="18"/>
                <w:szCs w:val="18"/>
              </w:rPr>
              <w:t> </w:t>
            </w:r>
            <w:r>
              <w:rPr>
                <w:rFonts w:ascii="宋体" w:hAnsi="宋体" w:cs="宋体" w:eastAsia="宋体" w:hint="default"/>
                <w:spacing w:val="-10"/>
                <w:w w:val="100"/>
                <w:sz w:val="18"/>
                <w:szCs w:val="18"/>
              </w:rPr>
              <w:t>（二）终止经营净利润（净亏损以</w:t>
            </w:r>
            <w:r>
              <w:rPr>
                <w:rFonts w:ascii="Times New Roman" w:hAnsi="Times New Roman" w:cs="Times New Roman" w:eastAsia="Times New Roman" w:hint="default"/>
                <w:spacing w:val="-10"/>
                <w:w w:val="100"/>
                <w:sz w:val="18"/>
                <w:szCs w:val="18"/>
              </w:rPr>
              <w:t>“</w:t>
            </w:r>
            <w:r>
              <w:rPr>
                <w:rFonts w:ascii="宋体" w:hAnsi="宋体" w:cs="宋体" w:eastAsia="宋体" w:hint="default"/>
                <w:spacing w:val="-10"/>
                <w:w w:val="100"/>
                <w:sz w:val="18"/>
                <w:szCs w:val="18"/>
              </w:rPr>
              <w:t>－</w:t>
            </w:r>
            <w:r>
              <w:rPr>
                <w:rFonts w:ascii="Times New Roman" w:hAnsi="Times New Roman" w:cs="Times New Roman" w:eastAsia="Times New Roman" w:hint="default"/>
                <w:spacing w:val="-10"/>
                <w:w w:val="100"/>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（一）以后不能重分类进损益的其 他综合收益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4" w:right="96"/>
              <w:jc w:val="both"/>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能重分类进损益的其他综合收益中享有 的份额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（二）以后将重分类进损益的其他 综合收益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4" w:right="96"/>
              <w:jc w:val="both"/>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后将重分类进损益的其他综合收益中享 有的份额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 值变动损益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4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 部分</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29,015,531.67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68,777,547.36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（一）基本每股收益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0.0236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0.0658</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（二）稀释每股收益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0.0238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0.0655</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5</w:t>
      </w:r>
      <w:r>
        <w:rPr/>
        <w:t>、合并现金流量表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销售商品、提供劳务收到的现金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2,005,041,572.16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1,578,469,321.32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客户存款和同业存放款项净增加额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向中央银行借款净增加额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向其他金融机构拆入资金净增加额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收到原保险合同保费取得的现金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收到再保险业务现金净额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保户储金及投资款净增加额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处置以公允价值计量且其变动计入 当期损益的金融资产净增加额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收取利息、手续费及佣金的现金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拆入资金净增加额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回购业务资金净增加额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收到的税费返还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52,126,429.05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67,356,391.68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收到其他与经营活动有关的现金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148,495,722.58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65,057,982.47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2,205,663,723.79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1,710,883,695.47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购买商品、接受劳务支付的现金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484,017,114.64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288,715,548.94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客户贷款及垫款净增加额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存放中央银行和同业款项净增加额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支付原保险合同赔付款项的现金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支付利息、手续费及佣金的现金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支付保单红利的现金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支付给职工以及为职工支付的现金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697,570,326.22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541,257,775.60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支付的各项税费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164,710,287.94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132,037,476.90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支付其他与经营活动有关的现金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469,051,921.41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350,255,759.41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1,815,349,650.21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1,312,266,560.85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390,314,073.58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398,617,134.62</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收回投资收到的现金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917,170,986.29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400,000,000.00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取得投资收益收到的现金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12,465,548.31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4,247,812.97</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处置固定资产、无形资产和其他长 期资产收回的现金净额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2,210,155.22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1,964,846.91</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处置子公司及其他营业单位收到的 现金净额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-169,769.96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-5,290,372.20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收到其他与投资活动有关的现金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123,363,435.02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164,848,237.72</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1,055,040,354.88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565,770,525.40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购建固定资产、无形资产和其他长 期资产支付的现金</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426,667,440.20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459,563,543.68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822,617,991.00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401,500,000.00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质押贷款净增加额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取得子公司及其他营业单位支付的 现金净额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1,583,541,374.56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支付其他与投资活动有关的现金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1,499,130,233.48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33,767,457.84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4,331,957,039.24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894,831,001.52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-3,276,916,684.36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-329,060,476.12</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吸收投资收到的现金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3,979,874,684.93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598,000.00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其中：子公司吸收少数股东投资收 到的现金</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661,565,591.77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598,000.00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取得借款收到的现金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发行债券收到的现金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收到其他与筹资活动有关的现金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1,502,998.60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109,090,995.19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4,031,377,683.53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109,688,995.19</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偿还债务支付的现金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23,023,500.00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25,500,728.25</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分配股利、利润或偿付利息支付的 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57,813,376.01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44,495,893.45</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其中：子公司支付给少数股东的股 利、利润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6,681,620.53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3,430,000.00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支付其他与筹资活动有关的现金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740,242,060.95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29,632,673.37</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821,078,936.96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99,629,295.07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3,210,298,746.57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10,059,700.12</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 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2,315,069.71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3,228,778.90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326,011,205.50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82,845,137.52</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加：期初现金及现金等价物余额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1,363,964,304.46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1,281,119,166.94</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1,689,975,509.96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1,363,964,304.46</w:t>
            </w:r>
          </w:p>
        </w:tc>
      </w:tr>
    </w:tbl>
    <w:p>
      <w:pPr>
        <w:spacing w:line="240" w:lineRule="auto" w:before="10"/>
        <w:rPr>
          <w:rFonts w:ascii="Times New Roman" w:hAnsi="Times New Roman" w:cs="Times New Roman" w:eastAsia="Times New Roman" w:hint="default"/>
          <w:sz w:val="21"/>
          <w:szCs w:val="21"/>
        </w:rPr>
      </w:pPr>
    </w:p>
    <w:p>
      <w:pPr>
        <w:pStyle w:val="Heading5"/>
        <w:spacing w:line="240" w:lineRule="auto" w:before="36"/>
        <w:ind w:right="0"/>
        <w:jc w:val="left"/>
        <w:rPr>
          <w:b w:val="0"/>
          <w:bCs w:val="0"/>
        </w:rPr>
      </w:pPr>
      <w:r>
        <w:rPr>
          <w:rFonts w:ascii="Times New Roman" w:hAnsi="Times New Roman" w:cs="Times New Roman" w:eastAsia="Times New Roman" w:hint="default"/>
        </w:rPr>
        <w:t>6</w:t>
      </w:r>
      <w:r>
        <w:rPr/>
        <w:t>、母公司现金流量表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销售商品、提供劳务收到的现金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648,758,739.44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779,944,250.24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收到的税费返还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49,361,038.12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65,786,053.34</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收到其他与经营活动有关的现金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126,660,188.25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29,768,981.39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824,779,965.81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875,499,284.97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购买商品、接受劳务支付的现金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34,229,886.34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27,994,433.83</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支付给职工以及为职工支付的现金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219,831,059.53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191,621,915.47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支付的各项税费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78,887,062.28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92,564,573.07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支付其他与经营活动有关的现金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289,204,790.39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321,412,513.57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622,152,798.54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633,593,435.94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202,627,167.27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241,905,849.03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收回投资收到的现金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108,000,000.00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400,000,000.00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取得投资收益收到的现金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42,065,730.38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7,757,062.97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0"/>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处置固定资产、无形资产和其他长</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412,597.73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566,786.66</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36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期资产收回的现金净额</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处置子公司及其他营业单位收到的 现金净额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收到其他与投资活动有关的现金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2,915,584.84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147,448,654.90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153,393,912.95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555,772,504.53</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购建固定资产、无形资产和其他长 期资产支付的现金</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252,824,501.92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342,019,848.73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投资支付的现金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543,772,435.00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442,052,400.00</w:t>
            </w:r>
          </w:p>
        </w:tc>
      </w:tr>
      <w:tr>
        <w:trPr>
          <w:trHeight w:val="715"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取得子公司及其他营业单位支付的 现金净额</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1,804,896,214.91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35,985,020.00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支付其他与投资活动有关的现金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1,503,717,821.60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10,029,000.00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4,105,210,973.43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830,086,268.73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-3,951,817,060.48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-274,313,764.20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吸收投资收到的现金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3,327,250,000.00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取得借款收到的现金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发行债券收到的现金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收到其他与筹资活动有关的现金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1,502,998.60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109,090,995.19</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3,378,752,998.60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109,090,995.19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偿还债务支付的现金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分配股利、利润或偿付利息支付的 现金</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47,456,755.48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39,113,663.04</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支付其他与筹资活动有关的现金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88,923,230.06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29,632,673.37</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136,379,985.54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68,746,336.41</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3,242,373,013.06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40,344,658.78</w:t>
            </w:r>
          </w:p>
        </w:tc>
      </w:tr>
      <w:tr>
        <w:trPr>
          <w:trHeight w:val="71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96"/>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 响</w:t>
            </w:r>
          </w:p>
        </w:tc>
        <w:tc>
          <w:tcPr>
            <w:tcW w:w="319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-454,007.10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262,641.97</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-507,270,887.25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8,199,385.58</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加：期初现金及现金等价物余额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821,252,705.47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813,053,319.89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313,981,818.22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821,252,705.47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w:t>
      </w:r>
      <w:r>
        <w:rPr/>
        <w:t>、合并所有者权益变动表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t>本期金额</w:t>
      </w:r>
    </w:p>
    <w:p>
      <w:pPr>
        <w:pStyle w:val="BodyText"/>
        <w:spacing w:line="240" w:lineRule="auto" w:before="115"/>
        <w:ind w:left="0" w:right="151"/>
        <w:jc w:val="right"/>
      </w:pPr>
      <w:r>
        <w:rPr/>
        <w:t>单位：元</w:t>
      </w:r>
    </w:p>
    <w:p>
      <w:pPr>
        <w:spacing w:line="240" w:lineRule="auto" w:before="13"/>
        <w:rPr>
          <w:rFonts w:ascii="宋体" w:hAnsi="宋体" w:cs="宋体" w:eastAsia="宋体" w:hint="default"/>
          <w:sz w:val="7"/>
          <w:szCs w:val="7"/>
        </w:rPr>
      </w:pPr>
    </w:p>
    <w:p>
      <w:pPr>
        <w:spacing w:line="419"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15pt;height:21pt;mso-position-horizontal-relative:char;mso-position-vertical-relative:line" coordorigin="0,0" coordsize="9583,420">
            <v:group style="position:absolute;left:1416;top:14;width:24;height:392" coordorigin="1416,14" coordsize="24,392">
              <v:shape style="position:absolute;left:1416;top:14;width:24;height:392" coordorigin="1416,14" coordsize="24,392" path="m1416,406l1440,406,1440,14,1416,14,1416,406xe" filled="true" fillcolor="#d2d2d2" stroked="false">
                <v:path arrowok="t"/>
                <v:fill type="solid"/>
              </v:shape>
            </v:group>
            <v:group style="position:absolute;left:12;top:14;width:22;height:392" coordorigin="12,14" coordsize="22,392">
              <v:shape style="position:absolute;left:12;top:14;width:22;height:392" coordorigin="12,14" coordsize="22,392" path="m12,406l34,406,34,14,12,14,12,406xe" filled="true" fillcolor="#d2d2d2" stroked="false">
                <v:path arrowok="t"/>
                <v:fill type="solid"/>
              </v:shape>
            </v:group>
            <v:group style="position:absolute;left:34;top:14;width:1383;height:392" coordorigin="34,14" coordsize="1383,392">
              <v:shape style="position:absolute;left:34;top:14;width:1383;height:392" coordorigin="34,14" coordsize="1383,392" path="m34,406l1416,406,1416,14,34,14,34,406xe" filled="true" fillcolor="#d2d2d2" stroked="false">
                <v:path arrowok="t"/>
                <v:fill type="solid"/>
              </v:shape>
            </v:group>
            <v:group style="position:absolute;left:1450;top:14;width:22;height:392" coordorigin="1450,14" coordsize="22,392">
              <v:shape style="position:absolute;left:1450;top:14;width:22;height:392" coordorigin="1450,14" coordsize="22,392" path="m1450,406l1472,406,1472,14,1450,14,1450,406xe" filled="true" fillcolor="#d2d2d2" stroked="false">
                <v:path arrowok="t"/>
                <v:fill type="solid"/>
              </v:shape>
            </v:group>
            <v:group style="position:absolute;left:9549;top:14;width:24;height:392" coordorigin="9549,14" coordsize="24,392">
              <v:shape style="position:absolute;left:9549;top:14;width:24;height:392" coordorigin="9549,14" coordsize="24,392" path="m9549,406l9573,406,9573,14,9549,14,9549,406xe" filled="true" fillcolor="#d2d2d2" stroked="false">
                <v:path arrowok="t"/>
                <v:fill type="solid"/>
              </v:shape>
            </v:group>
            <v:group style="position:absolute;left:1472;top:14;width:8078;height:392" coordorigin="1472,14" coordsize="8078,392">
              <v:shape style="position:absolute;left:1472;top:14;width:8078;height:392" coordorigin="1472,14" coordsize="8078,392" path="m1472,406l9549,406,9549,14,1472,14,1472,406xe" filled="true" fillcolor="#d2d2d2" stroked="false">
                <v:path arrowok="t"/>
                <v:fill type="solid"/>
              </v:shape>
            </v:group>
            <v:group style="position:absolute;left:10;top:10;width:1429;height:2" coordorigin="10,10" coordsize="1429,2">
              <v:shape style="position:absolute;left:10;top:10;width:1429;height:2" coordorigin="10,10" coordsize="1429,0" path="m10,10l1438,10e" filled="false" stroked="true" strokeweight=".47998pt" strokecolor="#000000">
                <v:path arrowok="t"/>
              </v:shape>
            </v:group>
            <v:group style="position:absolute;left:1448;top:10;width:8126;height:2" coordorigin="1448,10" coordsize="8126,2">
              <v:shape style="position:absolute;left:1448;top:10;width:8126;height:2" coordorigin="1448,10" coordsize="8126,0" path="m1448,10l9573,10e" filled="false" stroked="true" strokeweight=".47998pt" strokecolor="#000000">
                <v:path arrowok="t"/>
              </v:shape>
            </v:group>
            <v:group style="position:absolute;left:5;top:5;width:2;height:411" coordorigin="5,5" coordsize="2,411">
              <v:shape style="position:absolute;left:5;top:5;width:2;height:411" coordorigin="5,5" coordsize="0,411" path="m5,5l5,415e" filled="false" stroked="true" strokeweight=".48pt" strokecolor="#000000">
                <v:path arrowok="t"/>
              </v:shape>
            </v:group>
            <v:group style="position:absolute;left:10;top:410;width:1429;height:2" coordorigin="10,410" coordsize="1429,2">
              <v:shape style="position:absolute;left:10;top:410;width:1429;height:2" coordorigin="10,410" coordsize="1429,0" path="m10,410l1438,410e" filled="false" stroked="true" strokeweight=".48004pt" strokecolor="#000000">
                <v:path arrowok="t"/>
              </v:shape>
            </v:group>
            <v:group style="position:absolute;left:1443;top:5;width:2;height:411" coordorigin="1443,5" coordsize="2,411">
              <v:shape style="position:absolute;left:1443;top:5;width:2;height:411" coordorigin="1443,5" coordsize="0,411" path="m1443,5l1443,415e" filled="false" stroked="true" strokeweight=".48pt" strokecolor="#000000">
                <v:path arrowok="t"/>
              </v:shape>
            </v:group>
            <v:group style="position:absolute;left:1448;top:410;width:8126;height:2" coordorigin="1448,410" coordsize="8126,2">
              <v:shape style="position:absolute;left:1448;top:410;width:8126;height:2" coordorigin="1448,410" coordsize="8126,0" path="m1448,410l9573,410e" filled="false" stroked="true" strokeweight=".48004pt" strokecolor="#000000">
                <v:path arrowok="t"/>
              </v:shape>
            </v:group>
            <v:group style="position:absolute;left:9578;top:5;width:2;height:411" coordorigin="9578,5" coordsize="2,411">
              <v:shape style="position:absolute;left:9578;top:5;width:2;height:411" coordorigin="9578,5" coordsize="0,411" path="m9578,5l9578,415e" filled="false" stroked="true" strokeweight=".47998pt" strokecolor="#000000">
                <v:path arrowok="t"/>
              </v:shape>
              <v:shape style="position:absolute;left:6;top:10;width:1437;height:401" type="#_x0000_t202" filled="false" stroked="false">
                <v:textbox inset="0,0,0,0">
                  <w:txbxContent>
                    <w:p>
                      <w:pPr>
                        <w:spacing w:before="53"/>
                        <w:ind w:left="1" w:right="0" w:firstLine="0"/>
                        <w:jc w:val="center"/>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329;top:119;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本期</w:t>
                      </w:r>
                    </w:p>
                  </w:txbxContent>
                </v:textbox>
                <w10:wrap type="none"/>
              </v:shape>
            </v:group>
          </v:group>
        </w:pict>
      </w:r>
      <w:r>
        <w:rPr>
          <w:rFonts w:ascii="宋体" w:hAnsi="宋体" w:cs="宋体" w:eastAsia="宋体" w:hint="default"/>
          <w:position w:val="-7"/>
          <w:sz w:val="20"/>
          <w:szCs w:val="20"/>
        </w:rPr>
      </w:r>
    </w:p>
    <w:p>
      <w:pPr>
        <w:spacing w:after="0" w:line="419" w:lineRule="exact"/>
        <w:rPr>
          <w:rFonts w:ascii="宋体" w:hAnsi="宋体" w:cs="宋体" w:eastAsia="宋体" w:hint="default"/>
          <w:sz w:val="20"/>
          <w:szCs w:val="20"/>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438"/>
        <w:gridCol w:w="562"/>
        <w:gridCol w:w="533"/>
        <w:gridCol w:w="531"/>
        <w:gridCol w:w="530"/>
        <w:gridCol w:w="665"/>
        <w:gridCol w:w="665"/>
        <w:gridCol w:w="665"/>
        <w:gridCol w:w="665"/>
        <w:gridCol w:w="665"/>
        <w:gridCol w:w="665"/>
        <w:gridCol w:w="665"/>
        <w:gridCol w:w="665"/>
        <w:gridCol w:w="660"/>
      </w:tblGrid>
      <w:tr>
        <w:trPr>
          <w:trHeight w:val="402" w:hRule="exact"/>
        </w:trPr>
        <w:tc>
          <w:tcPr>
            <w:tcW w:w="1438" w:type="dxa"/>
            <w:tcBorders>
              <w:top w:val="single" w:sz="4" w:space="0" w:color="000000"/>
              <w:left w:val="single" w:sz="4" w:space="0" w:color="000000"/>
              <w:bottom w:val="nil" w:sz="6" w:space="0" w:color="auto"/>
              <w:right w:val="single" w:sz="4" w:space="0" w:color="000000"/>
            </w:tcBorders>
            <w:shd w:val="clear" w:color="auto" w:fill="D2D2D2"/>
          </w:tcPr>
          <w:p>
            <w:pPr/>
          </w:p>
        </w:tc>
        <w:tc>
          <w:tcPr>
            <w:tcW w:w="681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314" w:lineRule="auto"/>
              <w:ind w:left="57" w:right="55"/>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316" w:lineRule="auto"/>
              <w:ind w:left="55"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402" w:hRule="exact"/>
        </w:trPr>
        <w:tc>
          <w:tcPr>
            <w:tcW w:w="1438"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9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237" w:right="55"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57"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237"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16" w:lineRule="auto"/>
              <w:ind w:left="148" w:right="56"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r>
      <w:tr>
        <w:trPr>
          <w:trHeight w:val="713"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79"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70" w:right="77"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right="77"/>
              <w:jc w:val="righ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0"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8" w:right="0"/>
              <w:jc w:val="center"/>
              <w:rPr>
                <w:rFonts w:ascii="Times New Roman" w:hAnsi="Times New Roman" w:cs="Times New Roman" w:eastAsia="Times New Roman" w:hint="default"/>
                <w:sz w:val="18"/>
                <w:szCs w:val="18"/>
              </w:rPr>
            </w:pPr>
            <w:r>
              <w:rPr>
                <w:rFonts w:ascii="Times New Roman"/>
                <w:sz w:val="18"/>
              </w:rPr>
              <w:t>1,066,</w:t>
            </w:r>
          </w:p>
          <w:p>
            <w:pPr>
              <w:pStyle w:val="TableParagraph"/>
              <w:spacing w:line="240" w:lineRule="auto" w:before="102"/>
              <w:ind w:left="15" w:right="0"/>
              <w:jc w:val="center"/>
              <w:rPr>
                <w:rFonts w:ascii="Times New Roman" w:hAnsi="Times New Roman" w:cs="Times New Roman" w:eastAsia="Times New Roman" w:hint="default"/>
                <w:sz w:val="18"/>
                <w:szCs w:val="18"/>
              </w:rPr>
            </w:pPr>
            <w:r>
              <w:rPr>
                <w:rFonts w:ascii="Times New Roman"/>
                <w:sz w:val="18"/>
              </w:rPr>
              <w:t>527,26</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5.00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883,679</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,794.78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157,907</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,497.44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1" w:right="0"/>
              <w:jc w:val="center"/>
              <w:rPr>
                <w:rFonts w:ascii="Times New Roman" w:hAnsi="Times New Roman" w:cs="Times New Roman" w:eastAsia="Times New Roman" w:hint="default"/>
                <w:sz w:val="18"/>
                <w:szCs w:val="18"/>
              </w:rPr>
            </w:pPr>
            <w:r>
              <w:rPr>
                <w:rFonts w:ascii="Times New Roman"/>
                <w:sz w:val="18"/>
              </w:rPr>
              <w:t>-1,404,2</w:t>
            </w:r>
          </w:p>
          <w:p>
            <w:pPr>
              <w:pStyle w:val="TableParagraph"/>
              <w:spacing w:line="240" w:lineRule="auto" w:before="102"/>
              <w:ind w:left="206" w:right="0"/>
              <w:jc w:val="center"/>
              <w:rPr>
                <w:rFonts w:ascii="Times New Roman" w:hAnsi="Times New Roman" w:cs="Times New Roman" w:eastAsia="Times New Roman" w:hint="default"/>
                <w:sz w:val="18"/>
                <w:szCs w:val="18"/>
              </w:rPr>
            </w:pPr>
            <w:r>
              <w:rPr>
                <w:rFonts w:ascii="Times New Roman"/>
                <w:sz w:val="18"/>
              </w:rPr>
              <w:t>65.09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106,213</w:t>
            </w:r>
          </w:p>
          <w:p>
            <w:pPr>
              <w:pStyle w:val="TableParagraph"/>
              <w:spacing w:line="240" w:lineRule="auto" w:before="102"/>
              <w:ind w:left="91" w:right="0"/>
              <w:jc w:val="left"/>
              <w:rPr>
                <w:rFonts w:ascii="Times New Roman" w:hAnsi="Times New Roman" w:cs="Times New Roman" w:eastAsia="Times New Roman" w:hint="default"/>
                <w:sz w:val="18"/>
                <w:szCs w:val="18"/>
              </w:rPr>
            </w:pPr>
            <w:r>
              <w:rPr>
                <w:rFonts w:ascii="Times New Roman"/>
                <w:sz w:val="18"/>
              </w:rPr>
              <w:t>,813.12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896,308</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,435.34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378,178</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,809.85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3,171,5</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96,355.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56</w:t>
            </w: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4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 错更正</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同一控 制下企业合并</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center"/>
              <w:rPr>
                <w:rFonts w:ascii="Times New Roman" w:hAnsi="Times New Roman" w:cs="Times New Roman" w:eastAsia="Times New Roman" w:hint="default"/>
                <w:sz w:val="18"/>
                <w:szCs w:val="18"/>
              </w:rPr>
            </w:pPr>
            <w:r>
              <w:rPr>
                <w:rFonts w:ascii="Times New Roman"/>
                <w:sz w:val="18"/>
              </w:rPr>
              <w:t>1,066,</w:t>
            </w:r>
          </w:p>
          <w:p>
            <w:pPr>
              <w:pStyle w:val="TableParagraph"/>
              <w:spacing w:line="240" w:lineRule="auto" w:before="105"/>
              <w:ind w:left="15" w:right="0"/>
              <w:jc w:val="center"/>
              <w:rPr>
                <w:rFonts w:ascii="Times New Roman" w:hAnsi="Times New Roman" w:cs="Times New Roman" w:eastAsia="Times New Roman" w:hint="default"/>
                <w:sz w:val="18"/>
                <w:szCs w:val="18"/>
              </w:rPr>
            </w:pPr>
            <w:r>
              <w:rPr>
                <w:rFonts w:ascii="Times New Roman"/>
                <w:sz w:val="18"/>
              </w:rPr>
              <w:t>527,26</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5.00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883,679</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,794.78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157,907</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,497.44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 w:right="0"/>
              <w:jc w:val="center"/>
              <w:rPr>
                <w:rFonts w:ascii="Times New Roman" w:hAnsi="Times New Roman" w:cs="Times New Roman" w:eastAsia="Times New Roman" w:hint="default"/>
                <w:sz w:val="18"/>
                <w:szCs w:val="18"/>
              </w:rPr>
            </w:pPr>
            <w:r>
              <w:rPr>
                <w:rFonts w:ascii="Times New Roman"/>
                <w:sz w:val="18"/>
              </w:rPr>
              <w:t>-1,404,2</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65.09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106,213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,813.12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896,308</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,435.34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378,178</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,809.85</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3,171,5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96,355.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56</w:t>
            </w:r>
          </w:p>
        </w:tc>
      </w:tr>
      <w:tr>
        <w:trPr>
          <w:trHeight w:val="102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51"/>
              <w:ind w:left="24"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216,08</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7,748.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3,321,8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44,036.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-79,934,</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320.42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7,338,0</w:t>
            </w:r>
          </w:p>
          <w:p>
            <w:pPr>
              <w:pStyle w:val="TableParagraph"/>
              <w:spacing w:line="240" w:lineRule="auto" w:before="102"/>
              <w:ind w:left="206" w:right="0"/>
              <w:jc w:val="center"/>
              <w:rPr>
                <w:rFonts w:ascii="Times New Roman" w:hAnsi="Times New Roman" w:cs="Times New Roman" w:eastAsia="Times New Roman" w:hint="default"/>
                <w:sz w:val="18"/>
                <w:szCs w:val="18"/>
              </w:rPr>
            </w:pPr>
            <w:r>
              <w:rPr>
                <w:rFonts w:ascii="Times New Roman"/>
                <w:sz w:val="18"/>
              </w:rPr>
              <w:t>74.80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2"/>
              <w:ind w:left="202" w:right="0"/>
              <w:jc w:val="center"/>
              <w:rPr>
                <w:rFonts w:ascii="Times New Roman" w:hAnsi="Times New Roman" w:cs="Times New Roman" w:eastAsia="Times New Roman" w:hint="default"/>
                <w:sz w:val="18"/>
                <w:szCs w:val="18"/>
              </w:rPr>
            </w:pPr>
            <w:r>
              <w:rPr>
                <w:rFonts w:ascii="Times New Roman"/>
                <w:sz w:val="18"/>
              </w:rPr>
              <w:t>53.17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214,631</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,337.51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-140,38</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2,835.6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3,702,3</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54,234.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59</w:t>
            </w: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center"/>
              <w:rPr>
                <w:rFonts w:ascii="Times New Roman" w:hAnsi="Times New Roman" w:cs="Times New Roman" w:eastAsia="Times New Roman" w:hint="default"/>
                <w:sz w:val="18"/>
                <w:szCs w:val="18"/>
              </w:rPr>
            </w:pPr>
            <w:r>
              <w:rPr>
                <w:rFonts w:ascii="Times New Roman"/>
                <w:sz w:val="18"/>
              </w:rPr>
              <w:t>7,338,0</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74.80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 w:right="0"/>
              <w:jc w:val="left"/>
              <w:rPr>
                <w:rFonts w:ascii="Times New Roman" w:hAnsi="Times New Roman" w:cs="Times New Roman" w:eastAsia="Times New Roman" w:hint="default"/>
                <w:sz w:val="18"/>
                <w:szCs w:val="18"/>
              </w:rPr>
            </w:pPr>
            <w:r>
              <w:rPr>
                <w:rFonts w:ascii="Times New Roman"/>
                <w:sz w:val="18"/>
              </w:rPr>
              <w:t>265,199</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,610.30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-55,414,</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461.18</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217,123</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,223.92</w:t>
            </w:r>
          </w:p>
        </w:tc>
      </w:tr>
      <w:tr>
        <w:trPr>
          <w:trHeight w:val="102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4"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5" w:right="0"/>
              <w:jc w:val="left"/>
              <w:rPr>
                <w:rFonts w:ascii="Times New Roman" w:hAnsi="Times New Roman" w:cs="Times New Roman" w:eastAsia="Times New Roman" w:hint="default"/>
                <w:sz w:val="18"/>
                <w:szCs w:val="18"/>
              </w:rPr>
            </w:pPr>
            <w:r>
              <w:rPr>
                <w:rFonts w:ascii="Times New Roman"/>
                <w:sz w:val="18"/>
              </w:rPr>
              <w:t>216,08</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7,748.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3,321,8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44,036.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-79,934,</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320.42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-74,410,</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023.64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3,543,4</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56,081.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08</w:t>
            </w:r>
          </w:p>
        </w:tc>
      </w:tr>
      <w:tr>
        <w:trPr>
          <w:trHeight w:val="102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4"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216,08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7,748.</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3,439,6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14,014.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-79,934,</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320.42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3,735,6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36,082.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75</w:t>
            </w:r>
          </w:p>
        </w:tc>
      </w:tr>
      <w:tr>
        <w:trPr>
          <w:trHeight w:val="71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4"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25,854,</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047.86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25,854,</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047.86</w:t>
            </w:r>
          </w:p>
        </w:tc>
      </w:tr>
      <w:tr>
        <w:trPr>
          <w:trHeight w:val="102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-143,62</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pacing w:val="-1"/>
                <w:sz w:val="18"/>
              </w:rPr>
              <w:t>4,025.8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-74,410,</w:t>
            </w:r>
          </w:p>
          <w:p>
            <w:pPr>
              <w:pStyle w:val="TableParagraph"/>
              <w:spacing w:line="240" w:lineRule="auto" w:before="102"/>
              <w:ind w:left="118" w:right="0"/>
              <w:jc w:val="center"/>
              <w:rPr>
                <w:rFonts w:ascii="Times New Roman" w:hAnsi="Times New Roman" w:cs="Times New Roman" w:eastAsia="Times New Roman" w:hint="default"/>
                <w:sz w:val="18"/>
                <w:szCs w:val="18"/>
              </w:rPr>
            </w:pPr>
            <w:r>
              <w:rPr>
                <w:rFonts w:ascii="Times New Roman"/>
                <w:sz w:val="18"/>
              </w:rPr>
              <w:t>023.64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-218,03</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pacing w:val="-1"/>
                <w:sz w:val="18"/>
              </w:rPr>
              <w:t>4,049.5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5"/>
              <w:ind w:left="202" w:right="0"/>
              <w:jc w:val="center"/>
              <w:rPr>
                <w:rFonts w:ascii="Times New Roman" w:hAnsi="Times New Roman" w:cs="Times New Roman" w:eastAsia="Times New Roman" w:hint="default"/>
                <w:sz w:val="18"/>
                <w:szCs w:val="18"/>
              </w:rPr>
            </w:pPr>
            <w:r>
              <w:rPr>
                <w:rFonts w:ascii="Times New Roman"/>
                <w:sz w:val="18"/>
              </w:rPr>
              <w:t>53.17</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-50,568,</w:t>
            </w:r>
          </w:p>
          <w:p>
            <w:pPr>
              <w:pStyle w:val="TableParagraph"/>
              <w:spacing w:line="240" w:lineRule="auto" w:before="105"/>
              <w:ind w:left="117" w:right="0"/>
              <w:jc w:val="center"/>
              <w:rPr>
                <w:rFonts w:ascii="Times New Roman" w:hAnsi="Times New Roman" w:cs="Times New Roman" w:eastAsia="Times New Roman" w:hint="default"/>
                <w:sz w:val="18"/>
                <w:szCs w:val="18"/>
              </w:rPr>
            </w:pPr>
            <w:r>
              <w:rPr>
                <w:rFonts w:ascii="Times New Roman"/>
                <w:sz w:val="18"/>
              </w:rPr>
              <w:t>272.79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-10,558,</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350.79</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-58,225,</w:t>
            </w:r>
          </w:p>
          <w:p>
            <w:pPr>
              <w:pStyle w:val="TableParagraph"/>
              <w:spacing w:line="240" w:lineRule="auto" w:before="105"/>
              <w:ind w:left="108" w:right="0"/>
              <w:jc w:val="center"/>
              <w:rPr>
                <w:rFonts w:ascii="Times New Roman" w:hAnsi="Times New Roman" w:cs="Times New Roman" w:eastAsia="Times New Roman" w:hint="default"/>
                <w:sz w:val="18"/>
                <w:szCs w:val="18"/>
              </w:rPr>
            </w:pPr>
            <w:r>
              <w:rPr>
                <w:rFonts w:ascii="Times New Roman"/>
                <w:sz w:val="18"/>
              </w:rPr>
              <w:t>070.41</w:t>
            </w: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21"/>
              <w:jc w:val="right"/>
              <w:rPr>
                <w:rFonts w:ascii="Times New Roman" w:hAnsi="Times New Roman" w:cs="Times New Roman" w:eastAsia="Times New Roman" w:hint="default"/>
                <w:sz w:val="18"/>
                <w:szCs w:val="18"/>
              </w:rPr>
            </w:pPr>
            <w:r>
              <w:rPr>
                <w:rFonts w:ascii="Times New Roman"/>
                <w:spacing w:val="-1"/>
                <w:sz w:val="18"/>
              </w:rPr>
              <w:t>2,901,5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2"/>
              <w:ind w:right="19"/>
              <w:jc w:val="right"/>
              <w:rPr>
                <w:rFonts w:ascii="Times New Roman" w:hAnsi="Times New Roman" w:cs="Times New Roman" w:eastAsia="Times New Roman" w:hint="default"/>
                <w:sz w:val="18"/>
                <w:szCs w:val="18"/>
              </w:rPr>
            </w:pPr>
            <w:r>
              <w:rPr>
                <w:rFonts w:ascii="Times New Roman"/>
                <w:spacing w:val="-1"/>
                <w:sz w:val="18"/>
              </w:rPr>
              <w:t>-2,901,5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3"/>
        <w:gridCol w:w="531"/>
        <w:gridCol w:w="530"/>
        <w:gridCol w:w="665"/>
        <w:gridCol w:w="665"/>
        <w:gridCol w:w="665"/>
        <w:gridCol w:w="665"/>
        <w:gridCol w:w="665"/>
        <w:gridCol w:w="665"/>
        <w:gridCol w:w="665"/>
        <w:gridCol w:w="665"/>
        <w:gridCol w:w="660"/>
      </w:tblGrid>
      <w:tr>
        <w:trPr>
          <w:trHeight w:val="36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z w:val="18"/>
              </w:rPr>
              <w:t>53.17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9"/>
              <w:jc w:val="right"/>
              <w:rPr>
                <w:rFonts w:ascii="Times New Roman" w:hAnsi="Times New Roman" w:cs="Times New Roman" w:eastAsia="Times New Roman" w:hint="default"/>
                <w:sz w:val="18"/>
                <w:szCs w:val="18"/>
              </w:rPr>
            </w:pPr>
            <w:r>
              <w:rPr>
                <w:rFonts w:ascii="Times New Roman"/>
                <w:sz w:val="18"/>
              </w:rPr>
              <w:t>53.17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-47,456,</w:t>
            </w:r>
          </w:p>
          <w:p>
            <w:pPr>
              <w:pStyle w:val="TableParagraph"/>
              <w:spacing w:line="240" w:lineRule="auto" w:before="105"/>
              <w:ind w:left="117" w:right="0"/>
              <w:jc w:val="center"/>
              <w:rPr>
                <w:rFonts w:ascii="Times New Roman" w:hAnsi="Times New Roman" w:cs="Times New Roman" w:eastAsia="Times New Roman" w:hint="default"/>
                <w:sz w:val="18"/>
                <w:szCs w:val="18"/>
              </w:rPr>
            </w:pPr>
            <w:r>
              <w:rPr>
                <w:rFonts w:ascii="Times New Roman"/>
                <w:sz w:val="18"/>
              </w:rPr>
              <w:t>755.48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-10,356,</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620.53</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-57,813,</w:t>
            </w:r>
          </w:p>
          <w:p>
            <w:pPr>
              <w:pStyle w:val="TableParagraph"/>
              <w:spacing w:line="240" w:lineRule="auto" w:before="105"/>
              <w:ind w:left="108" w:right="0"/>
              <w:jc w:val="center"/>
              <w:rPr>
                <w:rFonts w:ascii="Times New Roman" w:hAnsi="Times New Roman" w:cs="Times New Roman" w:eastAsia="Times New Roman" w:hint="default"/>
                <w:sz w:val="18"/>
                <w:szCs w:val="18"/>
              </w:rPr>
            </w:pPr>
            <w:r>
              <w:rPr>
                <w:rFonts w:ascii="Times New Roman"/>
                <w:sz w:val="18"/>
              </w:rPr>
              <w:t>376.01</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-209,96</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4.14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-201,73</w:t>
            </w:r>
          </w:p>
          <w:p>
            <w:pPr>
              <w:pStyle w:val="TableParagraph"/>
              <w:spacing w:line="240" w:lineRule="auto" w:before="105"/>
              <w:ind w:left="319" w:right="0"/>
              <w:jc w:val="left"/>
              <w:rPr>
                <w:rFonts w:ascii="Times New Roman" w:hAnsi="Times New Roman" w:cs="Times New Roman" w:eastAsia="Times New Roman" w:hint="default"/>
                <w:sz w:val="18"/>
                <w:szCs w:val="18"/>
              </w:rPr>
            </w:pPr>
            <w:r>
              <w:rPr>
                <w:rFonts w:ascii="Times New Roman"/>
                <w:sz w:val="18"/>
              </w:rPr>
              <w:t>0.26</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-411,69</w:t>
            </w:r>
          </w:p>
          <w:p>
            <w:pPr>
              <w:pStyle w:val="TableParagraph"/>
              <w:spacing w:line="240" w:lineRule="auto" w:before="105"/>
              <w:ind w:left="311" w:right="0"/>
              <w:jc w:val="left"/>
              <w:rPr>
                <w:rFonts w:ascii="Times New Roman" w:hAnsi="Times New Roman" w:cs="Times New Roman" w:eastAsia="Times New Roman" w:hint="default"/>
                <w:sz w:val="18"/>
                <w:szCs w:val="18"/>
              </w:rPr>
            </w:pPr>
            <w:r>
              <w:rPr>
                <w:rFonts w:ascii="Times New Roman"/>
                <w:sz w:val="18"/>
              </w:rPr>
              <w:t>4.40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center"/>
              <w:rPr>
                <w:rFonts w:ascii="Times New Roman" w:hAnsi="Times New Roman" w:cs="Times New Roman" w:eastAsia="Times New Roman" w:hint="default"/>
                <w:sz w:val="18"/>
                <w:szCs w:val="18"/>
              </w:rPr>
            </w:pPr>
            <w:r>
              <w:rPr>
                <w:rFonts w:ascii="Times New Roman"/>
                <w:sz w:val="18"/>
              </w:rPr>
              <w:t>1,282,</w:t>
            </w:r>
          </w:p>
          <w:p>
            <w:pPr>
              <w:pStyle w:val="TableParagraph"/>
              <w:spacing w:line="240" w:lineRule="auto" w:before="105"/>
              <w:ind w:left="15" w:right="0"/>
              <w:jc w:val="center"/>
              <w:rPr>
                <w:rFonts w:ascii="Times New Roman" w:hAnsi="Times New Roman" w:cs="Times New Roman" w:eastAsia="Times New Roman" w:hint="default"/>
                <w:sz w:val="18"/>
                <w:szCs w:val="18"/>
              </w:rPr>
            </w:pPr>
            <w:r>
              <w:rPr>
                <w:rFonts w:ascii="Times New Roman"/>
                <w:sz w:val="18"/>
              </w:rPr>
              <w:t>615,01</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3.00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4,205,5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23,831.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77,973,</w:t>
            </w:r>
          </w:p>
          <w:p>
            <w:pPr>
              <w:pStyle w:val="TableParagraph"/>
              <w:spacing w:line="240" w:lineRule="auto" w:before="105"/>
              <w:ind w:left="139" w:right="0"/>
              <w:jc w:val="left"/>
              <w:rPr>
                <w:rFonts w:ascii="Times New Roman" w:hAnsi="Times New Roman" w:cs="Times New Roman" w:eastAsia="Times New Roman" w:hint="default"/>
                <w:sz w:val="18"/>
                <w:szCs w:val="18"/>
              </w:rPr>
            </w:pPr>
            <w:r>
              <w:rPr>
                <w:rFonts w:ascii="Times New Roman"/>
                <w:sz w:val="18"/>
              </w:rPr>
              <w:t>177.02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2" w:right="0"/>
              <w:jc w:val="center"/>
              <w:rPr>
                <w:rFonts w:ascii="Times New Roman" w:hAnsi="Times New Roman" w:cs="Times New Roman" w:eastAsia="Times New Roman" w:hint="default"/>
                <w:sz w:val="18"/>
                <w:szCs w:val="18"/>
              </w:rPr>
            </w:pPr>
            <w:r>
              <w:rPr>
                <w:rFonts w:ascii="Times New Roman"/>
                <w:sz w:val="18"/>
              </w:rPr>
              <w:t>5,933,8</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09.71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2" w:right="0"/>
              <w:jc w:val="left"/>
              <w:rPr>
                <w:rFonts w:ascii="Times New Roman" w:hAnsi="Times New Roman" w:cs="Times New Roman" w:eastAsia="Times New Roman" w:hint="default"/>
                <w:sz w:val="18"/>
                <w:szCs w:val="18"/>
              </w:rPr>
            </w:pPr>
            <w:r>
              <w:rPr>
                <w:rFonts w:ascii="Times New Roman"/>
                <w:sz w:val="18"/>
              </w:rPr>
              <w:t>109,115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,366.29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1,110,9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39,772.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85</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237,795</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,974.24</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6,873,9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50,590.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15</w:t>
            </w:r>
          </w:p>
        </w:tc>
      </w:tr>
    </w:tbl>
    <w:p>
      <w:pPr>
        <w:pStyle w:val="BodyText"/>
        <w:spacing w:line="240" w:lineRule="auto" w:before="49"/>
        <w:ind w:right="0"/>
        <w:jc w:val="left"/>
      </w:pPr>
      <w:r>
        <w:rPr/>
        <w:t>上期金额</w:t>
      </w:r>
    </w:p>
    <w:p>
      <w:pPr>
        <w:pStyle w:val="BodyText"/>
        <w:spacing w:line="240" w:lineRule="auto" w:before="117"/>
        <w:ind w:left="0" w:right="151"/>
        <w:jc w:val="right"/>
      </w:pPr>
      <w:r>
        <w:rPr/>
        <w:t>单位：元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38"/>
        <w:gridCol w:w="562"/>
        <w:gridCol w:w="530"/>
        <w:gridCol w:w="531"/>
        <w:gridCol w:w="533"/>
        <w:gridCol w:w="662"/>
        <w:gridCol w:w="665"/>
        <w:gridCol w:w="668"/>
        <w:gridCol w:w="665"/>
        <w:gridCol w:w="662"/>
        <w:gridCol w:w="665"/>
        <w:gridCol w:w="680"/>
        <w:gridCol w:w="653"/>
        <w:gridCol w:w="658"/>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6822"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6"/>
                <w:szCs w:val="16"/>
              </w:rPr>
            </w:pPr>
          </w:p>
          <w:p>
            <w:pPr>
              <w:pStyle w:val="TableParagraph"/>
              <w:spacing w:line="314" w:lineRule="auto"/>
              <w:ind w:left="50" w:right="50"/>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22"/>
                <w:szCs w:val="22"/>
              </w:rPr>
            </w:pPr>
          </w:p>
          <w:p>
            <w:pPr>
              <w:pStyle w:val="TableParagraph"/>
              <w:spacing w:line="316" w:lineRule="auto"/>
              <w:ind w:left="55" w:right="50"/>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59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237" w:right="53"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148" w:right="55" w:hanging="92"/>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59" w:right="57"/>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237" w:right="55"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237" w:right="53"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57" w:right="55"/>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319" w:lineRule="auto"/>
              <w:ind w:left="153" w:right="63" w:hanging="89"/>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3" w:type="dxa"/>
            <w:vMerge/>
            <w:tcBorders>
              <w:left w:val="single" w:sz="4" w:space="0" w:color="000000"/>
              <w:right w:val="single" w:sz="4" w:space="0" w:color="000000"/>
            </w:tcBorders>
            <w:shd w:val="clear" w:color="auto" w:fill="D2D2D2"/>
          </w:tcPr>
          <w:p>
            <w:pPr/>
          </w:p>
        </w:tc>
        <w:tc>
          <w:tcPr>
            <w:tcW w:w="658" w:type="dxa"/>
            <w:vMerge/>
            <w:tcBorders>
              <w:left w:val="single" w:sz="4" w:space="0" w:color="000000"/>
              <w:right w:val="single" w:sz="4" w:space="0" w:color="000000"/>
            </w:tcBorders>
            <w:shd w:val="clear" w:color="auto" w:fill="D2D2D2"/>
          </w:tcPr>
          <w:p>
            <w:pPr/>
          </w:p>
        </w:tc>
      </w:tr>
      <w:tr>
        <w:trPr>
          <w:trHeight w:val="713"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70" w:right="77" w:hanging="89"/>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70" w:right="77" w:hanging="89"/>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7"/>
              <w:jc w:val="right"/>
              <w:rPr>
                <w:rFonts w:ascii="宋体" w:hAnsi="宋体" w:cs="宋体" w:eastAsia="宋体" w:hint="default"/>
                <w:sz w:val="18"/>
                <w:szCs w:val="18"/>
              </w:rPr>
            </w:pPr>
            <w:r>
              <w:rPr>
                <w:rFonts w:ascii="宋体" w:hAnsi="宋体" w:cs="宋体" w:eastAsia="宋体" w:hint="default"/>
                <w:sz w:val="18"/>
                <w:szCs w:val="18"/>
              </w:rPr>
              <w:t>其他</w:t>
            </w:r>
          </w:p>
        </w:tc>
        <w:tc>
          <w:tcPr>
            <w:tcW w:w="662"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8"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2"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80" w:type="dxa"/>
            <w:vMerge/>
            <w:tcBorders>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single" w:sz="4" w:space="0" w:color="000000"/>
              <w:right w:val="single" w:sz="4" w:space="0" w:color="000000"/>
            </w:tcBorders>
            <w:shd w:val="clear" w:color="auto" w:fill="D2D2D2"/>
          </w:tcPr>
          <w:p>
            <w:pPr/>
          </w:p>
        </w:tc>
        <w:tc>
          <w:tcPr>
            <w:tcW w:w="658"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4"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3" w:right="0"/>
              <w:jc w:val="left"/>
              <w:rPr>
                <w:rFonts w:ascii="Times New Roman" w:hAnsi="Times New Roman" w:cs="Times New Roman" w:eastAsia="Times New Roman" w:hint="default"/>
                <w:sz w:val="18"/>
                <w:szCs w:val="18"/>
              </w:rPr>
            </w:pPr>
            <w:r>
              <w:rPr>
                <w:rFonts w:ascii="Times New Roman"/>
                <w:sz w:val="18"/>
              </w:rPr>
              <w:t>711,43</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6,510.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1,181,7</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27,055.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229,040</w:t>
            </w:r>
          </w:p>
          <w:p>
            <w:pPr>
              <w:pStyle w:val="TableParagraph"/>
              <w:spacing w:line="240" w:lineRule="auto" w:before="102"/>
              <w:ind w:left="93" w:right="0"/>
              <w:jc w:val="left"/>
              <w:rPr>
                <w:rFonts w:ascii="Times New Roman" w:hAnsi="Times New Roman" w:cs="Times New Roman" w:eastAsia="Times New Roman" w:hint="default"/>
                <w:sz w:val="18"/>
                <w:szCs w:val="18"/>
              </w:rPr>
            </w:pPr>
            <w:r>
              <w:rPr>
                <w:rFonts w:ascii="Times New Roman"/>
                <w:sz w:val="18"/>
              </w:rPr>
              <w:t>,607.20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-7,435,8</w:t>
            </w:r>
          </w:p>
          <w:p>
            <w:pPr>
              <w:pStyle w:val="TableParagraph"/>
              <w:spacing w:line="240" w:lineRule="auto" w:before="102"/>
              <w:ind w:left="209" w:right="0"/>
              <w:jc w:val="center"/>
              <w:rPr>
                <w:rFonts w:ascii="Times New Roman" w:hAnsi="Times New Roman" w:cs="Times New Roman" w:eastAsia="Times New Roman" w:hint="default"/>
                <w:sz w:val="18"/>
                <w:szCs w:val="18"/>
              </w:rPr>
            </w:pPr>
            <w:r>
              <w:rPr>
                <w:rFonts w:ascii="Times New Roman"/>
                <w:sz w:val="18"/>
              </w:rPr>
              <w:t>77.08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99,336,</w:t>
            </w:r>
          </w:p>
          <w:p>
            <w:pPr>
              <w:pStyle w:val="TableParagraph"/>
              <w:spacing w:line="240" w:lineRule="auto" w:before="102"/>
              <w:ind w:left="136" w:right="0"/>
              <w:jc w:val="left"/>
              <w:rPr>
                <w:rFonts w:ascii="Times New Roman" w:hAnsi="Times New Roman" w:cs="Times New Roman" w:eastAsia="Times New Roman" w:hint="default"/>
                <w:sz w:val="18"/>
                <w:szCs w:val="18"/>
              </w:rPr>
            </w:pPr>
            <w:r>
              <w:rPr>
                <w:rFonts w:ascii="Times New Roman"/>
                <w:sz w:val="18"/>
              </w:rPr>
              <w:t>058.38</w:t>
            </w: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785,850</w:t>
            </w:r>
          </w:p>
          <w:p>
            <w:pPr>
              <w:pStyle w:val="TableParagraph"/>
              <w:spacing w:line="240" w:lineRule="auto" w:before="102"/>
              <w:ind w:left="105" w:right="0"/>
              <w:jc w:val="left"/>
              <w:rPr>
                <w:rFonts w:ascii="Times New Roman" w:hAnsi="Times New Roman" w:cs="Times New Roman" w:eastAsia="Times New Roman" w:hint="default"/>
                <w:sz w:val="18"/>
                <w:szCs w:val="18"/>
              </w:rPr>
            </w:pPr>
            <w:r>
              <w:rPr>
                <w:rFonts w:ascii="Times New Roman"/>
                <w:sz w:val="18"/>
              </w:rPr>
              <w:t>,461.77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422,407</w:t>
            </w:r>
          </w:p>
          <w:p>
            <w:pPr>
              <w:pStyle w:val="TableParagraph"/>
              <w:spacing w:line="240" w:lineRule="auto" w:before="102"/>
              <w:ind w:left="79" w:right="0"/>
              <w:jc w:val="left"/>
              <w:rPr>
                <w:rFonts w:ascii="Times New Roman" w:hAnsi="Times New Roman" w:cs="Times New Roman" w:eastAsia="Times New Roman" w:hint="default"/>
                <w:sz w:val="18"/>
                <w:szCs w:val="18"/>
              </w:rPr>
            </w:pPr>
            <w:r>
              <w:rPr>
                <w:rFonts w:ascii="Times New Roman"/>
                <w:sz w:val="18"/>
              </w:rPr>
              <w:t>,882.22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2,964,2</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81,483.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59</w:t>
            </w:r>
          </w:p>
        </w:tc>
      </w:tr>
      <w:tr>
        <w:trPr>
          <w:trHeight w:val="71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41"/>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 错更正</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同一控</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36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制下企业合并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1"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2"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80" w:type="dxa"/>
            <w:tcBorders>
              <w:top w:val="single" w:sz="4" w:space="0" w:color="000000"/>
              <w:left w:val="single" w:sz="4" w:space="0" w:color="000000"/>
              <w:bottom w:val="single" w:sz="4" w:space="0" w:color="000000"/>
              <w:right w:val="single" w:sz="4" w:space="0" w:color="000000"/>
            </w:tcBorders>
          </w:tcPr>
          <w:p>
            <w:pPr/>
          </w:p>
        </w:tc>
        <w:tc>
          <w:tcPr>
            <w:tcW w:w="653" w:type="dxa"/>
            <w:tcBorders>
              <w:top w:val="single" w:sz="4" w:space="0" w:color="000000"/>
              <w:left w:val="single" w:sz="4" w:space="0" w:color="000000"/>
              <w:bottom w:val="single" w:sz="4" w:space="0" w:color="000000"/>
              <w:right w:val="single" w:sz="4" w:space="0" w:color="000000"/>
            </w:tcBorders>
          </w:tcPr>
          <w:p>
            <w:pPr/>
          </w:p>
        </w:tc>
        <w:tc>
          <w:tcPr>
            <w:tcW w:w="658"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 w:right="0"/>
              <w:jc w:val="left"/>
              <w:rPr>
                <w:rFonts w:ascii="Times New Roman" w:hAnsi="Times New Roman" w:cs="Times New Roman" w:eastAsia="Times New Roman" w:hint="default"/>
                <w:sz w:val="18"/>
                <w:szCs w:val="18"/>
              </w:rPr>
            </w:pPr>
            <w:r>
              <w:rPr>
                <w:rFonts w:ascii="Times New Roman"/>
                <w:sz w:val="18"/>
              </w:rPr>
              <w:t>711,43</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6,510.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1,181,7</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27,055.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229,040</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,607.20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-7,435,8</w:t>
            </w:r>
          </w:p>
          <w:p>
            <w:pPr>
              <w:pStyle w:val="TableParagraph"/>
              <w:spacing w:line="240" w:lineRule="auto" w:before="105"/>
              <w:ind w:left="209" w:right="0"/>
              <w:jc w:val="center"/>
              <w:rPr>
                <w:rFonts w:ascii="Times New Roman" w:hAnsi="Times New Roman" w:cs="Times New Roman" w:eastAsia="Times New Roman" w:hint="default"/>
                <w:sz w:val="18"/>
                <w:szCs w:val="18"/>
              </w:rPr>
            </w:pPr>
            <w:r>
              <w:rPr>
                <w:rFonts w:ascii="Times New Roman"/>
                <w:sz w:val="18"/>
              </w:rPr>
              <w:t>77.08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99,336,</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058.38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785,850</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,461.77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422,407</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,882.22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2,964,2</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81,483.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59</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355,09</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0,755.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-298,04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7,260.7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 w:right="0"/>
              <w:jc w:val="center"/>
              <w:rPr>
                <w:rFonts w:ascii="Times New Roman" w:hAnsi="Times New Roman" w:cs="Times New Roman" w:eastAsia="Times New Roman" w:hint="default"/>
                <w:sz w:val="18"/>
                <w:szCs w:val="18"/>
              </w:rPr>
            </w:pPr>
            <w:r>
              <w:rPr>
                <w:rFonts w:ascii="Times New Roman"/>
                <w:sz w:val="18"/>
              </w:rPr>
              <w:t>-71,133,</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109.76</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6,031,6</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11.99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0" w:right="0"/>
              <w:jc w:val="center"/>
              <w:rPr>
                <w:rFonts w:ascii="Times New Roman" w:hAnsi="Times New Roman" w:cs="Times New Roman" w:eastAsia="Times New Roman" w:hint="default"/>
                <w:sz w:val="18"/>
                <w:szCs w:val="18"/>
              </w:rPr>
            </w:pPr>
            <w:r>
              <w:rPr>
                <w:rFonts w:ascii="Times New Roman"/>
                <w:sz w:val="18"/>
              </w:rPr>
              <w:t>6,877,7</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54.74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left"/>
              <w:rPr>
                <w:rFonts w:ascii="Times New Roman" w:hAnsi="Times New Roman" w:cs="Times New Roman" w:eastAsia="Times New Roman" w:hint="default"/>
                <w:sz w:val="18"/>
                <w:szCs w:val="18"/>
              </w:rPr>
            </w:pPr>
            <w:r>
              <w:rPr>
                <w:rFonts w:ascii="Times New Roman"/>
                <w:sz w:val="18"/>
              </w:rPr>
              <w:t>110,457</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,973.57</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-44,229</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,072.37</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207,314</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,871.97</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2"/>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6,031,6</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11.99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156,569</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,086.39</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-40,422</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,173.74</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122,178</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,524.64</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2"/>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-488,0</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57,531,</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494.28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-71,133,</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109.76</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123,595</w:t>
            </w:r>
          </w:p>
          <w:p>
            <w:pPr>
              <w:pStyle w:val="TableParagraph"/>
              <w:spacing w:line="240" w:lineRule="auto" w:before="105"/>
              <w:ind w:left="419" w:right="0"/>
              <w:jc w:val="left"/>
              <w:rPr>
                <w:rFonts w:ascii="Times New Roman" w:hAnsi="Times New Roman" w:cs="Times New Roman" w:eastAsia="Times New Roman" w:hint="default"/>
                <w:sz w:val="18"/>
                <w:szCs w:val="18"/>
              </w:rPr>
            </w:pPr>
            <w:r>
              <w:rPr>
                <w:rFonts w:ascii="Times New Roman"/>
                <w:sz w:val="18"/>
              </w:rPr>
              <w:t>.38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206,850</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.99</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128,507</w:t>
            </w:r>
          </w:p>
          <w:p>
            <w:pPr>
              <w:pStyle w:val="TableParagraph"/>
              <w:spacing w:line="240" w:lineRule="auto" w:before="105"/>
              <w:ind w:left="86" w:right="0"/>
              <w:jc w:val="left"/>
              <w:rPr>
                <w:rFonts w:ascii="Times New Roman" w:hAnsi="Times New Roman" w:cs="Times New Roman" w:eastAsia="Times New Roman" w:hint="default"/>
                <w:sz w:val="18"/>
                <w:szCs w:val="18"/>
              </w:rPr>
            </w:pPr>
            <w:r>
              <w:rPr>
                <w:rFonts w:ascii="Times New Roman"/>
                <w:sz w:val="18"/>
              </w:rPr>
              <w:t>,050.41</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-488,0</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-4,253,8</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16.70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 w:right="0"/>
              <w:jc w:val="center"/>
              <w:rPr>
                <w:rFonts w:ascii="Times New Roman" w:hAnsi="Times New Roman" w:cs="Times New Roman" w:eastAsia="Times New Roman" w:hint="default"/>
                <w:sz w:val="18"/>
                <w:szCs w:val="18"/>
              </w:rPr>
            </w:pPr>
            <w:r>
              <w:rPr>
                <w:rFonts w:ascii="Times New Roman"/>
                <w:sz w:val="18"/>
              </w:rPr>
              <w:t>-71,133,</w:t>
            </w:r>
          </w:p>
          <w:p>
            <w:pPr>
              <w:pStyle w:val="TableParagraph"/>
              <w:spacing w:line="240" w:lineRule="auto" w:before="105"/>
              <w:ind w:left="118" w:right="0"/>
              <w:jc w:val="center"/>
              <w:rPr>
                <w:rFonts w:ascii="Times New Roman" w:hAnsi="Times New Roman" w:cs="Times New Roman" w:eastAsia="Times New Roman" w:hint="default"/>
                <w:sz w:val="18"/>
                <w:szCs w:val="18"/>
              </w:rPr>
            </w:pPr>
            <w:r>
              <w:rPr>
                <w:rFonts w:ascii="Times New Roman"/>
                <w:sz w:val="18"/>
              </w:rPr>
              <w:t>109.76</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left"/>
              <w:rPr>
                <w:rFonts w:ascii="Times New Roman" w:hAnsi="Times New Roman" w:cs="Times New Roman" w:eastAsia="Times New Roman" w:hint="default"/>
                <w:sz w:val="18"/>
                <w:szCs w:val="18"/>
              </w:rPr>
            </w:pPr>
            <w:r>
              <w:rPr>
                <w:rFonts w:ascii="Times New Roman"/>
                <w:sz w:val="18"/>
              </w:rPr>
              <w:t>598,000</w:t>
            </w:r>
          </w:p>
          <w:p>
            <w:pPr>
              <w:pStyle w:val="TableParagraph"/>
              <w:spacing w:line="240" w:lineRule="auto" w:before="105"/>
              <w:ind w:left="393" w:right="0"/>
              <w:jc w:val="left"/>
              <w:rPr>
                <w:rFonts w:ascii="Times New Roman" w:hAnsi="Times New Roman" w:cs="Times New Roman" w:eastAsia="Times New Roman" w:hint="default"/>
                <w:sz w:val="18"/>
                <w:szCs w:val="18"/>
              </w:rPr>
            </w:pPr>
            <w:r>
              <w:rPr>
                <w:rFonts w:ascii="Times New Roman"/>
                <w:sz w:val="18"/>
              </w:rPr>
              <w:t>.00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left"/>
              <w:rPr>
                <w:rFonts w:ascii="Times New Roman" w:hAnsi="Times New Roman" w:cs="Times New Roman" w:eastAsia="Times New Roman" w:hint="default"/>
                <w:sz w:val="18"/>
                <w:szCs w:val="18"/>
              </w:rPr>
            </w:pPr>
            <w:r>
              <w:rPr>
                <w:rFonts w:ascii="Times New Roman"/>
                <w:sz w:val="18"/>
              </w:rPr>
              <w:t>66,989,</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293.06</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61,785,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609.24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w w:val="95"/>
                <w:sz w:val="18"/>
              </w:rPr>
              <w:t>10,811.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61,796,</w:t>
            </w:r>
          </w:p>
          <w:p>
            <w:pPr>
              <w:pStyle w:val="TableParagraph"/>
              <w:spacing w:line="240" w:lineRule="auto" w:before="105"/>
              <w:ind w:left="131" w:right="0"/>
              <w:jc w:val="left"/>
              <w:rPr>
                <w:rFonts w:ascii="Times New Roman" w:hAnsi="Times New Roman" w:cs="Times New Roman" w:eastAsia="Times New Roman" w:hint="default"/>
                <w:sz w:val="18"/>
                <w:szCs w:val="18"/>
              </w:rPr>
            </w:pPr>
            <w:r>
              <w:rPr>
                <w:rFonts w:ascii="Times New Roman"/>
                <w:sz w:val="18"/>
              </w:rPr>
              <w:t>420.44</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-298.26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123,595</w:t>
            </w:r>
          </w:p>
          <w:p>
            <w:pPr>
              <w:pStyle w:val="TableParagraph"/>
              <w:spacing w:line="240" w:lineRule="auto" w:before="105"/>
              <w:ind w:left="419" w:right="0"/>
              <w:jc w:val="left"/>
              <w:rPr>
                <w:rFonts w:ascii="Times New Roman" w:hAnsi="Times New Roman" w:cs="Times New Roman" w:eastAsia="Times New Roman" w:hint="default"/>
                <w:sz w:val="18"/>
                <w:szCs w:val="18"/>
              </w:rPr>
            </w:pPr>
            <w:r>
              <w:rPr>
                <w:rFonts w:ascii="Times New Roman"/>
                <w:sz w:val="18"/>
              </w:rPr>
              <w:t>.38</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-401,96</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0.21</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-278,66</w:t>
            </w:r>
          </w:p>
          <w:p>
            <w:pPr>
              <w:pStyle w:val="TableParagraph"/>
              <w:spacing w:line="240" w:lineRule="auto" w:before="105"/>
              <w:ind w:left="311" w:right="0"/>
              <w:jc w:val="left"/>
              <w:rPr>
                <w:rFonts w:ascii="Times New Roman" w:hAnsi="Times New Roman" w:cs="Times New Roman" w:eastAsia="Times New Roman" w:hint="default"/>
                <w:sz w:val="18"/>
                <w:szCs w:val="18"/>
              </w:rPr>
            </w:pPr>
            <w:r>
              <w:rPr>
                <w:rFonts w:ascii="Times New Roman"/>
                <w:sz w:val="18"/>
              </w:rPr>
              <w:t>3.09</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center"/>
              <w:rPr>
                <w:rFonts w:ascii="Times New Roman" w:hAnsi="Times New Roman" w:cs="Times New Roman" w:eastAsia="Times New Roman" w:hint="default"/>
                <w:sz w:val="18"/>
                <w:szCs w:val="18"/>
              </w:rPr>
            </w:pPr>
            <w:r>
              <w:rPr>
                <w:rFonts w:ascii="Times New Roman"/>
                <w:sz w:val="18"/>
              </w:rPr>
              <w:t>6,877,7</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54.74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center"/>
              <w:rPr>
                <w:rFonts w:ascii="Times New Roman" w:hAnsi="Times New Roman" w:cs="Times New Roman" w:eastAsia="Times New Roman" w:hint="default"/>
                <w:sz w:val="18"/>
                <w:szCs w:val="18"/>
              </w:rPr>
            </w:pPr>
            <w:r>
              <w:rPr>
                <w:rFonts w:ascii="Times New Roman"/>
                <w:sz w:val="18"/>
              </w:rPr>
              <w:t>-46,234,</w:t>
            </w:r>
          </w:p>
          <w:p>
            <w:pPr>
              <w:pStyle w:val="TableParagraph"/>
              <w:spacing w:line="240" w:lineRule="auto" w:before="105"/>
              <w:ind w:left="127" w:right="0"/>
              <w:jc w:val="center"/>
              <w:rPr>
                <w:rFonts w:ascii="Times New Roman" w:hAnsi="Times New Roman" w:cs="Times New Roman" w:eastAsia="Times New Roman" w:hint="default"/>
                <w:sz w:val="18"/>
                <w:szCs w:val="18"/>
              </w:rPr>
            </w:pPr>
            <w:r>
              <w:rPr>
                <w:rFonts w:ascii="Times New Roman"/>
                <w:sz w:val="18"/>
              </w:rPr>
              <w:t>708.20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-4,013,</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749.62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 w:right="0"/>
              <w:jc w:val="center"/>
              <w:rPr>
                <w:rFonts w:ascii="Times New Roman" w:hAnsi="Times New Roman" w:cs="Times New Roman" w:eastAsia="Times New Roman" w:hint="default"/>
                <w:sz w:val="18"/>
                <w:szCs w:val="18"/>
              </w:rPr>
            </w:pPr>
            <w:r>
              <w:rPr>
                <w:rFonts w:ascii="Times New Roman"/>
                <w:sz w:val="18"/>
              </w:rPr>
              <w:t>-43,370,</w:t>
            </w:r>
          </w:p>
          <w:p>
            <w:pPr>
              <w:pStyle w:val="TableParagraph"/>
              <w:spacing w:line="240" w:lineRule="auto" w:before="105"/>
              <w:ind w:left="110" w:right="0"/>
              <w:jc w:val="center"/>
              <w:rPr>
                <w:rFonts w:ascii="Times New Roman" w:hAnsi="Times New Roman" w:cs="Times New Roman" w:eastAsia="Times New Roman" w:hint="default"/>
                <w:sz w:val="18"/>
                <w:szCs w:val="18"/>
              </w:rPr>
            </w:pPr>
            <w:r>
              <w:rPr>
                <w:rFonts w:ascii="Times New Roman"/>
                <w:sz w:val="18"/>
              </w:rPr>
              <w:t>703.08</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0" w:right="0"/>
              <w:jc w:val="center"/>
              <w:rPr>
                <w:rFonts w:ascii="Times New Roman" w:hAnsi="Times New Roman" w:cs="Times New Roman" w:eastAsia="Times New Roman" w:hint="default"/>
                <w:sz w:val="18"/>
                <w:szCs w:val="18"/>
              </w:rPr>
            </w:pPr>
            <w:r>
              <w:rPr>
                <w:rFonts w:ascii="Times New Roman"/>
                <w:sz w:val="18"/>
              </w:rPr>
              <w:t>6,877,7</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54.74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-6,877,7</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54.74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-39,113,</w:t>
            </w:r>
          </w:p>
          <w:p>
            <w:pPr>
              <w:pStyle w:val="TableParagraph"/>
              <w:spacing w:line="240" w:lineRule="auto" w:before="105"/>
              <w:ind w:left="151" w:right="0"/>
              <w:jc w:val="left"/>
              <w:rPr>
                <w:rFonts w:ascii="Times New Roman" w:hAnsi="Times New Roman" w:cs="Times New Roman" w:eastAsia="Times New Roman" w:hint="default"/>
                <w:sz w:val="18"/>
                <w:szCs w:val="18"/>
              </w:rPr>
            </w:pPr>
            <w:r>
              <w:rPr>
                <w:rFonts w:ascii="Times New Roman"/>
                <w:sz w:val="18"/>
              </w:rPr>
              <w:t>663.04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0" w:right="0"/>
              <w:jc w:val="left"/>
              <w:rPr>
                <w:rFonts w:ascii="Times New Roman" w:hAnsi="Times New Roman" w:cs="Times New Roman" w:eastAsia="Times New Roman" w:hint="default"/>
                <w:sz w:val="18"/>
                <w:szCs w:val="18"/>
              </w:rPr>
            </w:pPr>
            <w:r>
              <w:rPr>
                <w:rFonts w:ascii="Times New Roman"/>
                <w:sz w:val="18"/>
              </w:rPr>
              <w:t>-3,780,</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000.00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 w:right="0"/>
              <w:jc w:val="center"/>
              <w:rPr>
                <w:rFonts w:ascii="Times New Roman" w:hAnsi="Times New Roman" w:cs="Times New Roman" w:eastAsia="Times New Roman" w:hint="default"/>
                <w:sz w:val="18"/>
                <w:szCs w:val="18"/>
              </w:rPr>
            </w:pPr>
            <w:r>
              <w:rPr>
                <w:rFonts w:ascii="Times New Roman"/>
                <w:sz w:val="18"/>
              </w:rPr>
              <w:t>-42,893,</w:t>
            </w:r>
          </w:p>
          <w:p>
            <w:pPr>
              <w:pStyle w:val="TableParagraph"/>
              <w:spacing w:line="240" w:lineRule="auto" w:before="105"/>
              <w:ind w:left="110" w:right="0"/>
              <w:jc w:val="center"/>
              <w:rPr>
                <w:rFonts w:ascii="Times New Roman" w:hAnsi="Times New Roman" w:cs="Times New Roman" w:eastAsia="Times New Roman" w:hint="default"/>
                <w:sz w:val="18"/>
                <w:szCs w:val="18"/>
              </w:rPr>
            </w:pPr>
            <w:r>
              <w:rPr>
                <w:rFonts w:ascii="Times New Roman"/>
                <w:sz w:val="18"/>
              </w:rPr>
              <w:t>663.04</w:t>
            </w:r>
          </w:p>
        </w:tc>
      </w:tr>
      <w:tr>
        <w:trPr>
          <w:trHeight w:val="71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-243,29</w:t>
            </w:r>
          </w:p>
          <w:p>
            <w:pPr>
              <w:pStyle w:val="TableParagraph"/>
              <w:spacing w:line="240" w:lineRule="auto" w:before="105"/>
              <w:ind w:left="331" w:right="0"/>
              <w:jc w:val="left"/>
              <w:rPr>
                <w:rFonts w:ascii="Times New Roman" w:hAnsi="Times New Roman" w:cs="Times New Roman" w:eastAsia="Times New Roman" w:hint="default"/>
                <w:sz w:val="18"/>
                <w:szCs w:val="18"/>
              </w:rPr>
            </w:pPr>
            <w:r>
              <w:rPr>
                <w:rFonts w:ascii="Times New Roman"/>
                <w:sz w:val="18"/>
              </w:rPr>
              <w:t>0.42</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-233,74</w:t>
            </w:r>
          </w:p>
          <w:p>
            <w:pPr>
              <w:pStyle w:val="TableParagraph"/>
              <w:spacing w:line="240" w:lineRule="auto" w:before="105"/>
              <w:ind w:left="304" w:right="0"/>
              <w:jc w:val="left"/>
              <w:rPr>
                <w:rFonts w:ascii="Times New Roman" w:hAnsi="Times New Roman" w:cs="Times New Roman" w:eastAsia="Times New Roman" w:hint="default"/>
                <w:sz w:val="18"/>
                <w:szCs w:val="18"/>
              </w:rPr>
            </w:pPr>
            <w:r>
              <w:rPr>
                <w:rFonts w:ascii="Times New Roman"/>
                <w:sz w:val="18"/>
              </w:rPr>
              <w:t>9.62</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-477,04</w:t>
            </w:r>
          </w:p>
          <w:p>
            <w:pPr>
              <w:pStyle w:val="TableParagraph"/>
              <w:spacing w:line="240" w:lineRule="auto" w:before="105"/>
              <w:ind w:left="311" w:right="0"/>
              <w:jc w:val="left"/>
              <w:rPr>
                <w:rFonts w:ascii="Times New Roman" w:hAnsi="Times New Roman" w:cs="Times New Roman" w:eastAsia="Times New Roman" w:hint="default"/>
                <w:sz w:val="18"/>
                <w:szCs w:val="18"/>
              </w:rPr>
            </w:pPr>
            <w:r>
              <w:rPr>
                <w:rFonts w:ascii="Times New Roman"/>
                <w:sz w:val="18"/>
              </w:rPr>
              <w:t>0.04</w:t>
            </w:r>
          </w:p>
        </w:tc>
      </w:tr>
      <w:tr>
        <w:trPr>
          <w:trHeight w:val="1025"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22"/>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355,57</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8,755.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-355,57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8,755.0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355,57</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8,755.</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-355,57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pacing w:val="-1"/>
                <w:sz w:val="18"/>
              </w:rPr>
              <w:t>8,755.0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1"/>
        <w:gridCol w:w="533"/>
        <w:gridCol w:w="662"/>
        <w:gridCol w:w="665"/>
        <w:gridCol w:w="668"/>
        <w:gridCol w:w="665"/>
        <w:gridCol w:w="662"/>
        <w:gridCol w:w="665"/>
        <w:gridCol w:w="680"/>
        <w:gridCol w:w="653"/>
        <w:gridCol w:w="658"/>
      </w:tblGrid>
      <w:tr>
        <w:trPr>
          <w:trHeight w:val="71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8"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center"/>
              <w:rPr>
                <w:rFonts w:ascii="Times New Roman" w:hAnsi="Times New Roman" w:cs="Times New Roman" w:eastAsia="Times New Roman" w:hint="default"/>
                <w:sz w:val="18"/>
                <w:szCs w:val="18"/>
              </w:rPr>
            </w:pPr>
            <w:r>
              <w:rPr>
                <w:rFonts w:ascii="Times New Roman"/>
                <w:sz w:val="18"/>
              </w:rPr>
              <w:t>1,066,</w:t>
            </w:r>
          </w:p>
          <w:p>
            <w:pPr>
              <w:pStyle w:val="TableParagraph"/>
              <w:spacing w:line="240" w:lineRule="auto" w:before="105"/>
              <w:ind w:left="15" w:right="0"/>
              <w:jc w:val="center"/>
              <w:rPr>
                <w:rFonts w:ascii="Times New Roman" w:hAnsi="Times New Roman" w:cs="Times New Roman" w:eastAsia="Times New Roman" w:hint="default"/>
                <w:sz w:val="18"/>
                <w:szCs w:val="18"/>
              </w:rPr>
            </w:pPr>
            <w:r>
              <w:rPr>
                <w:rFonts w:ascii="Times New Roman"/>
                <w:sz w:val="18"/>
              </w:rPr>
              <w:t>527,26</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5.00</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5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883,679</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,794.78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8" w:right="0"/>
              <w:jc w:val="left"/>
              <w:rPr>
                <w:rFonts w:ascii="Times New Roman" w:hAnsi="Times New Roman" w:cs="Times New Roman" w:eastAsia="Times New Roman" w:hint="default"/>
                <w:sz w:val="18"/>
                <w:szCs w:val="18"/>
              </w:rPr>
            </w:pPr>
            <w:r>
              <w:rPr>
                <w:rFonts w:ascii="Times New Roman"/>
                <w:sz w:val="18"/>
              </w:rPr>
              <w:t>157,907</w:t>
            </w:r>
          </w:p>
          <w:p>
            <w:pPr>
              <w:pStyle w:val="TableParagraph"/>
              <w:spacing w:line="240" w:lineRule="auto" w:before="105"/>
              <w:ind w:left="93" w:right="0"/>
              <w:jc w:val="left"/>
              <w:rPr>
                <w:rFonts w:ascii="Times New Roman" w:hAnsi="Times New Roman" w:cs="Times New Roman" w:eastAsia="Times New Roman" w:hint="default"/>
                <w:sz w:val="18"/>
                <w:szCs w:val="18"/>
              </w:rPr>
            </w:pPr>
            <w:r>
              <w:rPr>
                <w:rFonts w:ascii="Times New Roman"/>
                <w:sz w:val="18"/>
              </w:rPr>
              <w:t>,497.44</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 w:right="0"/>
              <w:jc w:val="center"/>
              <w:rPr>
                <w:rFonts w:ascii="Times New Roman" w:hAnsi="Times New Roman" w:cs="Times New Roman" w:eastAsia="Times New Roman" w:hint="default"/>
                <w:sz w:val="18"/>
                <w:szCs w:val="18"/>
              </w:rPr>
            </w:pPr>
            <w:r>
              <w:rPr>
                <w:rFonts w:ascii="Times New Roman"/>
                <w:sz w:val="18"/>
              </w:rPr>
              <w:t>-1,404,2</w:t>
            </w:r>
          </w:p>
          <w:p>
            <w:pPr>
              <w:pStyle w:val="TableParagraph"/>
              <w:spacing w:line="240" w:lineRule="auto" w:before="105"/>
              <w:ind w:left="209" w:right="0"/>
              <w:jc w:val="center"/>
              <w:rPr>
                <w:rFonts w:ascii="Times New Roman" w:hAnsi="Times New Roman" w:cs="Times New Roman" w:eastAsia="Times New Roman" w:hint="default"/>
                <w:sz w:val="18"/>
                <w:szCs w:val="18"/>
              </w:rPr>
            </w:pPr>
            <w:r>
              <w:rPr>
                <w:rFonts w:ascii="Times New Roman"/>
                <w:sz w:val="18"/>
              </w:rPr>
              <w:t>65.09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106,213</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,813.12</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896,308</w:t>
            </w:r>
          </w:p>
          <w:p>
            <w:pPr>
              <w:pStyle w:val="TableParagraph"/>
              <w:spacing w:line="240" w:lineRule="auto" w:before="105"/>
              <w:ind w:left="105" w:right="0"/>
              <w:jc w:val="left"/>
              <w:rPr>
                <w:rFonts w:ascii="Times New Roman" w:hAnsi="Times New Roman" w:cs="Times New Roman" w:eastAsia="Times New Roman" w:hint="default"/>
                <w:sz w:val="18"/>
                <w:szCs w:val="18"/>
              </w:rPr>
            </w:pPr>
            <w:r>
              <w:rPr>
                <w:rFonts w:ascii="Times New Roman"/>
                <w:sz w:val="18"/>
              </w:rPr>
              <w:t>,435.34</w:t>
            </w:r>
          </w:p>
        </w:tc>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left"/>
              <w:rPr>
                <w:rFonts w:ascii="Times New Roman" w:hAnsi="Times New Roman" w:cs="Times New Roman" w:eastAsia="Times New Roman" w:hint="default"/>
                <w:sz w:val="18"/>
                <w:szCs w:val="18"/>
              </w:rPr>
            </w:pPr>
            <w:r>
              <w:rPr>
                <w:rFonts w:ascii="Times New Roman"/>
                <w:sz w:val="18"/>
              </w:rPr>
              <w:t>378,178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,809.85</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3,171,5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96,355.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56</w:t>
            </w:r>
          </w:p>
        </w:tc>
      </w:tr>
    </w:tbl>
    <w:p>
      <w:pPr>
        <w:spacing w:line="240" w:lineRule="auto" w:before="10"/>
        <w:rPr>
          <w:rFonts w:ascii="Times New Roman" w:hAnsi="Times New Roman" w:cs="Times New Roman" w:eastAsia="Times New Roman" w:hint="default"/>
          <w:sz w:val="21"/>
          <w:szCs w:val="21"/>
        </w:rPr>
      </w:pPr>
    </w:p>
    <w:p>
      <w:pPr>
        <w:pStyle w:val="Heading5"/>
        <w:spacing w:line="240" w:lineRule="auto" w:before="36"/>
        <w:ind w:right="0"/>
        <w:jc w:val="left"/>
        <w:rPr>
          <w:b w:val="0"/>
          <w:bCs w:val="0"/>
        </w:rPr>
      </w:pPr>
      <w:r>
        <w:rPr>
          <w:rFonts w:ascii="Times New Roman" w:hAnsi="Times New Roman" w:cs="Times New Roman" w:eastAsia="Times New Roman" w:hint="default"/>
        </w:rPr>
        <w:t>8</w:t>
      </w:r>
      <w:r>
        <w:rPr/>
        <w:t>、母公司所有者权益变动表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0"/>
        <w:jc w:val="left"/>
      </w:pPr>
      <w:r>
        <w:rPr/>
        <w:t>本期金额</w:t>
      </w:r>
    </w:p>
    <w:p>
      <w:pPr>
        <w:pStyle w:val="BodyText"/>
        <w:spacing w:line="240" w:lineRule="auto" w:before="117"/>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40"/>
        <w:gridCol w:w="691"/>
        <w:gridCol w:w="665"/>
        <w:gridCol w:w="668"/>
        <w:gridCol w:w="665"/>
        <w:gridCol w:w="797"/>
        <w:gridCol w:w="797"/>
        <w:gridCol w:w="797"/>
        <w:gridCol w:w="799"/>
        <w:gridCol w:w="797"/>
        <w:gridCol w:w="677"/>
        <w:gridCol w:w="780"/>
      </w:tblGrid>
      <w:tr>
        <w:trPr>
          <w:trHeight w:val="401" w:hRule="exact"/>
        </w:trPr>
        <w:tc>
          <w:tcPr>
            <w:tcW w:w="14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3" w:hRule="exact"/>
        </w:trPr>
        <w:tc>
          <w:tcPr>
            <w:tcW w:w="1440"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304" w:right="33"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213"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53" w:right="6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4"/>
              <w:ind w:left="115" w:right="23"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401" w:hRule="exact"/>
        </w:trPr>
        <w:tc>
          <w:tcPr>
            <w:tcW w:w="1440"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5"/>
              <w:jc w:val="right"/>
              <w:rPr>
                <w:rFonts w:ascii="宋体" w:hAnsi="宋体" w:cs="宋体" w:eastAsia="宋体" w:hint="default"/>
                <w:sz w:val="18"/>
                <w:szCs w:val="18"/>
              </w:rPr>
            </w:pPr>
            <w:r>
              <w:rPr>
                <w:rFonts w:ascii="宋体" w:hAnsi="宋体" w:cs="宋体" w:eastAsia="宋体" w:hint="default"/>
                <w:sz w:val="18"/>
                <w:szCs w:val="18"/>
              </w:rPr>
              <w:t>优先股</w:t>
            </w:r>
          </w:p>
        </w:tc>
        <w:tc>
          <w:tcPr>
            <w:tcW w:w="6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5"/>
              <w:jc w:val="right"/>
              <w:rPr>
                <w:rFonts w:ascii="宋体" w:hAnsi="宋体" w:cs="宋体" w:eastAsia="宋体" w:hint="default"/>
                <w:sz w:val="18"/>
                <w:szCs w:val="18"/>
              </w:rPr>
            </w:pPr>
            <w:r>
              <w:rPr>
                <w:rFonts w:ascii="宋体" w:hAnsi="宋体" w:cs="宋体" w:eastAsia="宋体" w:hint="default"/>
                <w:sz w:val="18"/>
                <w:szCs w:val="18"/>
              </w:rPr>
              <w:t>永续债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716"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1,066,52</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7,265.00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947,472,4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06.38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157,907,4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97.44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119,118,3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34.23</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734,959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,435.33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2,710,169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,943.50</w:t>
            </w:r>
          </w:p>
        </w:tc>
      </w:tr>
      <w:tr>
        <w:trPr>
          <w:trHeight w:val="71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4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 错更正</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1,066,52</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7,265.00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947,472,4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06.38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157,907,4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97.44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119,118,3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34.23</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734,959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,435.33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2,710,169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,943.50</w:t>
            </w:r>
          </w:p>
        </w:tc>
      </w:tr>
      <w:tr>
        <w:trPr>
          <w:trHeight w:val="102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7" w:lineRule="auto" w:before="49"/>
              <w:ind w:left="24" w:right="1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216,087,</w:t>
            </w:r>
          </w:p>
          <w:p>
            <w:pPr>
              <w:pStyle w:val="TableParagraph"/>
              <w:spacing w:line="240" w:lineRule="auto" w:before="102"/>
              <w:ind w:left="149" w:right="0"/>
              <w:jc w:val="center"/>
              <w:rPr>
                <w:rFonts w:ascii="Times New Roman" w:hAnsi="Times New Roman" w:cs="Times New Roman" w:eastAsia="Times New Roman" w:hint="default"/>
                <w:sz w:val="18"/>
                <w:szCs w:val="18"/>
              </w:rPr>
            </w:pPr>
            <w:r>
              <w:rPr>
                <w:rFonts w:ascii="Times New Roman"/>
                <w:sz w:val="18"/>
              </w:rPr>
              <w:t>748.00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3,465,468</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,062.19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-79,934,3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20.42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2,901,553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0" w:right="0"/>
              <w:jc w:val="center"/>
              <w:rPr>
                <w:rFonts w:ascii="Times New Roman" w:hAnsi="Times New Roman" w:cs="Times New Roman" w:eastAsia="Times New Roman" w:hint="default"/>
                <w:sz w:val="18"/>
                <w:szCs w:val="18"/>
              </w:rPr>
            </w:pPr>
            <w:r>
              <w:rPr>
                <w:rFonts w:ascii="Times New Roman"/>
                <w:sz w:val="18"/>
              </w:rPr>
              <w:t>-23,093,</w:t>
            </w:r>
          </w:p>
          <w:p>
            <w:pPr>
              <w:pStyle w:val="TableParagraph"/>
              <w:spacing w:line="240" w:lineRule="auto" w:before="102"/>
              <w:ind w:left="125" w:right="0"/>
              <w:jc w:val="center"/>
              <w:rPr>
                <w:rFonts w:ascii="Times New Roman" w:hAnsi="Times New Roman" w:cs="Times New Roman" w:eastAsia="Times New Roman" w:hint="default"/>
                <w:sz w:val="18"/>
                <w:szCs w:val="18"/>
              </w:rPr>
            </w:pPr>
            <w:r>
              <w:rPr>
                <w:rFonts w:ascii="Times New Roman"/>
                <w:sz w:val="18"/>
              </w:rPr>
              <w:t>997.10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3,741,297</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,686.68</w:t>
            </w: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531.67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29,015,53</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1.67</w:t>
            </w:r>
          </w:p>
        </w:tc>
      </w:tr>
      <w:tr>
        <w:trPr>
          <w:trHeight w:val="71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 w:right="2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216,087,</w:t>
            </w:r>
          </w:p>
          <w:p>
            <w:pPr>
              <w:pStyle w:val="TableParagraph"/>
              <w:spacing w:line="240" w:lineRule="auto" w:before="102"/>
              <w:ind w:left="149" w:right="0"/>
              <w:jc w:val="center"/>
              <w:rPr>
                <w:rFonts w:ascii="Times New Roman" w:hAnsi="Times New Roman" w:cs="Times New Roman" w:eastAsia="Times New Roman" w:hint="default"/>
                <w:sz w:val="18"/>
                <w:szCs w:val="18"/>
              </w:rPr>
            </w:pPr>
            <w:r>
              <w:rPr>
                <w:rFonts w:ascii="Times New Roman"/>
                <w:sz w:val="18"/>
              </w:rPr>
              <w:t>748.00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3,465,468</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,062.19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-79,934,3</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20.42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-1,751,2</w:t>
            </w:r>
          </w:p>
          <w:p>
            <w:pPr>
              <w:pStyle w:val="TableParagraph"/>
              <w:spacing w:line="240" w:lineRule="auto" w:before="102"/>
              <w:ind w:left="214" w:right="0"/>
              <w:jc w:val="center"/>
              <w:rPr>
                <w:rFonts w:ascii="Times New Roman" w:hAnsi="Times New Roman" w:cs="Times New Roman" w:eastAsia="Times New Roman" w:hint="default"/>
                <w:sz w:val="18"/>
                <w:szCs w:val="18"/>
              </w:rPr>
            </w:pPr>
            <w:r>
              <w:rPr>
                <w:rFonts w:ascii="Times New Roman"/>
                <w:sz w:val="18"/>
              </w:rPr>
              <w:t>20.12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3,759,738</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,910.49</w:t>
            </w:r>
          </w:p>
        </w:tc>
      </w:tr>
      <w:tr>
        <w:trPr>
          <w:trHeight w:val="71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216,087,</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748.00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3,439,614</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,014.33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-79,934,3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20.42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3,735,636</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,082.75</w:t>
            </w: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8"/>
        <w:gridCol w:w="665"/>
        <w:gridCol w:w="797"/>
        <w:gridCol w:w="797"/>
        <w:gridCol w:w="797"/>
        <w:gridCol w:w="799"/>
        <w:gridCol w:w="797"/>
        <w:gridCol w:w="677"/>
        <w:gridCol w:w="780"/>
      </w:tblGrid>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25,854,04</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7.86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25,854,04</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7.86</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9" w:right="0"/>
              <w:jc w:val="center"/>
              <w:rPr>
                <w:rFonts w:ascii="Times New Roman" w:hAnsi="Times New Roman" w:cs="Times New Roman" w:eastAsia="Times New Roman" w:hint="default"/>
                <w:sz w:val="18"/>
                <w:szCs w:val="18"/>
              </w:rPr>
            </w:pPr>
            <w:r>
              <w:rPr>
                <w:rFonts w:ascii="Times New Roman"/>
                <w:sz w:val="18"/>
              </w:rPr>
              <w:t>-1,751,2</w:t>
            </w:r>
          </w:p>
          <w:p>
            <w:pPr>
              <w:pStyle w:val="TableParagraph"/>
              <w:spacing w:line="240" w:lineRule="auto" w:before="102"/>
              <w:ind w:left="214" w:right="0"/>
              <w:jc w:val="center"/>
              <w:rPr>
                <w:rFonts w:ascii="Times New Roman" w:hAnsi="Times New Roman" w:cs="Times New Roman" w:eastAsia="Times New Roman" w:hint="default"/>
                <w:sz w:val="18"/>
                <w:szCs w:val="18"/>
              </w:rPr>
            </w:pPr>
            <w:r>
              <w:rPr>
                <w:rFonts w:ascii="Times New Roman"/>
                <w:sz w:val="18"/>
              </w:rPr>
              <w:t>20.12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59" w:right="0"/>
              <w:jc w:val="left"/>
              <w:rPr>
                <w:rFonts w:ascii="Times New Roman" w:hAnsi="Times New Roman" w:cs="Times New Roman" w:eastAsia="Times New Roman" w:hint="default"/>
                <w:sz w:val="18"/>
                <w:szCs w:val="18"/>
              </w:rPr>
            </w:pPr>
            <w:r>
              <w:rPr>
                <w:rFonts w:ascii="Times New Roman"/>
                <w:sz w:val="18"/>
              </w:rPr>
              <w:t>-1,751,22</w:t>
            </w:r>
          </w:p>
          <w:p>
            <w:pPr>
              <w:pStyle w:val="TableParagraph"/>
              <w:spacing w:line="240" w:lineRule="auto" w:before="102"/>
              <w:ind w:left="434" w:right="0"/>
              <w:jc w:val="left"/>
              <w:rPr>
                <w:rFonts w:ascii="Times New Roman" w:hAnsi="Times New Roman" w:cs="Times New Roman" w:eastAsia="Times New Roman" w:hint="default"/>
                <w:sz w:val="18"/>
                <w:szCs w:val="18"/>
              </w:rPr>
            </w:pPr>
            <w:r>
              <w:rPr>
                <w:rFonts w:ascii="Times New Roman"/>
                <w:sz w:val="18"/>
              </w:rPr>
              <w:t>0.12</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2,901,553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-50,358,</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308.65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-47,456,7</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55.48</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2,901,553</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.17</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9" w:right="0"/>
              <w:jc w:val="center"/>
              <w:rPr>
                <w:rFonts w:ascii="Times New Roman" w:hAnsi="Times New Roman" w:cs="Times New Roman" w:eastAsia="Times New Roman" w:hint="default"/>
                <w:sz w:val="18"/>
                <w:szCs w:val="18"/>
              </w:rPr>
            </w:pPr>
            <w:r>
              <w:rPr>
                <w:rFonts w:ascii="Times New Roman"/>
                <w:sz w:val="18"/>
              </w:rPr>
              <w:t>-2,901,5</w:t>
            </w:r>
          </w:p>
          <w:p>
            <w:pPr>
              <w:pStyle w:val="TableParagraph"/>
              <w:spacing w:line="240" w:lineRule="auto" w:before="102"/>
              <w:ind w:left="214" w:right="0"/>
              <w:jc w:val="center"/>
              <w:rPr>
                <w:rFonts w:ascii="Times New Roman" w:hAnsi="Times New Roman" w:cs="Times New Roman" w:eastAsia="Times New Roman" w:hint="default"/>
                <w:sz w:val="18"/>
                <w:szCs w:val="18"/>
              </w:rPr>
            </w:pPr>
            <w:r>
              <w:rPr>
                <w:rFonts w:ascii="Times New Roman"/>
                <w:sz w:val="18"/>
              </w:rPr>
              <w:t>53.17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-47,456,</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755.48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-47,456,7</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55.48</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31" w:right="0"/>
              <w:jc w:val="left"/>
              <w:rPr>
                <w:rFonts w:ascii="Times New Roman" w:hAnsi="Times New Roman" w:cs="Times New Roman" w:eastAsia="Times New Roman" w:hint="default"/>
                <w:sz w:val="18"/>
                <w:szCs w:val="18"/>
              </w:rPr>
            </w:pPr>
            <w:r>
              <w:rPr>
                <w:rFonts w:ascii="Times New Roman"/>
                <w:sz w:val="18"/>
              </w:rPr>
              <w:t>1,282,61</w:t>
            </w:r>
          </w:p>
          <w:p>
            <w:pPr>
              <w:pStyle w:val="TableParagraph"/>
              <w:spacing w:line="240" w:lineRule="auto" w:before="102"/>
              <w:ind w:left="31" w:right="0"/>
              <w:jc w:val="left"/>
              <w:rPr>
                <w:rFonts w:ascii="Times New Roman" w:hAnsi="Times New Roman" w:cs="Times New Roman" w:eastAsia="Times New Roman" w:hint="default"/>
                <w:sz w:val="18"/>
                <w:szCs w:val="18"/>
              </w:rPr>
            </w:pPr>
            <w:r>
              <w:rPr>
                <w:rFonts w:ascii="Times New Roman"/>
                <w:sz w:val="18"/>
              </w:rPr>
              <w:t>5,013.00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center"/>
              <w:rPr>
                <w:rFonts w:ascii="Times New Roman" w:hAnsi="Times New Roman" w:cs="Times New Roman" w:eastAsia="Times New Roman" w:hint="default"/>
                <w:sz w:val="18"/>
                <w:szCs w:val="18"/>
              </w:rPr>
            </w:pPr>
            <w:r>
              <w:rPr>
                <w:rFonts w:ascii="Times New Roman"/>
                <w:sz w:val="18"/>
              </w:rPr>
              <w:t>4,412,940</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,468.57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77,973,17</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7.02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122,019,8</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87.40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64" w:right="0"/>
              <w:jc w:val="left"/>
              <w:rPr>
                <w:rFonts w:ascii="Times New Roman" w:hAnsi="Times New Roman" w:cs="Times New Roman" w:eastAsia="Times New Roman" w:hint="default"/>
                <w:sz w:val="18"/>
                <w:szCs w:val="18"/>
              </w:rPr>
            </w:pPr>
            <w:r>
              <w:rPr>
                <w:rFonts w:ascii="Times New Roman"/>
                <w:sz w:val="18"/>
              </w:rPr>
              <w:t>711,865</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,438.23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 w:right="0"/>
              <w:jc w:val="center"/>
              <w:rPr>
                <w:rFonts w:ascii="Times New Roman" w:hAnsi="Times New Roman" w:cs="Times New Roman" w:eastAsia="Times New Roman" w:hint="default"/>
                <w:sz w:val="18"/>
                <w:szCs w:val="18"/>
              </w:rPr>
            </w:pPr>
            <w:r>
              <w:rPr>
                <w:rFonts w:ascii="Times New Roman"/>
                <w:sz w:val="18"/>
              </w:rPr>
              <w:t>6,451,467</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,630.18</w:t>
            </w:r>
          </w:p>
        </w:tc>
      </w:tr>
    </w:tbl>
    <w:p>
      <w:pPr>
        <w:pStyle w:val="BodyText"/>
        <w:spacing w:line="240" w:lineRule="auto" w:before="49"/>
        <w:ind w:right="0"/>
        <w:jc w:val="left"/>
      </w:pPr>
      <w:r>
        <w:rPr/>
        <w:t>上期金额</w:t>
      </w:r>
    </w:p>
    <w:p>
      <w:pPr>
        <w:pStyle w:val="BodyText"/>
        <w:spacing w:line="240" w:lineRule="auto" w:before="115"/>
        <w:ind w:left="0" w:right="15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40"/>
        <w:gridCol w:w="691"/>
        <w:gridCol w:w="665"/>
        <w:gridCol w:w="668"/>
        <w:gridCol w:w="665"/>
        <w:gridCol w:w="797"/>
        <w:gridCol w:w="797"/>
        <w:gridCol w:w="797"/>
        <w:gridCol w:w="799"/>
        <w:gridCol w:w="797"/>
        <w:gridCol w:w="677"/>
        <w:gridCol w:w="780"/>
      </w:tblGrid>
      <w:tr>
        <w:trPr>
          <w:trHeight w:val="404" w:hRule="exact"/>
        </w:trPr>
        <w:tc>
          <w:tcPr>
            <w:tcW w:w="144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1" w:hRule="exact"/>
        </w:trPr>
        <w:tc>
          <w:tcPr>
            <w:tcW w:w="1440"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5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304" w:right="33"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213"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153" w:right="62" w:hanging="92"/>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94"/>
              <w:ind w:left="115" w:right="23" w:hanging="89"/>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403" w:hRule="exact"/>
        </w:trPr>
        <w:tc>
          <w:tcPr>
            <w:tcW w:w="1440"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5"/>
              <w:jc w:val="right"/>
              <w:rPr>
                <w:rFonts w:ascii="宋体" w:hAnsi="宋体" w:cs="宋体" w:eastAsia="宋体" w:hint="default"/>
                <w:sz w:val="18"/>
                <w:szCs w:val="18"/>
              </w:rPr>
            </w:pPr>
            <w:r>
              <w:rPr>
                <w:rFonts w:ascii="宋体" w:hAnsi="宋体" w:cs="宋体" w:eastAsia="宋体" w:hint="default"/>
                <w:sz w:val="18"/>
                <w:szCs w:val="18"/>
              </w:rPr>
              <w:t>优先股</w:t>
            </w:r>
          </w:p>
        </w:tc>
        <w:tc>
          <w:tcPr>
            <w:tcW w:w="6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55"/>
              <w:jc w:val="right"/>
              <w:rPr>
                <w:rFonts w:ascii="宋体" w:hAnsi="宋体" w:cs="宋体" w:eastAsia="宋体" w:hint="default"/>
                <w:sz w:val="18"/>
                <w:szCs w:val="18"/>
              </w:rPr>
            </w:pPr>
            <w:r>
              <w:rPr>
                <w:rFonts w:ascii="宋体" w:hAnsi="宋体" w:cs="宋体" w:eastAsia="宋体" w:hint="default"/>
                <w:sz w:val="18"/>
                <w:szCs w:val="18"/>
              </w:rPr>
              <w:t>永续债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4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9"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711,436,</w:t>
            </w:r>
          </w:p>
          <w:p>
            <w:pPr>
              <w:pStyle w:val="TableParagraph"/>
              <w:spacing w:line="240" w:lineRule="auto" w:before="102"/>
              <w:ind w:left="149" w:right="0"/>
              <w:jc w:val="center"/>
              <w:rPr>
                <w:rFonts w:ascii="Times New Roman" w:hAnsi="Times New Roman" w:cs="Times New Roman" w:eastAsia="Times New Roman" w:hint="default"/>
                <w:sz w:val="18"/>
                <w:szCs w:val="18"/>
              </w:rPr>
            </w:pPr>
            <w:r>
              <w:rPr>
                <w:rFonts w:ascii="Times New Roman"/>
                <w:sz w:val="18"/>
              </w:rPr>
              <w:t>510.00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1,245,530</w:t>
            </w:r>
          </w:p>
          <w:p>
            <w:pPr>
              <w:pStyle w:val="TableParagraph"/>
              <w:spacing w:line="240" w:lineRule="auto" w:before="102"/>
              <w:ind w:left="204" w:right="0"/>
              <w:jc w:val="center"/>
              <w:rPr>
                <w:rFonts w:ascii="Times New Roman" w:hAnsi="Times New Roman" w:cs="Times New Roman" w:eastAsia="Times New Roman" w:hint="default"/>
                <w:sz w:val="18"/>
                <w:szCs w:val="18"/>
              </w:rPr>
            </w:pPr>
            <w:r>
              <w:rPr>
                <w:rFonts w:ascii="Times New Roman"/>
                <w:sz w:val="18"/>
              </w:rPr>
              <w:t>,621.27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229,040,6</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07.20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112,240,5</w:t>
            </w:r>
          </w:p>
          <w:p>
            <w:pPr>
              <w:pStyle w:val="TableParagraph"/>
              <w:spacing w:line="240" w:lineRule="auto" w:before="102"/>
              <w:ind w:left="359" w:right="0"/>
              <w:jc w:val="left"/>
              <w:rPr>
                <w:rFonts w:ascii="Times New Roman" w:hAnsi="Times New Roman" w:cs="Times New Roman" w:eastAsia="Times New Roman" w:hint="default"/>
                <w:sz w:val="18"/>
                <w:szCs w:val="18"/>
              </w:rPr>
            </w:pPr>
            <w:r>
              <w:rPr>
                <w:rFonts w:ascii="Times New Roman"/>
                <w:sz w:val="18"/>
              </w:rPr>
              <w:t>79.49</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712,175</w:t>
            </w:r>
          </w:p>
          <w:p>
            <w:pPr>
              <w:pStyle w:val="TableParagraph"/>
              <w:spacing w:line="240" w:lineRule="auto" w:before="102"/>
              <w:ind w:left="103" w:right="0"/>
              <w:jc w:val="left"/>
              <w:rPr>
                <w:rFonts w:ascii="Times New Roman" w:hAnsi="Times New Roman" w:cs="Times New Roman" w:eastAsia="Times New Roman" w:hint="default"/>
                <w:sz w:val="18"/>
                <w:szCs w:val="18"/>
              </w:rPr>
            </w:pPr>
            <w:r>
              <w:rPr>
                <w:rFonts w:ascii="Times New Roman"/>
                <w:sz w:val="18"/>
              </w:rPr>
              <w:t>,322.17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2,552,342</w:t>
            </w:r>
          </w:p>
          <w:p>
            <w:pPr>
              <w:pStyle w:val="TableParagraph"/>
              <w:spacing w:line="240" w:lineRule="auto" w:before="102"/>
              <w:ind w:left="187" w:right="0"/>
              <w:jc w:val="center"/>
              <w:rPr>
                <w:rFonts w:ascii="Times New Roman" w:hAnsi="Times New Roman" w:cs="Times New Roman" w:eastAsia="Times New Roman" w:hint="default"/>
                <w:sz w:val="18"/>
                <w:szCs w:val="18"/>
              </w:rPr>
            </w:pPr>
            <w:r>
              <w:rPr>
                <w:rFonts w:ascii="Times New Roman"/>
                <w:sz w:val="18"/>
              </w:rPr>
              <w:t>,425.73</w:t>
            </w:r>
          </w:p>
        </w:tc>
      </w:tr>
      <w:tr>
        <w:trPr>
          <w:trHeight w:val="715"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前期差</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footerReference w:type="default" r:id="rId44"/>
          <w:pgSz w:w="11910" w:h="16840"/>
          <w:pgMar w:footer="979" w:header="745" w:top="1060" w:bottom="1160" w:left="980" w:right="980"/>
          <w:pgNumType w:start="12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8"/>
        <w:gridCol w:w="665"/>
        <w:gridCol w:w="797"/>
        <w:gridCol w:w="797"/>
        <w:gridCol w:w="797"/>
        <w:gridCol w:w="799"/>
        <w:gridCol w:w="797"/>
        <w:gridCol w:w="677"/>
        <w:gridCol w:w="780"/>
      </w:tblGrid>
      <w:tr>
        <w:trPr>
          <w:trHeight w:val="36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8"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711,436,</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510.00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center"/>
              <w:rPr>
                <w:rFonts w:ascii="Times New Roman" w:hAnsi="Times New Roman" w:cs="Times New Roman" w:eastAsia="Times New Roman" w:hint="default"/>
                <w:sz w:val="18"/>
                <w:szCs w:val="18"/>
              </w:rPr>
            </w:pPr>
            <w:r>
              <w:rPr>
                <w:rFonts w:ascii="Times New Roman"/>
                <w:sz w:val="18"/>
              </w:rPr>
              <w:t>1,245,530</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,621.27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229,040,6</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07.20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112,240,5</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79.49</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712,175</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,322.17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2,552,342</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,425.73</w:t>
            </w:r>
          </w:p>
        </w:tc>
      </w:tr>
      <w:tr>
        <w:trPr>
          <w:trHeight w:val="102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18"/>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 w:right="0"/>
              <w:jc w:val="center"/>
              <w:rPr>
                <w:rFonts w:ascii="Times New Roman" w:hAnsi="Times New Roman" w:cs="Times New Roman" w:eastAsia="Times New Roman" w:hint="default"/>
                <w:sz w:val="18"/>
                <w:szCs w:val="18"/>
              </w:rPr>
            </w:pPr>
            <w:r>
              <w:rPr>
                <w:rFonts w:ascii="Times New Roman"/>
                <w:sz w:val="18"/>
              </w:rPr>
              <w:t>355,090,</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755.00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6" w:right="0"/>
              <w:jc w:val="center"/>
              <w:rPr>
                <w:rFonts w:ascii="Times New Roman" w:hAnsi="Times New Roman" w:cs="Times New Roman" w:eastAsia="Times New Roman" w:hint="default"/>
                <w:sz w:val="18"/>
                <w:szCs w:val="18"/>
              </w:rPr>
            </w:pPr>
            <w:r>
              <w:rPr>
                <w:rFonts w:ascii="Times New Roman"/>
                <w:sz w:val="18"/>
              </w:rPr>
              <w:t>-298,058,</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214.89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-71,133,1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09.76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6,877,754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.74</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22,784,</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113.16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157,827,5</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17.77</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68,777,</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547.36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68,777,54</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7.36</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-488,00</w:t>
            </w:r>
          </w:p>
          <w:p>
            <w:pPr>
              <w:pStyle w:val="TableParagraph"/>
              <w:spacing w:line="240" w:lineRule="auto" w:before="105"/>
              <w:ind w:left="347"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57,520,54</w:t>
            </w:r>
          </w:p>
          <w:p>
            <w:pPr>
              <w:pStyle w:val="TableParagraph"/>
              <w:spacing w:line="240" w:lineRule="auto" w:before="105"/>
              <w:ind w:left="458" w:right="0"/>
              <w:jc w:val="left"/>
              <w:rPr>
                <w:rFonts w:ascii="Times New Roman" w:hAnsi="Times New Roman" w:cs="Times New Roman" w:eastAsia="Times New Roman" w:hint="default"/>
                <w:sz w:val="18"/>
                <w:szCs w:val="18"/>
              </w:rPr>
            </w:pPr>
            <w:r>
              <w:rPr>
                <w:rFonts w:ascii="Times New Roman"/>
                <w:sz w:val="18"/>
              </w:rPr>
              <w:t>0.11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-71,133,1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09.76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-2,016.4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128,163,6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33.45</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-488,00</w:t>
            </w:r>
          </w:p>
          <w:p>
            <w:pPr>
              <w:pStyle w:val="TableParagraph"/>
              <w:spacing w:line="240" w:lineRule="auto" w:before="105"/>
              <w:ind w:left="347"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-4,253,81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6.70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-71,133,1</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09.76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left"/>
              <w:rPr>
                <w:rFonts w:ascii="Times New Roman" w:hAnsi="Times New Roman" w:cs="Times New Roman" w:eastAsia="Times New Roman" w:hint="default"/>
                <w:sz w:val="18"/>
                <w:szCs w:val="18"/>
              </w:rPr>
            </w:pPr>
            <w:r>
              <w:rPr>
                <w:rFonts w:ascii="Times New Roman"/>
                <w:sz w:val="18"/>
              </w:rPr>
              <w:t>66,391,29</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3.06</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61,774,35</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6.81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8" w:right="0"/>
              <w:jc w:val="left"/>
              <w:rPr>
                <w:rFonts w:ascii="Times New Roman" w:hAnsi="Times New Roman" w:cs="Times New Roman" w:eastAsia="Times New Roman" w:hint="default"/>
                <w:sz w:val="18"/>
                <w:szCs w:val="18"/>
              </w:rPr>
            </w:pPr>
            <w:r>
              <w:rPr>
                <w:rFonts w:ascii="Times New Roman"/>
                <w:sz w:val="18"/>
              </w:rPr>
              <w:t>61,774,35</w:t>
            </w:r>
          </w:p>
          <w:p>
            <w:pPr>
              <w:pStyle w:val="TableParagraph"/>
              <w:spacing w:line="240" w:lineRule="auto" w:before="105"/>
              <w:ind w:left="434" w:right="0"/>
              <w:jc w:val="left"/>
              <w:rPr>
                <w:rFonts w:ascii="Times New Roman" w:hAnsi="Times New Roman" w:cs="Times New Roman" w:eastAsia="Times New Roman" w:hint="default"/>
                <w:sz w:val="18"/>
                <w:szCs w:val="18"/>
              </w:rPr>
            </w:pPr>
            <w:r>
              <w:rPr>
                <w:rFonts w:ascii="Times New Roman"/>
                <w:sz w:val="18"/>
              </w:rPr>
              <w:t>6.81</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-2,016.4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-2,016.42</w:t>
            </w:r>
          </w:p>
        </w:tc>
      </w:tr>
      <w:tr>
        <w:trPr>
          <w:trHeight w:val="716"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6,877,754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.74</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-45,991,</w:t>
            </w:r>
          </w:p>
          <w:p>
            <w:pPr>
              <w:pStyle w:val="TableParagraph"/>
              <w:spacing w:line="240" w:lineRule="auto" w:before="105"/>
              <w:ind w:left="125" w:right="0"/>
              <w:jc w:val="center"/>
              <w:rPr>
                <w:rFonts w:ascii="Times New Roman" w:hAnsi="Times New Roman" w:cs="Times New Roman" w:eastAsia="Times New Roman" w:hint="default"/>
                <w:sz w:val="18"/>
                <w:szCs w:val="18"/>
              </w:rPr>
            </w:pPr>
            <w:r>
              <w:rPr>
                <w:rFonts w:ascii="Times New Roman"/>
                <w:sz w:val="18"/>
              </w:rPr>
              <w:t>417.78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-39,113,6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63.04</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6,877,754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.74</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 w:right="0"/>
              <w:jc w:val="center"/>
              <w:rPr>
                <w:rFonts w:ascii="Times New Roman" w:hAnsi="Times New Roman" w:cs="Times New Roman" w:eastAsia="Times New Roman" w:hint="default"/>
                <w:sz w:val="18"/>
                <w:szCs w:val="18"/>
              </w:rPr>
            </w:pPr>
            <w:r>
              <w:rPr>
                <w:rFonts w:ascii="Times New Roman"/>
                <w:sz w:val="18"/>
              </w:rPr>
              <w:t>-6,877,7</w:t>
            </w:r>
          </w:p>
          <w:p>
            <w:pPr>
              <w:pStyle w:val="TableParagraph"/>
              <w:spacing w:line="240" w:lineRule="auto" w:before="105"/>
              <w:ind w:left="214" w:right="0"/>
              <w:jc w:val="center"/>
              <w:rPr>
                <w:rFonts w:ascii="Times New Roman" w:hAnsi="Times New Roman" w:cs="Times New Roman" w:eastAsia="Times New Roman" w:hint="default"/>
                <w:sz w:val="18"/>
                <w:szCs w:val="18"/>
              </w:rPr>
            </w:pPr>
            <w:r>
              <w:rPr>
                <w:rFonts w:ascii="Times New Roman"/>
                <w:sz w:val="18"/>
              </w:rPr>
              <w:t>54.74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0" w:right="0"/>
              <w:jc w:val="left"/>
              <w:rPr>
                <w:rFonts w:ascii="Times New Roman" w:hAnsi="Times New Roman" w:cs="Times New Roman" w:eastAsia="Times New Roman" w:hint="default"/>
                <w:sz w:val="18"/>
                <w:szCs w:val="18"/>
              </w:rPr>
            </w:pPr>
            <w:r>
              <w:rPr>
                <w:rFonts w:ascii="Times New Roman"/>
                <w:sz w:val="18"/>
              </w:rPr>
              <w:t>-39,113,</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663.04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4" w:right="0"/>
              <w:jc w:val="left"/>
              <w:rPr>
                <w:rFonts w:ascii="Times New Roman" w:hAnsi="Times New Roman" w:cs="Times New Roman" w:eastAsia="Times New Roman" w:hint="default"/>
                <w:sz w:val="18"/>
                <w:szCs w:val="18"/>
              </w:rPr>
            </w:pPr>
            <w:r>
              <w:rPr>
                <w:rFonts w:ascii="Times New Roman"/>
                <w:sz w:val="18"/>
              </w:rPr>
              <w:t>-39,113,6</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63.04</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20"/>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355,578,</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755.00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center"/>
              <w:rPr>
                <w:rFonts w:ascii="Times New Roman" w:hAnsi="Times New Roman" w:cs="Times New Roman" w:eastAsia="Times New Roman" w:hint="default"/>
                <w:sz w:val="18"/>
                <w:szCs w:val="18"/>
              </w:rPr>
            </w:pPr>
            <w:r>
              <w:rPr>
                <w:rFonts w:ascii="Times New Roman"/>
                <w:sz w:val="18"/>
              </w:rPr>
              <w:t>-355,578,</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755.00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355,578,</w:t>
            </w:r>
          </w:p>
          <w:p>
            <w:pPr>
              <w:pStyle w:val="TableParagraph"/>
              <w:spacing w:line="240" w:lineRule="auto" w:before="105"/>
              <w:ind w:left="149" w:right="0"/>
              <w:jc w:val="center"/>
              <w:rPr>
                <w:rFonts w:ascii="Times New Roman" w:hAnsi="Times New Roman" w:cs="Times New Roman" w:eastAsia="Times New Roman" w:hint="default"/>
                <w:sz w:val="18"/>
                <w:szCs w:val="18"/>
              </w:rPr>
            </w:pPr>
            <w:r>
              <w:rPr>
                <w:rFonts w:ascii="Times New Roman"/>
                <w:sz w:val="18"/>
              </w:rPr>
              <w:t>755.00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 w:right="0"/>
              <w:jc w:val="center"/>
              <w:rPr>
                <w:rFonts w:ascii="Times New Roman" w:hAnsi="Times New Roman" w:cs="Times New Roman" w:eastAsia="Times New Roman" w:hint="default"/>
                <w:sz w:val="18"/>
                <w:szCs w:val="18"/>
              </w:rPr>
            </w:pPr>
            <w:r>
              <w:rPr>
                <w:rFonts w:ascii="Times New Roman"/>
                <w:sz w:val="18"/>
              </w:rPr>
              <w:t>-355,578,</w:t>
            </w:r>
          </w:p>
          <w:p>
            <w:pPr>
              <w:pStyle w:val="TableParagraph"/>
              <w:spacing w:line="240" w:lineRule="auto" w:before="105"/>
              <w:ind w:left="250" w:right="0"/>
              <w:jc w:val="center"/>
              <w:rPr>
                <w:rFonts w:ascii="Times New Roman" w:hAnsi="Times New Roman" w:cs="Times New Roman" w:eastAsia="Times New Roman" w:hint="default"/>
                <w:sz w:val="18"/>
                <w:szCs w:val="18"/>
              </w:rPr>
            </w:pPr>
            <w:r>
              <w:rPr>
                <w:rFonts w:ascii="Times New Roman"/>
                <w:sz w:val="18"/>
              </w:rPr>
              <w:t>755.00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9"/>
        <w:gridCol w:w="691"/>
        <w:gridCol w:w="665"/>
        <w:gridCol w:w="668"/>
        <w:gridCol w:w="665"/>
        <w:gridCol w:w="797"/>
        <w:gridCol w:w="797"/>
        <w:gridCol w:w="797"/>
        <w:gridCol w:w="799"/>
        <w:gridCol w:w="797"/>
        <w:gridCol w:w="677"/>
        <w:gridCol w:w="780"/>
      </w:tblGrid>
      <w:tr>
        <w:trPr>
          <w:trHeight w:val="401"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 w:right="0"/>
              <w:jc w:val="left"/>
              <w:rPr>
                <w:rFonts w:ascii="Times New Roman" w:hAnsi="Times New Roman" w:cs="Times New Roman" w:eastAsia="Times New Roman" w:hint="default"/>
                <w:sz w:val="18"/>
                <w:szCs w:val="18"/>
              </w:rPr>
            </w:pPr>
            <w:r>
              <w:rPr>
                <w:rFonts w:ascii="Times New Roman"/>
                <w:sz w:val="18"/>
              </w:rPr>
              <w:t>1,066,52</w:t>
            </w:r>
          </w:p>
          <w:p>
            <w:pPr>
              <w:pStyle w:val="TableParagraph"/>
              <w:spacing w:line="240" w:lineRule="auto" w:before="105"/>
              <w:ind w:left="31" w:right="0"/>
              <w:jc w:val="left"/>
              <w:rPr>
                <w:rFonts w:ascii="Times New Roman" w:hAnsi="Times New Roman" w:cs="Times New Roman" w:eastAsia="Times New Roman" w:hint="default"/>
                <w:sz w:val="18"/>
                <w:szCs w:val="18"/>
              </w:rPr>
            </w:pPr>
            <w:r>
              <w:rPr>
                <w:rFonts w:ascii="Times New Roman"/>
                <w:sz w:val="18"/>
              </w:rPr>
              <w:t>7,265.00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947,472,4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06.38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157,907,4</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97.44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119,118,3</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34.23</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734,959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,435.33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2,710,169</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,943.50</w:t>
            </w:r>
          </w:p>
        </w:tc>
      </w:tr>
    </w:tbl>
    <w:p>
      <w:pPr>
        <w:spacing w:line="240" w:lineRule="auto" w:before="6"/>
        <w:rPr>
          <w:rFonts w:ascii="Times New Roman" w:hAnsi="Times New Roman" w:cs="Times New Roman" w:eastAsia="Times New Roman" w:hint="default"/>
          <w:sz w:val="20"/>
          <w:szCs w:val="20"/>
        </w:rPr>
      </w:pPr>
    </w:p>
    <w:p>
      <w:pPr>
        <w:pStyle w:val="Heading3"/>
        <w:spacing w:line="240" w:lineRule="auto" w:before="26"/>
        <w:ind w:right="0"/>
        <w:jc w:val="left"/>
        <w:rPr>
          <w:b w:val="0"/>
          <w:bCs w:val="0"/>
        </w:rPr>
      </w:pPr>
      <w:r>
        <w:rPr/>
        <w:t>三、公司基本情况</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292" w:firstLine="360"/>
        <w:jc w:val="both"/>
      </w:pPr>
      <w:r>
        <w:rPr>
          <w:spacing w:val="-2"/>
        </w:rPr>
        <w:t>北京四维图新科技股份有限公司（以下简称本公司或公司，在包含子公司时简称本集团）系由北京四维图新导航信息技</w:t>
      </w:r>
      <w:r>
        <w:rPr/>
        <w:t> 术有限公司（以下简称四维有限）整体变更设立。四维有限成立于</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w:t>
      </w:r>
      <w:r>
        <w:rPr/>
        <w:t>日，设立时注册资本为</w:t>
      </w:r>
      <w:r>
        <w:rPr>
          <w:rFonts w:ascii="Times New Roman" w:hAnsi="Times New Roman" w:cs="Times New Roman" w:eastAsia="Times New Roman" w:hint="default"/>
        </w:rPr>
        <w:t>2,950.00</w:t>
      </w:r>
      <w:r>
        <w:rPr/>
        <w:t>万元。</w:t>
      </w:r>
    </w:p>
    <w:p>
      <w:pPr>
        <w:pStyle w:val="BodyText"/>
        <w:spacing w:line="302" w:lineRule="auto" w:before="155"/>
        <w:ind w:right="289" w:firstLine="36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w:t>
      </w:r>
      <w:r>
        <w:rPr/>
        <w:t>月，根据中国四维测绘技术总公司、上海明海商务咨询有限公司、四维航空遥感有限公司、北京商络数据系统 </w:t>
      </w:r>
      <w:r>
        <w:rPr>
          <w:spacing w:val="-2"/>
        </w:rPr>
        <w:t>有限责任公司、上海赛众投资有限公司、广州新维投资咨询有限公司、北京商络数据系统有限责任公司以及孙玉国、曾胜利</w:t>
      </w:r>
      <w:r>
        <w:rPr>
          <w:spacing w:val="-65"/>
        </w:rPr>
        <w:t> </w:t>
      </w:r>
      <w:r>
        <w:rPr>
          <w:spacing w:val="-65"/>
        </w:rPr>
      </w:r>
      <w:r>
        <w:rPr>
          <w:spacing w:val="-2"/>
        </w:rPr>
        <w:t>等共</w:t>
      </w:r>
      <w:r>
        <w:rPr>
          <w:rFonts w:ascii="Times New Roman" w:hAnsi="Times New Roman" w:cs="Times New Roman" w:eastAsia="Times New Roman" w:hint="default"/>
          <w:spacing w:val="-2"/>
        </w:rPr>
        <w:t>29</w:t>
      </w:r>
      <w:r>
        <w:rPr>
          <w:spacing w:val="-2"/>
        </w:rPr>
        <w:t>位自然人签订的发起人协议、国务院国有资产监督管理委员会《关于北京四维图新科技股份有限公司国有股权管理有</w:t>
      </w:r>
      <w:r>
        <w:rPr>
          <w:spacing w:val="-63"/>
        </w:rPr>
        <w:t> </w:t>
      </w:r>
      <w:r>
        <w:rPr>
          <w:spacing w:val="-63"/>
        </w:rPr>
      </w:r>
      <w:r>
        <w:rPr>
          <w:spacing w:val="-1"/>
        </w:rPr>
        <w:t>关问题的批复》（国资产权</w:t>
      </w:r>
      <w:r>
        <w:rPr>
          <w:rFonts w:ascii="Times New Roman" w:hAnsi="Times New Roman" w:cs="Times New Roman" w:eastAsia="Times New Roman" w:hint="default"/>
          <w:spacing w:val="-1"/>
        </w:rPr>
        <w:t>[2008]30</w:t>
      </w:r>
      <w:r>
        <w:rPr>
          <w:spacing w:val="-1"/>
        </w:rPr>
        <w:t>号）和中国卫星通信集团公司《关于同意北京四维图新导航信息技术有限公司整体变更</w:t>
      </w:r>
      <w:r>
        <w:rPr>
          <w:spacing w:val="-58"/>
        </w:rPr>
        <w:t> </w:t>
      </w:r>
      <w:r>
        <w:rPr>
          <w:spacing w:val="-58"/>
        </w:rPr>
      </w:r>
      <w:r>
        <w:rPr/>
        <w:t>为北京四维图新股份有限公司的批复》（中国卫通财</w:t>
      </w:r>
      <w:r>
        <w:rPr>
          <w:rFonts w:ascii="Times New Roman" w:hAnsi="Times New Roman" w:cs="Times New Roman" w:eastAsia="Times New Roman" w:hint="default"/>
        </w:rPr>
        <w:t>[2007]342</w:t>
      </w:r>
      <w:r>
        <w:rPr/>
        <w:t>号），各发起人股东以其各自持有的四维有限截止</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11</w:t>
      </w:r>
      <w:r>
        <w:rPr>
          <w:rFonts w:ascii="Times New Roman" w:hAnsi="Times New Roman" w:cs="Times New Roman" w:eastAsia="Times New Roman" w:hint="default"/>
          <w:spacing w:val="13"/>
        </w:rPr>
        <w:t> </w:t>
      </w:r>
      <w:r>
        <w:rPr/>
        <w:t>月</w:t>
      </w:r>
      <w:r>
        <w:rPr>
          <w:rFonts w:ascii="Times New Roman" w:hAnsi="Times New Roman" w:cs="Times New Roman" w:eastAsia="Times New Roman" w:hint="default"/>
        </w:rPr>
        <w:t>30</w:t>
      </w:r>
      <w:r>
        <w:rPr/>
        <w:t>日经审计的净资产出资，将四维有限整体变更设立为本公司。本公司于</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23</w:t>
      </w:r>
      <w:r>
        <w:rPr/>
        <w:t>日在北京市工商行政管理局办理了</w:t>
      </w:r>
      <w:r>
        <w:rPr>
          <w:spacing w:val="-85"/>
        </w:rPr>
        <w:t> </w:t>
      </w:r>
      <w:r>
        <w:rPr>
          <w:spacing w:val="-85"/>
        </w:rPr>
      </w:r>
      <w:r>
        <w:rPr>
          <w:spacing w:val="-2"/>
        </w:rPr>
        <w:t>工商注册登记手续，注册资本</w:t>
      </w:r>
      <w:r>
        <w:rPr>
          <w:rFonts w:ascii="Times New Roman" w:hAnsi="Times New Roman" w:cs="Times New Roman" w:eastAsia="Times New Roman" w:hint="default"/>
          <w:spacing w:val="-2"/>
        </w:rPr>
        <w:t>344,229,579.00</w:t>
      </w:r>
      <w:r>
        <w:rPr>
          <w:spacing w:val="-2"/>
        </w:rPr>
        <w:t>元，其中：中国四维测绘技术总公司出资</w:t>
      </w:r>
      <w:r>
        <w:rPr>
          <w:rFonts w:ascii="Times New Roman" w:hAnsi="Times New Roman" w:cs="Times New Roman" w:eastAsia="Times New Roman" w:hint="default"/>
          <w:spacing w:val="-2"/>
        </w:rPr>
        <w:t>99,923,995.00</w:t>
      </w:r>
      <w:r>
        <w:rPr>
          <w:spacing w:val="-2"/>
        </w:rPr>
        <w:t>元；上海明海商务咨询有</w:t>
      </w:r>
      <w:r>
        <w:rPr>
          <w:spacing w:val="-40"/>
        </w:rPr>
        <w:t> </w:t>
      </w:r>
      <w:r>
        <w:rPr>
          <w:spacing w:val="-40"/>
        </w:rPr>
      </w:r>
      <w:r>
        <w:rPr/>
        <w:t>限公司出资</w:t>
      </w:r>
      <w:r>
        <w:rPr>
          <w:rFonts w:ascii="Times New Roman" w:hAnsi="Times New Roman" w:cs="Times New Roman" w:eastAsia="Times New Roman" w:hint="default"/>
        </w:rPr>
        <w:t>56,762,081.00</w:t>
      </w:r>
      <w:r>
        <w:rPr/>
        <w:t>元；四维航空遥感有限公司</w:t>
      </w:r>
      <w:r>
        <w:rPr>
          <w:rFonts w:ascii="Times New Roman" w:hAnsi="Times New Roman" w:cs="Times New Roman" w:eastAsia="Times New Roman" w:hint="default"/>
        </w:rPr>
        <w:t>31,428,505.00</w:t>
      </w:r>
      <w:r>
        <w:rPr/>
        <w:t>元；上海赛众投资有限公司</w:t>
      </w:r>
      <w:r>
        <w:rPr>
          <w:rFonts w:ascii="Times New Roman" w:hAnsi="Times New Roman" w:cs="Times New Roman" w:eastAsia="Times New Roman" w:hint="default"/>
        </w:rPr>
        <w:t>29,009,604.00</w:t>
      </w:r>
      <w:r>
        <w:rPr/>
        <w:t>元；广州新维投</w:t>
      </w:r>
      <w:r>
        <w:rPr>
          <w:spacing w:val="-52"/>
        </w:rPr>
        <w:t> </w:t>
      </w:r>
      <w:r>
        <w:rPr>
          <w:spacing w:val="-52"/>
        </w:rPr>
      </w:r>
      <w:r>
        <w:rPr>
          <w:spacing w:val="5"/>
        </w:rPr>
        <w:t>资咨询有限公司</w:t>
      </w:r>
      <w:r>
        <w:rPr>
          <w:rFonts w:ascii="Times New Roman" w:hAnsi="Times New Roman" w:cs="Times New Roman" w:eastAsia="Times New Roman" w:hint="default"/>
          <w:spacing w:val="5"/>
        </w:rPr>
        <w:t>29,009,604.00</w:t>
      </w:r>
      <w:r>
        <w:rPr>
          <w:spacing w:val="5"/>
        </w:rPr>
        <w:t>元；北京商络数据系统有限责任公司</w:t>
      </w:r>
      <w:r>
        <w:rPr>
          <w:rFonts w:ascii="Times New Roman" w:hAnsi="Times New Roman" w:cs="Times New Roman" w:eastAsia="Times New Roman" w:hint="default"/>
          <w:spacing w:val="5"/>
        </w:rPr>
        <w:t>24,190,389.00</w:t>
      </w:r>
      <w:r>
        <w:rPr>
          <w:spacing w:val="5"/>
        </w:rPr>
        <w:t>元；孙玉国、曾胜利等</w:t>
      </w:r>
      <w:r>
        <w:rPr>
          <w:rFonts w:ascii="Times New Roman" w:hAnsi="Times New Roman" w:cs="Times New Roman" w:eastAsia="Times New Roman" w:hint="default"/>
          <w:spacing w:val="5"/>
        </w:rPr>
        <w:t>29</w:t>
      </w:r>
      <w:r>
        <w:rPr>
          <w:spacing w:val="5"/>
        </w:rPr>
        <w:t>位自然人出资</w:t>
      </w:r>
      <w:r>
        <w:rPr>
          <w:spacing w:val="-78"/>
        </w:rPr>
        <w:t> </w:t>
      </w:r>
      <w:r>
        <w:rPr>
          <w:spacing w:val="-78"/>
        </w:rPr>
      </w:r>
      <w:r>
        <w:rPr>
          <w:rFonts w:ascii="Times New Roman" w:hAnsi="Times New Roman" w:cs="Times New Roman" w:eastAsia="Times New Roman" w:hint="default"/>
        </w:rPr>
        <w:t>73,905,401.00</w:t>
      </w:r>
      <w:r>
        <w:rPr/>
        <w:t>元。</w:t>
      </w:r>
    </w:p>
    <w:p>
      <w:pPr>
        <w:spacing w:line="240" w:lineRule="auto" w:before="10"/>
        <w:rPr>
          <w:rFonts w:ascii="宋体" w:hAnsi="宋体" w:cs="宋体" w:eastAsia="宋体" w:hint="default"/>
          <w:sz w:val="12"/>
          <w:szCs w:val="12"/>
        </w:rPr>
      </w:pPr>
    </w:p>
    <w:p>
      <w:pPr>
        <w:pStyle w:val="BodyText"/>
        <w:spacing w:line="300" w:lineRule="auto"/>
        <w:ind w:right="289" w:firstLine="360"/>
        <w:jc w:val="both"/>
      </w:pPr>
      <w:r>
        <w:rPr>
          <w:spacing w:val="-2"/>
        </w:rPr>
        <w:t>经中国证券监督管理委员会证监许可</w:t>
      </w:r>
      <w:r>
        <w:rPr>
          <w:rFonts w:ascii="Times New Roman" w:hAnsi="Times New Roman" w:cs="Times New Roman" w:eastAsia="Times New Roman" w:hint="default"/>
          <w:spacing w:val="-2"/>
        </w:rPr>
        <w:t>[2010]438</w:t>
      </w:r>
      <w:r>
        <w:rPr>
          <w:spacing w:val="-2"/>
        </w:rPr>
        <w:t>号文核准，</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5</w:t>
      </w:r>
      <w:r>
        <w:rPr>
          <w:spacing w:val="-2"/>
        </w:rPr>
        <w:t>月本公司向社会首次公开发行人民币普通股股票</w:t>
      </w:r>
      <w:r>
        <w:rPr>
          <w:rFonts w:ascii="Times New Roman" w:hAnsi="Times New Roman" w:cs="Times New Roman" w:eastAsia="Times New Roman" w:hint="default"/>
          <w:spacing w:val="-2"/>
        </w:rPr>
        <w:t>5,600</w:t>
      </w:r>
      <w:r>
        <w:rPr>
          <w:rFonts w:ascii="Times New Roman" w:hAnsi="Times New Roman" w:cs="Times New Roman" w:eastAsia="Times New Roman" w:hint="default"/>
        </w:rPr>
        <w:t> </w:t>
      </w:r>
      <w:r>
        <w:rPr/>
        <w:t>万股（每股面值</w:t>
      </w:r>
      <w:r>
        <w:rPr>
          <w:rFonts w:ascii="Times New Roman" w:hAnsi="Times New Roman" w:cs="Times New Roman" w:eastAsia="Times New Roman" w:hint="default"/>
        </w:rPr>
        <w:t>1</w:t>
      </w:r>
      <w:r>
        <w:rPr/>
        <w:t>元），增加注册资本</w:t>
      </w:r>
      <w:r>
        <w:rPr>
          <w:rFonts w:ascii="Times New Roman" w:hAnsi="Times New Roman" w:cs="Times New Roman" w:eastAsia="Times New Roman" w:hint="default"/>
        </w:rPr>
        <w:t>56,000,000.00</w:t>
      </w:r>
      <w:r>
        <w:rPr/>
        <w:t>元。信永中和会计师事务所对本公司首次公开发行人民币普通股股票的</w:t>
      </w:r>
      <w:r>
        <w:rPr>
          <w:spacing w:val="-48"/>
        </w:rPr>
        <w:t> </w:t>
      </w:r>
      <w:r>
        <w:rPr>
          <w:spacing w:val="-48"/>
        </w:rPr>
      </w:r>
      <w:r>
        <w:rPr>
          <w:spacing w:val="-1"/>
        </w:rPr>
        <w:t>资金到位情况进行了审验，并于</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7</w:t>
      </w:r>
      <w:r>
        <w:rPr>
          <w:spacing w:val="-1"/>
        </w:rPr>
        <w:t>日出具</w:t>
      </w:r>
      <w:r>
        <w:rPr>
          <w:rFonts w:ascii="Times New Roman" w:hAnsi="Times New Roman" w:cs="Times New Roman" w:eastAsia="Times New Roman" w:hint="default"/>
          <w:spacing w:val="-1"/>
        </w:rPr>
        <w:t>“XYZH/2009A7057</w:t>
      </w:r>
      <w:r>
        <w:rPr>
          <w:spacing w:val="-1"/>
        </w:rPr>
        <w:t>号</w:t>
      </w:r>
      <w:r>
        <w:rPr>
          <w:rFonts w:ascii="Times New Roman" w:hAnsi="Times New Roman" w:cs="Times New Roman" w:eastAsia="Times New Roman" w:hint="default"/>
          <w:spacing w:val="-1"/>
        </w:rPr>
        <w:t>”</w:t>
      </w:r>
      <w:r>
        <w:rPr>
          <w:spacing w:val="-1"/>
        </w:rPr>
        <w:t>验资报告。</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9</w:t>
      </w:r>
      <w:r>
        <w:rPr>
          <w:spacing w:val="-1"/>
        </w:rPr>
        <w:t>日，本公司取得了北京市工</w:t>
      </w:r>
      <w:r>
        <w:rPr>
          <w:spacing w:val="-53"/>
        </w:rPr>
        <w:t> </w:t>
      </w:r>
      <w:r>
        <w:rPr>
          <w:spacing w:val="-53"/>
        </w:rPr>
      </w:r>
      <w:r>
        <w:rPr/>
        <w:t>商行政管理局换发的《企业法人营业执照》，变更后的注册资本为</w:t>
      </w:r>
      <w:r>
        <w:rPr>
          <w:rFonts w:ascii="Times New Roman" w:hAnsi="Times New Roman" w:cs="Times New Roman" w:eastAsia="Times New Roman" w:hint="default"/>
        </w:rPr>
        <w:t>400,229,579.00</w:t>
      </w:r>
      <w:r>
        <w:rPr/>
        <w:t>元。</w:t>
      </w:r>
    </w:p>
    <w:p>
      <w:pPr>
        <w:spacing w:line="240" w:lineRule="auto" w:before="12"/>
        <w:rPr>
          <w:rFonts w:ascii="宋体" w:hAnsi="宋体" w:cs="宋体" w:eastAsia="宋体" w:hint="default"/>
          <w:sz w:val="12"/>
          <w:szCs w:val="12"/>
        </w:rPr>
      </w:pPr>
    </w:p>
    <w:p>
      <w:pPr>
        <w:pStyle w:val="BodyText"/>
        <w:spacing w:line="300" w:lineRule="auto"/>
        <w:ind w:right="0" w:firstLine="360"/>
        <w:jc w:val="left"/>
      </w:pPr>
      <w:r>
        <w:rPr>
          <w:spacing w:val="-3"/>
        </w:rPr>
        <w:t>经深圳证券交易所《关于北京四维图新科技股份有限公司人民币普通股股票上市的通知》（深证上</w:t>
      </w:r>
      <w:r>
        <w:rPr>
          <w:rFonts w:ascii="Times New Roman" w:hAnsi="Times New Roman" w:cs="Times New Roman" w:eastAsia="Times New Roman" w:hint="default"/>
          <w:spacing w:val="-3"/>
        </w:rPr>
        <w:t>[2010]151</w:t>
      </w:r>
      <w:r>
        <w:rPr>
          <w:spacing w:val="-3"/>
        </w:rPr>
        <w:t>号）同意，</w:t>
      </w:r>
      <w:r>
        <w:rPr/>
        <w:t> </w:t>
      </w:r>
      <w:r>
        <w:rPr>
          <w:spacing w:val="-3"/>
        </w:rPr>
        <w:t>本公司首次公开发行的人民币普通股股票于</w:t>
      </w:r>
      <w:r>
        <w:rPr>
          <w:rFonts w:ascii="Times New Roman" w:hAnsi="Times New Roman" w:cs="Times New Roman" w:eastAsia="Times New Roman" w:hint="default"/>
          <w:spacing w:val="-3"/>
        </w:rPr>
        <w:t>2010</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18</w:t>
      </w:r>
      <w:r>
        <w:rPr>
          <w:spacing w:val="-3"/>
        </w:rPr>
        <w:t>日在深圳证券交易所上市，股票简称</w:t>
      </w:r>
      <w:r>
        <w:rPr>
          <w:rFonts w:ascii="Times New Roman" w:hAnsi="Times New Roman" w:cs="Times New Roman" w:eastAsia="Times New Roman" w:hint="default"/>
          <w:spacing w:val="-3"/>
        </w:rPr>
        <w:t>“</w:t>
      </w:r>
      <w:r>
        <w:rPr>
          <w:spacing w:val="-3"/>
        </w:rPr>
        <w:t>四维图新</w:t>
      </w:r>
      <w:r>
        <w:rPr>
          <w:rFonts w:ascii="Times New Roman" w:hAnsi="Times New Roman" w:cs="Times New Roman" w:eastAsia="Times New Roman" w:hint="default"/>
          <w:spacing w:val="-3"/>
        </w:rPr>
        <w:t>”</w:t>
      </w:r>
      <w:r>
        <w:rPr>
          <w:spacing w:val="-3"/>
        </w:rPr>
        <w:t>，股票代码</w:t>
      </w:r>
      <w:r>
        <w:rPr>
          <w:rFonts w:ascii="Times New Roman" w:hAnsi="Times New Roman" w:cs="Times New Roman" w:eastAsia="Times New Roman" w:hint="default"/>
          <w:spacing w:val="-3"/>
        </w:rPr>
        <w:t>“002405”</w:t>
      </w:r>
      <w:r>
        <w:rPr>
          <w:spacing w:val="-3"/>
        </w:rPr>
        <w:t>。</w:t>
      </w:r>
    </w:p>
    <w:p>
      <w:pPr>
        <w:spacing w:line="240" w:lineRule="auto" w:before="12"/>
        <w:rPr>
          <w:rFonts w:ascii="宋体" w:hAnsi="宋体" w:cs="宋体" w:eastAsia="宋体" w:hint="default"/>
          <w:sz w:val="12"/>
          <w:szCs w:val="12"/>
        </w:rPr>
      </w:pPr>
    </w:p>
    <w:p>
      <w:pPr>
        <w:pStyle w:val="BodyText"/>
        <w:spacing w:line="300" w:lineRule="auto"/>
        <w:ind w:right="288" w:firstLine="360"/>
        <w:jc w:val="both"/>
      </w:pP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29</w:t>
      </w:r>
      <w:r>
        <w:rPr>
          <w:spacing w:val="-2"/>
        </w:rPr>
        <w:t>日，经本公司</w:t>
      </w:r>
      <w:r>
        <w:rPr>
          <w:rFonts w:ascii="Times New Roman" w:hAnsi="Times New Roman" w:cs="Times New Roman" w:eastAsia="Times New Roman" w:hint="default"/>
          <w:spacing w:val="-2"/>
        </w:rPr>
        <w:t>2010</w:t>
      </w:r>
      <w:r>
        <w:rPr>
          <w:spacing w:val="-2"/>
        </w:rPr>
        <w:t>年度股东大会审议批准，本公司以资本公积向全体股东每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2</w:t>
      </w:r>
      <w:r>
        <w:rPr>
          <w:spacing w:val="-2"/>
        </w:rPr>
        <w:t>股，转增后公司注册</w:t>
      </w:r>
      <w:r>
        <w:rPr/>
        <w:t> </w:t>
      </w:r>
      <w:r>
        <w:rPr>
          <w:spacing w:val="2"/>
        </w:rPr>
        <w:t>资本由</w:t>
      </w:r>
      <w:r>
        <w:rPr>
          <w:rFonts w:ascii="Times New Roman" w:hAnsi="Times New Roman" w:cs="Times New Roman" w:eastAsia="Times New Roman" w:hint="default"/>
          <w:spacing w:val="2"/>
        </w:rPr>
        <w:t>400,229,579.00</w:t>
      </w:r>
      <w:r>
        <w:rPr>
          <w:spacing w:val="2"/>
        </w:rPr>
        <w:t>元增加至</w:t>
      </w:r>
      <w:r>
        <w:rPr>
          <w:rFonts w:ascii="Times New Roman" w:hAnsi="Times New Roman" w:cs="Times New Roman" w:eastAsia="Times New Roman" w:hint="default"/>
          <w:spacing w:val="2"/>
        </w:rPr>
        <w:t>480,275,494.00</w:t>
      </w:r>
      <w:r>
        <w:rPr>
          <w:spacing w:val="2"/>
        </w:rPr>
        <w:t>元。本公司本次资本公积转增资本已经信永中和会计师事务所审验，并出具</w:t>
      </w:r>
      <w:r>
        <w:rPr>
          <w:spacing w:val="-74"/>
        </w:rPr>
        <w:t> </w:t>
      </w:r>
      <w:r>
        <w:rPr>
          <w:spacing w:val="-74"/>
        </w:rPr>
      </w:r>
      <w:r>
        <w:rPr>
          <w:rFonts w:ascii="Times New Roman" w:hAnsi="Times New Roman" w:cs="Times New Roman" w:eastAsia="Times New Roman" w:hint="default"/>
        </w:rPr>
        <w:t>“XYZH/2010A7046</w:t>
      </w:r>
      <w:r>
        <w:rPr/>
        <w:t>号</w:t>
      </w:r>
      <w:r>
        <w:rPr>
          <w:rFonts w:ascii="Times New Roman" w:hAnsi="Times New Roman" w:cs="Times New Roman" w:eastAsia="Times New Roman" w:hint="default"/>
        </w:rPr>
        <w:t>”</w:t>
      </w:r>
      <w:r>
        <w:rPr/>
        <w:t>验资报告予以确认。</w:t>
      </w:r>
    </w:p>
    <w:p>
      <w:pPr>
        <w:spacing w:line="240" w:lineRule="auto" w:before="12"/>
        <w:rPr>
          <w:rFonts w:ascii="宋体" w:hAnsi="宋体" w:cs="宋体" w:eastAsia="宋体" w:hint="default"/>
          <w:sz w:val="12"/>
          <w:szCs w:val="12"/>
        </w:rPr>
      </w:pPr>
    </w:p>
    <w:p>
      <w:pPr>
        <w:pStyle w:val="BodyText"/>
        <w:spacing w:line="300" w:lineRule="auto"/>
        <w:ind w:right="288" w:firstLine="360"/>
        <w:jc w:val="both"/>
      </w:pP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29</w:t>
      </w:r>
      <w:r>
        <w:rPr>
          <w:spacing w:val="-2"/>
        </w:rPr>
        <w:t>日，经本公司</w:t>
      </w:r>
      <w:r>
        <w:rPr>
          <w:rFonts w:ascii="Times New Roman" w:hAnsi="Times New Roman" w:cs="Times New Roman" w:eastAsia="Times New Roman" w:hint="default"/>
          <w:spacing w:val="-2"/>
        </w:rPr>
        <w:t>2011</w:t>
      </w:r>
      <w:r>
        <w:rPr>
          <w:spacing w:val="-2"/>
        </w:rPr>
        <w:t>年度股东大会审议批准，本公司以资本公积向全体股东每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2</w:t>
      </w:r>
      <w:r>
        <w:rPr>
          <w:spacing w:val="-2"/>
        </w:rPr>
        <w:t>股，转增后公司注册</w:t>
      </w:r>
      <w:r>
        <w:rPr/>
        <w:t> </w:t>
      </w:r>
      <w:r>
        <w:rPr>
          <w:spacing w:val="2"/>
        </w:rPr>
        <w:t>资本由</w:t>
      </w:r>
      <w:r>
        <w:rPr>
          <w:rFonts w:ascii="Times New Roman" w:hAnsi="Times New Roman" w:cs="Times New Roman" w:eastAsia="Times New Roman" w:hint="default"/>
          <w:spacing w:val="2"/>
        </w:rPr>
        <w:t>480,275,494.00</w:t>
      </w:r>
      <w:r>
        <w:rPr>
          <w:spacing w:val="2"/>
        </w:rPr>
        <w:t>元增加至</w:t>
      </w:r>
      <w:r>
        <w:rPr>
          <w:rFonts w:ascii="Times New Roman" w:hAnsi="Times New Roman" w:cs="Times New Roman" w:eastAsia="Times New Roman" w:hint="default"/>
          <w:spacing w:val="2"/>
        </w:rPr>
        <w:t>576,330,592.00</w:t>
      </w:r>
      <w:r>
        <w:rPr>
          <w:spacing w:val="2"/>
        </w:rPr>
        <w:t>元。本公司本次资本公积转增资本已经信永中和会计师事务所审验，并出具</w:t>
      </w:r>
      <w:r>
        <w:rPr>
          <w:spacing w:val="-74"/>
        </w:rPr>
        <w:t> </w:t>
      </w:r>
      <w:r>
        <w:rPr>
          <w:spacing w:val="-74"/>
        </w:rPr>
      </w:r>
      <w:r>
        <w:rPr>
          <w:rFonts w:ascii="Times New Roman" w:hAnsi="Times New Roman" w:cs="Times New Roman" w:eastAsia="Times New Roman" w:hint="default"/>
        </w:rPr>
        <w:t>“XYZH/2012A7017</w:t>
      </w:r>
      <w:r>
        <w:rPr/>
        <w:t>号</w:t>
      </w:r>
      <w:r>
        <w:rPr>
          <w:rFonts w:ascii="Times New Roman" w:hAnsi="Times New Roman" w:cs="Times New Roman" w:eastAsia="Times New Roman" w:hint="default"/>
        </w:rPr>
        <w:t>”</w:t>
      </w:r>
      <w:r>
        <w:rPr/>
        <w:t>验资报告予以确认。</w:t>
      </w:r>
    </w:p>
    <w:p>
      <w:pPr>
        <w:spacing w:line="240" w:lineRule="auto" w:before="13"/>
        <w:rPr>
          <w:rFonts w:ascii="宋体" w:hAnsi="宋体" w:cs="宋体" w:eastAsia="宋体" w:hint="default"/>
          <w:sz w:val="12"/>
          <w:szCs w:val="12"/>
        </w:rPr>
      </w:pPr>
    </w:p>
    <w:p>
      <w:pPr>
        <w:pStyle w:val="BodyText"/>
        <w:spacing w:line="300" w:lineRule="auto"/>
        <w:ind w:right="288" w:firstLine="360"/>
        <w:jc w:val="both"/>
      </w:pPr>
      <w:r>
        <w:rPr>
          <w:rFonts w:ascii="Times New Roman" w:hAnsi="Times New Roman" w:cs="Times New Roman" w:eastAsia="Times New Roman" w:hint="default"/>
          <w:spacing w:val="-2"/>
        </w:rPr>
        <w:t>2013</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22</w:t>
      </w:r>
      <w:r>
        <w:rPr>
          <w:spacing w:val="-2"/>
        </w:rPr>
        <w:t>日，经本公司</w:t>
      </w:r>
      <w:r>
        <w:rPr>
          <w:rFonts w:ascii="Times New Roman" w:hAnsi="Times New Roman" w:cs="Times New Roman" w:eastAsia="Times New Roman" w:hint="default"/>
          <w:spacing w:val="-2"/>
        </w:rPr>
        <w:t>2012</w:t>
      </w:r>
      <w:r>
        <w:rPr>
          <w:spacing w:val="-2"/>
        </w:rPr>
        <w:t>年度股东大会审议批准，本公司以资本公积向全体股东每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2</w:t>
      </w:r>
      <w:r>
        <w:rPr>
          <w:spacing w:val="-2"/>
        </w:rPr>
        <w:t>股，转增后公司注册</w:t>
      </w:r>
      <w:r>
        <w:rPr/>
        <w:t> </w:t>
      </w:r>
      <w:r>
        <w:rPr>
          <w:spacing w:val="2"/>
        </w:rPr>
        <w:t>资本由</w:t>
      </w:r>
      <w:r>
        <w:rPr>
          <w:rFonts w:ascii="Times New Roman" w:hAnsi="Times New Roman" w:cs="Times New Roman" w:eastAsia="Times New Roman" w:hint="default"/>
          <w:spacing w:val="2"/>
        </w:rPr>
        <w:t>576,330,592.00</w:t>
      </w:r>
      <w:r>
        <w:rPr>
          <w:spacing w:val="2"/>
        </w:rPr>
        <w:t>元增加至</w:t>
      </w:r>
      <w:r>
        <w:rPr>
          <w:rFonts w:ascii="Times New Roman" w:hAnsi="Times New Roman" w:cs="Times New Roman" w:eastAsia="Times New Roman" w:hint="default"/>
          <w:spacing w:val="2"/>
        </w:rPr>
        <w:t>691,596,710.00</w:t>
      </w:r>
      <w:r>
        <w:rPr>
          <w:spacing w:val="2"/>
        </w:rPr>
        <w:t>元。本公司本次资本公积转增资本已经信永中和会计师事务所审验，并出具</w:t>
      </w:r>
      <w:r>
        <w:rPr>
          <w:spacing w:val="-74"/>
        </w:rPr>
        <w:t> </w:t>
      </w:r>
      <w:r>
        <w:rPr>
          <w:spacing w:val="-74"/>
        </w:rPr>
      </w:r>
      <w:r>
        <w:rPr>
          <w:rFonts w:ascii="Times New Roman" w:hAnsi="Times New Roman" w:cs="Times New Roman" w:eastAsia="Times New Roman" w:hint="default"/>
        </w:rPr>
        <w:t>“XYZH/2012A4086</w:t>
      </w:r>
      <w:r>
        <w:rPr/>
        <w:t>号</w:t>
      </w:r>
      <w:r>
        <w:rPr>
          <w:rFonts w:ascii="Times New Roman" w:hAnsi="Times New Roman" w:cs="Times New Roman" w:eastAsia="Times New Roman" w:hint="default"/>
        </w:rPr>
        <w:t>”</w:t>
      </w:r>
      <w:r>
        <w:rPr/>
        <w:t>验资报告予以确认。</w:t>
      </w:r>
    </w:p>
    <w:p>
      <w:pPr>
        <w:spacing w:line="240" w:lineRule="auto" w:before="12"/>
        <w:rPr>
          <w:rFonts w:ascii="宋体" w:hAnsi="宋体" w:cs="宋体" w:eastAsia="宋体" w:hint="default"/>
          <w:sz w:val="12"/>
          <w:szCs w:val="12"/>
        </w:rPr>
      </w:pPr>
    </w:p>
    <w:p>
      <w:pPr>
        <w:pStyle w:val="BodyText"/>
        <w:spacing w:line="300" w:lineRule="auto"/>
        <w:ind w:right="294" w:firstLine="360"/>
        <w:jc w:val="both"/>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29</w:t>
      </w:r>
      <w:r>
        <w:rPr/>
        <w:t>日，中国四维测绘技术有限公司与深圳市腾讯产业投资基金有限公司签署了股份转让协议，转让中国四维 测绘技术有限公司持有的本公司股份</w:t>
      </w:r>
      <w:r>
        <w:rPr>
          <w:rFonts w:ascii="Times New Roman" w:hAnsi="Times New Roman" w:cs="Times New Roman" w:eastAsia="Times New Roman" w:hint="default"/>
        </w:rPr>
        <w:t>78,000,000.00</w:t>
      </w:r>
      <w:r>
        <w:rPr/>
        <w:t>股。</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日，公司收到中国四维测绘技术有限公司转来的中国证</w:t>
      </w:r>
      <w:r>
        <w:rPr>
          <w:spacing w:val="-48"/>
        </w:rPr>
        <w:t> </w:t>
      </w:r>
      <w:r>
        <w:rPr>
          <w:spacing w:val="-48"/>
        </w:rPr>
      </w:r>
      <w:r>
        <w:rPr/>
        <w:t>券登记结算有限责任公司深圳分公司出具的过户登记确认书，确认过户登记手续于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13</w:t>
      </w:r>
      <w:r>
        <w:rPr/>
        <w:t>日办理完毕。</w:t>
      </w:r>
    </w:p>
    <w:p>
      <w:pPr>
        <w:spacing w:line="240" w:lineRule="auto" w:before="12"/>
        <w:rPr>
          <w:rFonts w:ascii="宋体" w:hAnsi="宋体" w:cs="宋体" w:eastAsia="宋体" w:hint="default"/>
          <w:sz w:val="12"/>
          <w:szCs w:val="12"/>
        </w:rPr>
      </w:pPr>
    </w:p>
    <w:p>
      <w:pPr>
        <w:pStyle w:val="BodyText"/>
        <w:spacing w:line="309" w:lineRule="auto"/>
        <w:ind w:right="288" w:firstLine="360"/>
        <w:jc w:val="both"/>
      </w:pPr>
      <w:r>
        <w:rPr>
          <w:spacing w:val="-5"/>
        </w:rPr>
        <w:t>经本公司</w:t>
      </w:r>
      <w:r>
        <w:rPr>
          <w:rFonts w:ascii="Times New Roman" w:hAnsi="Times New Roman" w:cs="Times New Roman" w:eastAsia="Times New Roman" w:hint="default"/>
          <w:spacing w:val="-5"/>
        </w:rPr>
        <w:t>2015</w:t>
      </w:r>
      <w:r>
        <w:rPr>
          <w:spacing w:val="-5"/>
        </w:rPr>
        <w:t>年第一次临时股东大会审议通过的《北京四维图新科技股份有限公司限制性股票激励计划（草案修订稿）》</w:t>
      </w:r>
      <w:r>
        <w:rPr/>
        <w:t> </w:t>
      </w:r>
      <w:r>
        <w:rPr>
          <w:spacing w:val="-2"/>
        </w:rPr>
        <w:t>及其摘要、第三届董事会第十三次会议审议通过的《关于向激励对象授予限制性股票的议案》、《关于调整限制性股票激励</w:t>
      </w:r>
      <w:r>
        <w:rPr>
          <w:spacing w:val="-65"/>
        </w:rPr>
        <w:t> </w:t>
      </w:r>
      <w:r>
        <w:rPr>
          <w:spacing w:val="-65"/>
        </w:rPr>
      </w:r>
      <w:r>
        <w:rPr/>
        <w:t>计划授予价格的议案》，本公司以</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24</w:t>
      </w:r>
      <w:r>
        <w:rPr/>
        <w:t>日为授予日，按</w:t>
      </w:r>
      <w:r>
        <w:rPr>
          <w:rFonts w:ascii="Times New Roman" w:hAnsi="Times New Roman" w:cs="Times New Roman" w:eastAsia="Times New Roman" w:hint="default"/>
        </w:rPr>
        <w:t>11.279</w:t>
      </w:r>
      <w:r>
        <w:rPr/>
        <w:t>元</w:t>
      </w:r>
      <w:r>
        <w:rPr>
          <w:rFonts w:ascii="Times New Roman" w:hAnsi="Times New Roman" w:cs="Times New Roman" w:eastAsia="Times New Roman" w:hint="default"/>
        </w:rPr>
        <w:t>/</w:t>
      </w:r>
      <w:r>
        <w:rPr/>
        <w:t>股授予价格，向</w:t>
      </w:r>
      <w:r>
        <w:rPr>
          <w:rFonts w:ascii="Times New Roman" w:hAnsi="Times New Roman" w:cs="Times New Roman" w:eastAsia="Times New Roman" w:hint="default"/>
        </w:rPr>
        <w:t>482</w:t>
      </w:r>
      <w:r>
        <w:rPr/>
        <w:t>名激励对象授予</w:t>
      </w:r>
      <w:r>
        <w:rPr>
          <w:rFonts w:ascii="Times New Roman" w:hAnsi="Times New Roman" w:cs="Times New Roman" w:eastAsia="Times New Roman" w:hint="default"/>
        </w:rPr>
        <w:t>1,780.68</w:t>
      </w:r>
      <w:r>
        <w:rPr/>
        <w:t>万股限</w:t>
      </w:r>
    </w:p>
    <w:p>
      <w:pPr>
        <w:spacing w:after="0" w:line="309" w:lineRule="auto"/>
        <w:jc w:val="both"/>
        <w:sectPr>
          <w:pgSz w:w="11910" w:h="16840"/>
          <w:pgMar w:header="745" w:footer="979" w:top="1060" w:bottom="1160" w:left="980" w:right="840"/>
        </w:sectPr>
      </w:pPr>
    </w:p>
    <w:p>
      <w:pPr>
        <w:spacing w:line="240" w:lineRule="auto" w:before="9"/>
        <w:rPr>
          <w:rFonts w:ascii="宋体" w:hAnsi="宋体" w:cs="宋体" w:eastAsia="宋体" w:hint="default"/>
          <w:sz w:val="25"/>
          <w:szCs w:val="25"/>
        </w:rPr>
      </w:pPr>
    </w:p>
    <w:p>
      <w:pPr>
        <w:pStyle w:val="BodyText"/>
        <w:spacing w:line="300" w:lineRule="auto" w:before="44"/>
        <w:ind w:right="193"/>
        <w:jc w:val="both"/>
      </w:pPr>
      <w:r>
        <w:rPr>
          <w:spacing w:val="-2"/>
        </w:rPr>
        <w:t>制性股票。此次变更实际增加股本</w:t>
      </w:r>
      <w:r>
        <w:rPr>
          <w:rFonts w:ascii="Times New Roman" w:hAnsi="Times New Roman" w:cs="Times New Roman" w:eastAsia="Times New Roman" w:hint="default"/>
          <w:spacing w:val="-2"/>
        </w:rPr>
        <w:t>17,806,800.00</w:t>
      </w:r>
      <w:r>
        <w:rPr>
          <w:spacing w:val="-2"/>
        </w:rPr>
        <w:t>元，其余</w:t>
      </w:r>
      <w:r>
        <w:rPr>
          <w:rFonts w:ascii="Times New Roman" w:hAnsi="Times New Roman" w:cs="Times New Roman" w:eastAsia="Times New Roman" w:hint="default"/>
          <w:spacing w:val="-2"/>
        </w:rPr>
        <w:t>183,036,097.20</w:t>
      </w:r>
      <w:r>
        <w:rPr>
          <w:spacing w:val="-2"/>
        </w:rPr>
        <w:t>元作为股本溢价，变更后的股本为</w:t>
      </w:r>
      <w:r>
        <w:rPr>
          <w:rFonts w:ascii="Times New Roman" w:hAnsi="Times New Roman" w:cs="Times New Roman" w:eastAsia="Times New Roman" w:hint="default"/>
          <w:spacing w:val="-2"/>
        </w:rPr>
        <w:t>709,403,510.00</w:t>
      </w:r>
      <w:r>
        <w:rPr>
          <w:spacing w:val="-2"/>
        </w:rPr>
        <w:t>元。</w:t>
      </w:r>
      <w:r>
        <w:rPr>
          <w:spacing w:val="-82"/>
        </w:rPr>
        <w:t> </w:t>
      </w:r>
      <w:r>
        <w:rPr/>
        <w:t>此次变更业经信永中和会计师事务所（特殊普通合伙）出具</w:t>
      </w:r>
      <w:r>
        <w:rPr>
          <w:rFonts w:ascii="Times New Roman" w:hAnsi="Times New Roman" w:cs="Times New Roman" w:eastAsia="Times New Roman" w:hint="default"/>
        </w:rPr>
        <w:t>XYZH/2015BJA70103</w:t>
      </w:r>
      <w:r>
        <w:rPr/>
        <w:t>号《验资报告》予以审验。</w:t>
      </w:r>
    </w:p>
    <w:p>
      <w:pPr>
        <w:spacing w:line="240" w:lineRule="auto" w:before="12"/>
        <w:rPr>
          <w:rFonts w:ascii="宋体" w:hAnsi="宋体" w:cs="宋体" w:eastAsia="宋体" w:hint="default"/>
          <w:sz w:val="12"/>
          <w:szCs w:val="12"/>
        </w:rPr>
      </w:pPr>
    </w:p>
    <w:p>
      <w:pPr>
        <w:pStyle w:val="BodyText"/>
        <w:spacing w:line="300" w:lineRule="auto"/>
        <w:ind w:right="188" w:firstLine="360"/>
        <w:jc w:val="both"/>
      </w:pPr>
      <w:r>
        <w:rPr>
          <w:spacing w:val="-5"/>
        </w:rPr>
        <w:t>经本公司</w:t>
      </w:r>
      <w:r>
        <w:rPr>
          <w:rFonts w:ascii="Times New Roman" w:hAnsi="Times New Roman" w:cs="Times New Roman" w:eastAsia="Times New Roman" w:hint="default"/>
          <w:spacing w:val="-5"/>
        </w:rPr>
        <w:t>2015</w:t>
      </w:r>
      <w:r>
        <w:rPr>
          <w:spacing w:val="-5"/>
        </w:rPr>
        <w:t>年第一次临时股东大会审议通过的《北京四维图新科技股份有限公司限制性股票激励计划（草案修订稿）》</w:t>
      </w:r>
      <w:r>
        <w:rPr/>
        <w:t> 及其摘要、第三届董事会第十五次会议审议通过的《关于向激励对象授予预留限制性股票的议案》，本公司以</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25</w:t>
      </w:r>
      <w:r>
        <w:rPr>
          <w:rFonts w:ascii="Times New Roman" w:hAnsi="Times New Roman" w:cs="Times New Roman" w:eastAsia="Times New Roman" w:hint="default"/>
          <w:spacing w:val="-37"/>
        </w:rPr>
        <w:t> </w:t>
      </w:r>
      <w:r>
        <w:rPr/>
        <w:t>日为授予日，按</w:t>
      </w:r>
      <w:r>
        <w:rPr>
          <w:rFonts w:ascii="Times New Roman" w:hAnsi="Times New Roman" w:cs="Times New Roman" w:eastAsia="Times New Roman" w:hint="default"/>
        </w:rPr>
        <w:t>13.87</w:t>
      </w:r>
      <w:r>
        <w:rPr/>
        <w:t>元</w:t>
      </w:r>
      <w:r>
        <w:rPr>
          <w:rFonts w:ascii="Times New Roman" w:hAnsi="Times New Roman" w:cs="Times New Roman" w:eastAsia="Times New Roman" w:hint="default"/>
        </w:rPr>
        <w:t>/</w:t>
      </w:r>
      <w:r>
        <w:rPr/>
        <w:t>股授予价格，向</w:t>
      </w:r>
      <w:r>
        <w:rPr>
          <w:rFonts w:ascii="Times New Roman" w:hAnsi="Times New Roman" w:cs="Times New Roman" w:eastAsia="Times New Roman" w:hint="default"/>
        </w:rPr>
        <w:t>77</w:t>
      </w:r>
      <w:r>
        <w:rPr/>
        <w:t>名激励对象授予</w:t>
      </w:r>
      <w:r>
        <w:rPr>
          <w:rFonts w:ascii="Times New Roman" w:hAnsi="Times New Roman" w:cs="Times New Roman" w:eastAsia="Times New Roman" w:hint="default"/>
        </w:rPr>
        <w:t>203.30</w:t>
      </w:r>
      <w:r>
        <w:rPr/>
        <w:t>万股限制性股票。此次变更实际增加股本</w:t>
      </w:r>
      <w:r>
        <w:rPr>
          <w:rFonts w:ascii="Times New Roman" w:hAnsi="Times New Roman" w:cs="Times New Roman" w:eastAsia="Times New Roman" w:hint="default"/>
        </w:rPr>
        <w:t>2,033,000.00</w:t>
      </w:r>
      <w:r>
        <w:rPr/>
        <w:t>元， </w:t>
      </w:r>
      <w:r>
        <w:rPr>
          <w:spacing w:val="-4"/>
        </w:rPr>
        <w:t>其余</w:t>
      </w:r>
      <w:r>
        <w:rPr>
          <w:rFonts w:ascii="Times New Roman" w:hAnsi="Times New Roman" w:cs="Times New Roman" w:eastAsia="Times New Roman" w:hint="default"/>
          <w:spacing w:val="-4"/>
        </w:rPr>
        <w:t>26,164,710.00</w:t>
      </w:r>
      <w:r>
        <w:rPr>
          <w:spacing w:val="-4"/>
        </w:rPr>
        <w:t>元作为股本溢价，变更后的股本为</w:t>
      </w:r>
      <w:r>
        <w:rPr>
          <w:rFonts w:ascii="Times New Roman" w:hAnsi="Times New Roman" w:cs="Times New Roman" w:eastAsia="Times New Roman" w:hint="default"/>
          <w:spacing w:val="-4"/>
        </w:rPr>
        <w:t>711,436,510.00</w:t>
      </w:r>
      <w:r>
        <w:rPr>
          <w:spacing w:val="-4"/>
        </w:rPr>
        <w:t>元。此次变更业经信永中和会计师事务所（特殊普通合伙）</w:t>
      </w:r>
      <w:r>
        <w:rPr>
          <w:spacing w:val="-84"/>
        </w:rPr>
        <w:t> </w:t>
      </w:r>
      <w:r>
        <w:rPr>
          <w:spacing w:val="-84"/>
        </w:rPr>
      </w:r>
      <w:r>
        <w:rPr/>
        <w:t>出具</w:t>
      </w:r>
      <w:r>
        <w:rPr>
          <w:rFonts w:ascii="Times New Roman" w:hAnsi="Times New Roman" w:cs="Times New Roman" w:eastAsia="Times New Roman" w:hint="default"/>
        </w:rPr>
        <w:t>XYZH/2015BJA70117</w:t>
      </w:r>
      <w:r>
        <w:rPr/>
        <w:t>号《验资报告》予以审验。</w:t>
      </w:r>
    </w:p>
    <w:p>
      <w:pPr>
        <w:spacing w:line="240" w:lineRule="auto" w:before="12"/>
        <w:rPr>
          <w:rFonts w:ascii="宋体" w:hAnsi="宋体" w:cs="宋体" w:eastAsia="宋体" w:hint="default"/>
          <w:sz w:val="12"/>
          <w:szCs w:val="12"/>
        </w:rPr>
      </w:pPr>
    </w:p>
    <w:p>
      <w:pPr>
        <w:pStyle w:val="BodyText"/>
        <w:spacing w:line="300" w:lineRule="auto"/>
        <w:ind w:right="184" w:firstLine="360"/>
        <w:jc w:val="both"/>
      </w:pPr>
      <w:r>
        <w:rPr>
          <w:spacing w:val="-2"/>
        </w:rPr>
        <w:t>经本公司</w:t>
      </w:r>
      <w:r>
        <w:rPr>
          <w:rFonts w:ascii="Times New Roman" w:hAnsi="Times New Roman" w:cs="Times New Roman" w:eastAsia="Times New Roman" w:hint="default"/>
          <w:spacing w:val="-2"/>
        </w:rPr>
        <w:t>2016</w:t>
      </w:r>
      <w:r>
        <w:rPr>
          <w:spacing w:val="-2"/>
        </w:rPr>
        <w:t>年第三届董事会第十九次会议审议通过的《关于回购注销部分限制性股票的议案》，公司申请减少注册资</w:t>
      </w:r>
      <w:r>
        <w:rPr/>
        <w:t> 本人民币</w:t>
      </w:r>
      <w:r>
        <w:rPr>
          <w:rFonts w:ascii="Times New Roman" w:hAnsi="Times New Roman" w:cs="Times New Roman" w:eastAsia="Times New Roman" w:hint="default"/>
        </w:rPr>
        <w:t>279,000.00</w:t>
      </w:r>
      <w:r>
        <w:rPr/>
        <w:t>元，回购有限售条件股份</w:t>
      </w:r>
      <w:r>
        <w:rPr>
          <w:rFonts w:ascii="Times New Roman" w:hAnsi="Times New Roman" w:cs="Times New Roman" w:eastAsia="Times New Roman" w:hint="default"/>
        </w:rPr>
        <w:t>279,000</w:t>
      </w:r>
      <w:r>
        <w:rPr/>
        <w:t>股后予以注销，注册资本由</w:t>
      </w:r>
      <w:r>
        <w:rPr>
          <w:rFonts w:ascii="Times New Roman" w:hAnsi="Times New Roman" w:cs="Times New Roman" w:eastAsia="Times New Roman" w:hint="default"/>
        </w:rPr>
        <w:t>711,436,510.00</w:t>
      </w:r>
      <w:r>
        <w:rPr/>
        <w:t>元减少至</w:t>
      </w:r>
      <w:r>
        <w:rPr>
          <w:rFonts w:ascii="Times New Roman" w:hAnsi="Times New Roman" w:cs="Times New Roman" w:eastAsia="Times New Roman" w:hint="default"/>
        </w:rPr>
        <w:t>711,157,510.00</w:t>
      </w:r>
      <w:r>
        <w:rPr/>
        <w:t>元。</w:t>
      </w:r>
      <w:r>
        <w:rPr>
          <w:spacing w:val="-49"/>
        </w:rPr>
        <w:t> </w:t>
      </w:r>
      <w:r>
        <w:rPr/>
        <w:t>此次变更业经信永中和会计师事务所（特殊普通合伙）出具</w:t>
      </w:r>
      <w:r>
        <w:rPr>
          <w:rFonts w:ascii="Times New Roman" w:hAnsi="Times New Roman" w:cs="Times New Roman" w:eastAsia="Times New Roman" w:hint="default"/>
        </w:rPr>
        <w:t>“XYZH/2015BJA70178”</w:t>
      </w:r>
      <w:r>
        <w:rPr/>
        <w:t>号验资报告予以审验。</w:t>
      </w:r>
    </w:p>
    <w:p>
      <w:pPr>
        <w:spacing w:line="240" w:lineRule="auto" w:before="13"/>
        <w:rPr>
          <w:rFonts w:ascii="宋体" w:hAnsi="宋体" w:cs="宋体" w:eastAsia="宋体" w:hint="default"/>
          <w:sz w:val="12"/>
          <w:szCs w:val="12"/>
        </w:rPr>
      </w:pPr>
    </w:p>
    <w:p>
      <w:pPr>
        <w:pStyle w:val="BodyText"/>
        <w:spacing w:line="300" w:lineRule="auto"/>
        <w:ind w:right="191" w:firstLine="360"/>
        <w:jc w:val="both"/>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7</w:t>
      </w:r>
      <w:r>
        <w:rPr/>
        <w:t>日，经本公司</w:t>
      </w:r>
      <w:r>
        <w:rPr>
          <w:rFonts w:ascii="Times New Roman" w:hAnsi="Times New Roman" w:cs="Times New Roman" w:eastAsia="Times New Roman" w:hint="default"/>
        </w:rPr>
        <w:t>2015</w:t>
      </w:r>
      <w:r>
        <w:rPr/>
        <w:t>年度股东大会审议批准，本公司以资本公积金向全体股东每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5</w:t>
      </w:r>
      <w:r>
        <w:rPr/>
        <w:t>股，转增后本公司 注册资本由</w:t>
      </w:r>
      <w:r>
        <w:rPr>
          <w:rFonts w:ascii="Times New Roman" w:hAnsi="Times New Roman" w:cs="Times New Roman" w:eastAsia="Times New Roman" w:hint="default"/>
        </w:rPr>
        <w:t>711,157,510.00</w:t>
      </w:r>
      <w:r>
        <w:rPr/>
        <w:t>元增加至</w:t>
      </w:r>
      <w:r>
        <w:rPr>
          <w:rFonts w:ascii="Times New Roman" w:hAnsi="Times New Roman" w:cs="Times New Roman" w:eastAsia="Times New Roman" w:hint="default"/>
        </w:rPr>
        <w:t>1,066,736,265.00</w:t>
      </w:r>
      <w:r>
        <w:rPr/>
        <w:t>元。</w:t>
      </w:r>
    </w:p>
    <w:p>
      <w:pPr>
        <w:spacing w:line="240" w:lineRule="auto" w:before="12"/>
        <w:rPr>
          <w:rFonts w:ascii="宋体" w:hAnsi="宋体" w:cs="宋体" w:eastAsia="宋体" w:hint="default"/>
          <w:sz w:val="12"/>
          <w:szCs w:val="12"/>
        </w:rPr>
      </w:pPr>
    </w:p>
    <w:p>
      <w:pPr>
        <w:pStyle w:val="BodyText"/>
        <w:spacing w:line="304" w:lineRule="auto"/>
        <w:ind w:right="94" w:firstLine="360"/>
        <w:jc w:val="left"/>
      </w:pP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15</w:t>
      </w:r>
      <w:r>
        <w:rPr>
          <w:spacing w:val="-2"/>
        </w:rPr>
        <w:t>日，根据本公司</w:t>
      </w:r>
      <w:r>
        <w:rPr>
          <w:rFonts w:ascii="Times New Roman" w:hAnsi="Times New Roman" w:cs="Times New Roman" w:eastAsia="Times New Roman" w:hint="default"/>
          <w:spacing w:val="-2"/>
        </w:rPr>
        <w:t>2015</w:t>
      </w:r>
      <w:r>
        <w:rPr>
          <w:spacing w:val="-2"/>
        </w:rPr>
        <w:t>年第一次临时股东大会审议通过的《北京四维图新科技股份有限公司限制性股票激励</w:t>
      </w:r>
      <w:r>
        <w:rPr/>
        <w:t> 计划（草案修订稿）》及其摘要、公司第三届董事会第二十五次会议审议通过的《关于回购注销部分限制性股票的议案》，</w:t>
      </w:r>
      <w:r>
        <w:rPr>
          <w:spacing w:val="-83"/>
        </w:rPr>
        <w:t> </w:t>
      </w:r>
      <w:r>
        <w:rPr>
          <w:spacing w:val="-83"/>
        </w:rPr>
      </w:r>
      <w:r>
        <w:rPr>
          <w:spacing w:val="7"/>
        </w:rPr>
        <w:t>本公司申请减少注册资本人民币</w:t>
      </w:r>
      <w:r>
        <w:rPr>
          <w:rFonts w:ascii="Times New Roman" w:hAnsi="Times New Roman" w:cs="Times New Roman" w:eastAsia="Times New Roman" w:hint="default"/>
          <w:spacing w:val="7"/>
        </w:rPr>
        <w:t>209,000.00</w:t>
      </w:r>
      <w:r>
        <w:rPr>
          <w:spacing w:val="7"/>
        </w:rPr>
        <w:t>元， </w:t>
      </w:r>
      <w:r>
        <w:rPr>
          <w:spacing w:val="8"/>
        </w:rPr>
        <w:t>回购有限售条件股份</w:t>
      </w:r>
      <w:r>
        <w:rPr>
          <w:rFonts w:ascii="Times New Roman" w:hAnsi="Times New Roman" w:cs="Times New Roman" w:eastAsia="Times New Roman" w:hint="default"/>
          <w:spacing w:val="8"/>
        </w:rPr>
        <w:t>209,000.00</w:t>
      </w:r>
      <w:r>
        <w:rPr>
          <w:spacing w:val="8"/>
        </w:rPr>
        <w:t>股后予以注销</w:t>
      </w:r>
      <w:r>
        <w:rPr>
          <w:rFonts w:ascii="Times New Roman" w:hAnsi="Times New Roman" w:cs="Times New Roman" w:eastAsia="Times New Roman" w:hint="default"/>
          <w:spacing w:val="8"/>
        </w:rPr>
        <w:t>,</w:t>
      </w:r>
      <w:r>
        <w:rPr>
          <w:spacing w:val="8"/>
        </w:rPr>
        <w:t>变更后本公司的股本为</w:t>
      </w:r>
      <w:r>
        <w:rPr>
          <w:spacing w:val="-85"/>
        </w:rPr>
        <w:t> </w:t>
      </w:r>
      <w:r>
        <w:rPr>
          <w:spacing w:val="-85"/>
        </w:rPr>
      </w:r>
      <w:r>
        <w:rPr>
          <w:rFonts w:ascii="Times New Roman" w:hAnsi="Times New Roman" w:cs="Times New Roman" w:eastAsia="Times New Roman" w:hint="default"/>
        </w:rPr>
        <w:t>1,066,527,265.00</w:t>
      </w:r>
      <w:r>
        <w:rPr/>
        <w:t>元。此次变更业经信永中和会计师事务所（特殊普通合伙）出具</w:t>
      </w:r>
      <w:r>
        <w:rPr>
          <w:rFonts w:ascii="Times New Roman" w:hAnsi="Times New Roman" w:cs="Times New Roman" w:eastAsia="Times New Roman" w:hint="default"/>
        </w:rPr>
        <w:t>“XYZH/2016BJA70264”</w:t>
      </w:r>
      <w:r>
        <w:rPr>
          <w:rFonts w:ascii="Times New Roman" w:hAnsi="Times New Roman" w:cs="Times New Roman" w:eastAsia="Times New Roman" w:hint="default"/>
          <w:spacing w:val="18"/>
        </w:rPr>
        <w:t> </w:t>
      </w:r>
      <w:r>
        <w:rPr/>
        <w:t>号验资报告予以审 验。</w:t>
      </w:r>
    </w:p>
    <w:p>
      <w:pPr>
        <w:spacing w:line="240" w:lineRule="auto" w:before="1"/>
        <w:rPr>
          <w:rFonts w:ascii="宋体" w:hAnsi="宋体" w:cs="宋体" w:eastAsia="宋体" w:hint="default"/>
          <w:sz w:val="14"/>
          <w:szCs w:val="14"/>
        </w:rPr>
      </w:pPr>
    </w:p>
    <w:p>
      <w:pPr>
        <w:pStyle w:val="BodyText"/>
        <w:spacing w:line="307" w:lineRule="auto"/>
        <w:ind w:right="189" w:firstLine="36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7</w:t>
      </w:r>
      <w:r>
        <w:rPr>
          <w:spacing w:val="-2"/>
        </w:rPr>
        <w:t>日，根据本公司</w:t>
      </w:r>
      <w:r>
        <w:rPr>
          <w:rFonts w:ascii="Times New Roman" w:hAnsi="Times New Roman" w:cs="Times New Roman" w:eastAsia="Times New Roman" w:hint="default"/>
          <w:spacing w:val="-2"/>
        </w:rPr>
        <w:t>2016</w:t>
      </w:r>
      <w:r>
        <w:rPr>
          <w:spacing w:val="-2"/>
        </w:rPr>
        <w:t>年第三届董事会第二十一次会议、</w:t>
      </w:r>
      <w:r>
        <w:rPr>
          <w:rFonts w:ascii="Times New Roman" w:hAnsi="Times New Roman" w:cs="Times New Roman" w:eastAsia="Times New Roman" w:hint="default"/>
          <w:spacing w:val="-2"/>
        </w:rPr>
        <w:t>2015</w:t>
      </w:r>
      <w:r>
        <w:rPr>
          <w:spacing w:val="-2"/>
        </w:rPr>
        <w:t>年度股东大会审议批准，并经中国证券监督管理</w:t>
      </w:r>
      <w:r>
        <w:rPr/>
        <w:t> </w:t>
      </w:r>
      <w:r>
        <w:rPr>
          <w:spacing w:val="-2"/>
        </w:rPr>
        <w:t>委员会《关于核准北京四维图新科技股份有限公司向合肥高新科技创业投资有限公司等发行股份购买资产并募集配套资金的</w:t>
      </w:r>
      <w:r>
        <w:rPr>
          <w:spacing w:val="-64"/>
        </w:rPr>
        <w:t> </w:t>
      </w:r>
      <w:r>
        <w:rPr>
          <w:spacing w:val="-64"/>
        </w:rPr>
      </w:r>
      <w:r>
        <w:rPr>
          <w:spacing w:val="-1"/>
        </w:rPr>
        <w:t>批复》（证监许可</w:t>
      </w:r>
      <w:r>
        <w:rPr>
          <w:rFonts w:ascii="Times New Roman" w:hAnsi="Times New Roman" w:cs="Times New Roman" w:eastAsia="Times New Roman" w:hint="default"/>
          <w:spacing w:val="-1"/>
        </w:rPr>
        <w:t>[2017]22</w:t>
      </w:r>
      <w:r>
        <w:rPr>
          <w:spacing w:val="-1"/>
        </w:rPr>
        <w:t>号）的核准，同意本公司向合肥高新科技创业投资有限公司、宁波杰康投资管理合伙企业（有限</w:t>
      </w:r>
      <w:r>
        <w:rPr>
          <w:spacing w:val="-57"/>
        </w:rPr>
        <w:t> </w:t>
      </w:r>
      <w:r>
        <w:rPr>
          <w:spacing w:val="-57"/>
        </w:rPr>
      </w:r>
      <w:r>
        <w:rPr>
          <w:spacing w:val="-2"/>
        </w:rPr>
        <w:t>合伙）、宁波杰浩投资管理合伙企业（有限合伙）、宁波杰朗投资管理合伙企业（有限合伙）、宁波杰晟投资管理合伙企业</w:t>
      </w:r>
    </w:p>
    <w:p>
      <w:pPr>
        <w:pStyle w:val="BodyText"/>
        <w:spacing w:line="300" w:lineRule="auto" w:before="26"/>
        <w:ind w:right="189"/>
        <w:jc w:val="both"/>
      </w:pPr>
      <w:r>
        <w:rPr>
          <w:spacing w:val="-2"/>
        </w:rPr>
        <w:t>（有限合伙）共</w:t>
      </w:r>
      <w:r>
        <w:rPr>
          <w:rFonts w:ascii="Times New Roman" w:hAnsi="Times New Roman" w:cs="Times New Roman" w:eastAsia="Times New Roman" w:hint="default"/>
          <w:spacing w:val="-2"/>
        </w:rPr>
        <w:t>5</w:t>
      </w:r>
      <w:r>
        <w:rPr>
          <w:spacing w:val="-2"/>
        </w:rPr>
        <w:t>位交易对方共计发行</w:t>
      </w:r>
      <w:r>
        <w:rPr>
          <w:rFonts w:ascii="Times New Roman" w:hAnsi="Times New Roman" w:cs="Times New Roman" w:eastAsia="Times New Roman" w:hint="default"/>
          <w:spacing w:val="-2"/>
        </w:rPr>
        <w:t>19,418,723</w:t>
      </w:r>
      <w:r>
        <w:rPr>
          <w:spacing w:val="-2"/>
        </w:rPr>
        <w:t>股新股购买其持有的合肥杰发科技有限公司（原名杰发科技（合肥）有限公</w:t>
      </w:r>
      <w:r>
        <w:rPr>
          <w:spacing w:val="-57"/>
        </w:rPr>
        <w:t> </w:t>
      </w:r>
      <w:r>
        <w:rPr>
          <w:spacing w:val="-57"/>
        </w:rPr>
      </w:r>
      <w:r>
        <w:rPr/>
        <w:t>司，以下简称杰发科技）股权。本公司本次实际发行数量为</w:t>
      </w:r>
      <w:r>
        <w:rPr>
          <w:rFonts w:ascii="Times New Roman" w:hAnsi="Times New Roman" w:cs="Times New Roman" w:eastAsia="Times New Roman" w:hint="default"/>
        </w:rPr>
        <w:t>19,418,723</w:t>
      </w:r>
      <w:r>
        <w:rPr/>
        <w:t>股新股，股票的每股面值人民币</w:t>
      </w:r>
      <w:r>
        <w:rPr>
          <w:rFonts w:ascii="Times New Roman" w:hAnsi="Times New Roman" w:cs="Times New Roman" w:eastAsia="Times New Roman" w:hint="default"/>
        </w:rPr>
        <w:t>1.00</w:t>
      </w:r>
      <w:r>
        <w:rPr/>
        <w:t>元，发行价格为</w:t>
      </w:r>
      <w:r>
        <w:rPr>
          <w:spacing w:val="-43"/>
        </w:rPr>
        <w:t> </w:t>
      </w:r>
      <w:r>
        <w:rPr>
          <w:spacing w:val="-43"/>
        </w:rPr>
      </w:r>
      <w:r>
        <w:rPr>
          <w:spacing w:val="-2"/>
        </w:rPr>
        <w:t>每股人民币</w:t>
      </w:r>
      <w:r>
        <w:rPr>
          <w:rFonts w:ascii="Times New Roman" w:hAnsi="Times New Roman" w:cs="Times New Roman" w:eastAsia="Times New Roman" w:hint="default"/>
          <w:spacing w:val="-2"/>
        </w:rPr>
        <w:t>17.02</w:t>
      </w:r>
      <w:r>
        <w:rPr>
          <w:spacing w:val="-2"/>
        </w:rPr>
        <w:t>元，本次实际增加股本人民币</w:t>
      </w:r>
      <w:r>
        <w:rPr>
          <w:rFonts w:ascii="Times New Roman" w:hAnsi="Times New Roman" w:cs="Times New Roman" w:eastAsia="Times New Roman" w:hint="default"/>
          <w:spacing w:val="-2"/>
        </w:rPr>
        <w:t>19,418,723.00</w:t>
      </w:r>
      <w:r>
        <w:rPr>
          <w:spacing w:val="-2"/>
        </w:rPr>
        <w:t>元，变更后的股本为</w:t>
      </w:r>
      <w:r>
        <w:rPr>
          <w:rFonts w:ascii="Times New Roman" w:hAnsi="Times New Roman" w:cs="Times New Roman" w:eastAsia="Times New Roman" w:hint="default"/>
          <w:spacing w:val="-2"/>
        </w:rPr>
        <w:t>1,085,945,988.00</w:t>
      </w:r>
      <w:r>
        <w:rPr>
          <w:spacing w:val="-2"/>
        </w:rPr>
        <w:t>元。此次变更业经信永中和</w:t>
      </w:r>
      <w:r>
        <w:rPr>
          <w:spacing w:val="-43"/>
        </w:rPr>
        <w:t> </w:t>
      </w:r>
      <w:r>
        <w:rPr>
          <w:spacing w:val="-43"/>
        </w:rPr>
      </w:r>
      <w:r>
        <w:rPr/>
        <w:t>会计师事务所（特殊普通合伙）出具</w:t>
      </w:r>
      <w:r>
        <w:rPr>
          <w:rFonts w:ascii="Times New Roman" w:hAnsi="Times New Roman" w:cs="Times New Roman" w:eastAsia="Times New Roman" w:hint="default"/>
        </w:rPr>
        <w:t>“XYZH/2017BJA70061”</w:t>
      </w:r>
      <w:r>
        <w:rPr>
          <w:rFonts w:ascii="Times New Roman" w:hAnsi="Times New Roman" w:cs="Times New Roman" w:eastAsia="Times New Roman" w:hint="default"/>
          <w:spacing w:val="24"/>
        </w:rPr>
        <w:t> </w:t>
      </w:r>
      <w:r>
        <w:rPr/>
        <w:t>号验资报告予以审验。</w:t>
      </w:r>
    </w:p>
    <w:p>
      <w:pPr>
        <w:spacing w:line="240" w:lineRule="auto" w:before="12"/>
        <w:rPr>
          <w:rFonts w:ascii="宋体" w:hAnsi="宋体" w:cs="宋体" w:eastAsia="宋体" w:hint="default"/>
          <w:sz w:val="12"/>
          <w:szCs w:val="12"/>
        </w:rPr>
      </w:pPr>
    </w:p>
    <w:p>
      <w:pPr>
        <w:pStyle w:val="BodyText"/>
        <w:spacing w:line="304" w:lineRule="auto"/>
        <w:ind w:right="19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10</w:t>
      </w:r>
      <w:r>
        <w:rPr/>
        <w:t>日，根据本公司</w:t>
      </w:r>
      <w:r>
        <w:rPr>
          <w:rFonts w:ascii="Times New Roman" w:hAnsi="Times New Roman" w:cs="Times New Roman" w:eastAsia="Times New Roman" w:hint="default"/>
        </w:rPr>
        <w:t>2016</w:t>
      </w:r>
      <w:r>
        <w:rPr/>
        <w:t>年第三届董事会第二十一次会议、</w:t>
      </w:r>
      <w:r>
        <w:rPr>
          <w:rFonts w:ascii="Times New Roman" w:hAnsi="Times New Roman" w:cs="Times New Roman" w:eastAsia="Times New Roman" w:hint="default"/>
        </w:rPr>
        <w:t>2015</w:t>
      </w:r>
      <w:r>
        <w:rPr/>
        <w:t>年度股东大会审议批准，并经中国证券监督管 </w:t>
      </w:r>
      <w:r>
        <w:rPr>
          <w:spacing w:val="-2"/>
        </w:rPr>
        <w:t>理委员会《关于核准北京四维图新科技股份有限公司向合肥高新科技创业投资有限公司等发行股份购买资产并募集配套资金</w:t>
      </w:r>
      <w:r>
        <w:rPr>
          <w:spacing w:val="-63"/>
        </w:rPr>
        <w:t> </w:t>
      </w:r>
      <w:r>
        <w:rPr>
          <w:spacing w:val="-63"/>
        </w:rPr>
      </w:r>
      <w:r>
        <w:rPr>
          <w:spacing w:val="2"/>
        </w:rPr>
        <w:t>的批复》（证监许可</w:t>
      </w:r>
      <w:r>
        <w:rPr>
          <w:rFonts w:ascii="Times New Roman" w:hAnsi="Times New Roman" w:cs="Times New Roman" w:eastAsia="Times New Roman" w:hint="default"/>
          <w:spacing w:val="2"/>
        </w:rPr>
        <w:t>[2017]22</w:t>
      </w:r>
      <w:r>
        <w:rPr>
          <w:spacing w:val="2"/>
        </w:rPr>
        <w:t>号）的核准，同意本公司非公开发行不超过</w:t>
      </w:r>
      <w:r>
        <w:rPr>
          <w:rFonts w:ascii="Times New Roman" w:hAnsi="Times New Roman" w:cs="Times New Roman" w:eastAsia="Times New Roman" w:hint="default"/>
          <w:spacing w:val="2"/>
        </w:rPr>
        <w:t>223,266,740</w:t>
      </w:r>
      <w:r>
        <w:rPr>
          <w:spacing w:val="2"/>
        </w:rPr>
        <w:t>股新股。本公司本次实际发行数量为</w:t>
      </w:r>
      <w:r>
        <w:rPr>
          <w:spacing w:val="-84"/>
        </w:rPr>
        <w:t> </w:t>
      </w:r>
      <w:r>
        <w:rPr>
          <w:spacing w:val="-84"/>
        </w:rPr>
      </w:r>
      <w:r>
        <w:rPr>
          <w:rFonts w:ascii="Times New Roman" w:hAnsi="Times New Roman" w:cs="Times New Roman" w:eastAsia="Times New Roman" w:hint="default"/>
          <w:spacing w:val="-2"/>
        </w:rPr>
        <w:t>196,923,025</w:t>
      </w:r>
      <w:r>
        <w:rPr>
          <w:spacing w:val="-2"/>
        </w:rPr>
        <w:t>股新股，股票的每股面值人民币</w:t>
      </w:r>
      <w:r>
        <w:rPr>
          <w:rFonts w:ascii="Times New Roman" w:hAnsi="Times New Roman" w:cs="Times New Roman" w:eastAsia="Times New Roman" w:hint="default"/>
          <w:spacing w:val="-2"/>
        </w:rPr>
        <w:t>1.00</w:t>
      </w:r>
      <w:r>
        <w:rPr>
          <w:spacing w:val="-2"/>
        </w:rPr>
        <w:t>元，发行价格为每股人民币</w:t>
      </w:r>
      <w:r>
        <w:rPr>
          <w:rFonts w:ascii="Times New Roman" w:hAnsi="Times New Roman" w:cs="Times New Roman" w:eastAsia="Times New Roman" w:hint="default"/>
          <w:spacing w:val="-2"/>
        </w:rPr>
        <w:t>17.02</w:t>
      </w:r>
      <w:r>
        <w:rPr>
          <w:spacing w:val="-2"/>
        </w:rPr>
        <w:t>元，本次实际增加股本人民币</w:t>
      </w:r>
      <w:r>
        <w:rPr>
          <w:rFonts w:ascii="Times New Roman" w:hAnsi="Times New Roman" w:cs="Times New Roman" w:eastAsia="Times New Roman" w:hint="default"/>
          <w:spacing w:val="-2"/>
        </w:rPr>
        <w:t>196,923,025.00</w:t>
      </w:r>
      <w:r>
        <w:rPr>
          <w:rFonts w:ascii="Times New Roman" w:hAnsi="Times New Roman" w:cs="Times New Roman" w:eastAsia="Times New Roman" w:hint="default"/>
          <w:spacing w:val="-39"/>
        </w:rPr>
        <w:t> </w:t>
      </w:r>
      <w:r>
        <w:rPr>
          <w:rFonts w:ascii="Times New Roman" w:hAnsi="Times New Roman" w:cs="Times New Roman" w:eastAsia="Times New Roman" w:hint="default"/>
          <w:spacing w:val="-39"/>
        </w:rPr>
      </w:r>
      <w:r>
        <w:rPr>
          <w:spacing w:val="-2"/>
        </w:rPr>
        <w:t>元，变更后的股本为</w:t>
      </w:r>
      <w:r>
        <w:rPr>
          <w:rFonts w:ascii="Times New Roman" w:hAnsi="Times New Roman" w:cs="Times New Roman" w:eastAsia="Times New Roman" w:hint="default"/>
          <w:spacing w:val="-2"/>
        </w:rPr>
        <w:t>1,282,869,013.00</w:t>
      </w:r>
      <w:r>
        <w:rPr>
          <w:spacing w:val="-2"/>
        </w:rPr>
        <w:t>元。此次变更业经信永中和会计师事务所（特殊普通合伙）出具</w:t>
      </w:r>
      <w:r>
        <w:rPr>
          <w:rFonts w:ascii="Times New Roman" w:hAnsi="Times New Roman" w:cs="Times New Roman" w:eastAsia="Times New Roman" w:hint="default"/>
          <w:spacing w:val="-2"/>
        </w:rPr>
        <w:t>“XYZH/2017BJA70066”</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35"/>
        </w:rPr>
      </w:r>
      <w:r>
        <w:rPr/>
        <w:t>号验资报告予以审验。</w:t>
      </w:r>
    </w:p>
    <w:p>
      <w:pPr>
        <w:spacing w:line="240" w:lineRule="auto" w:before="1"/>
        <w:rPr>
          <w:rFonts w:ascii="宋体" w:hAnsi="宋体" w:cs="宋体" w:eastAsia="宋体" w:hint="default"/>
          <w:sz w:val="14"/>
          <w:szCs w:val="14"/>
        </w:rPr>
      </w:pPr>
    </w:p>
    <w:p>
      <w:pPr>
        <w:pStyle w:val="BodyText"/>
        <w:spacing w:line="300" w:lineRule="auto"/>
        <w:ind w:right="19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日，根据本公司第三届董事会第二十八次会议审议通过的《关于回购注销部分限制性股票的议案》，本公 </w:t>
      </w:r>
      <w:r>
        <w:rPr>
          <w:spacing w:val="15"/>
        </w:rPr>
        <w:t>司申请减少注册资本人民币</w:t>
      </w:r>
      <w:r>
        <w:rPr>
          <w:spacing w:val="-69"/>
        </w:rPr>
        <w:t> </w:t>
      </w:r>
      <w:r>
        <w:rPr>
          <w:rFonts w:ascii="Times New Roman" w:hAnsi="Times New Roman" w:cs="Times New Roman" w:eastAsia="Times New Roman" w:hint="default"/>
        </w:rPr>
        <w:t>254,000.00</w:t>
      </w:r>
      <w:r>
        <w:rPr>
          <w:rFonts w:ascii="Times New Roman" w:hAnsi="Times New Roman" w:cs="Times New Roman" w:eastAsia="Times New Roman" w:hint="default"/>
          <w:spacing w:val="2"/>
        </w:rPr>
        <w:t> </w:t>
      </w:r>
      <w:r>
        <w:rPr>
          <w:spacing w:val="8"/>
        </w:rPr>
        <w:t>元，</w:t>
      </w:r>
      <w:r>
        <w:rPr>
          <w:spacing w:val="20"/>
        </w:rPr>
        <w:t> </w:t>
      </w:r>
      <w:r>
        <w:rPr>
          <w:spacing w:val="14"/>
        </w:rPr>
        <w:t>回购有限售条件股份</w:t>
      </w:r>
      <w:r>
        <w:rPr>
          <w:spacing w:val="-73"/>
        </w:rPr>
        <w:t> </w:t>
      </w:r>
      <w:r>
        <w:rPr>
          <w:rFonts w:ascii="Times New Roman" w:hAnsi="Times New Roman" w:cs="Times New Roman" w:eastAsia="Times New Roman" w:hint="default"/>
        </w:rPr>
        <w:t>254,000</w:t>
      </w:r>
      <w:r>
        <w:rPr>
          <w:rFonts w:ascii="Times New Roman" w:hAnsi="Times New Roman" w:cs="Times New Roman" w:eastAsia="Times New Roman" w:hint="default"/>
          <w:spacing w:val="1"/>
        </w:rPr>
        <w:t> </w:t>
      </w:r>
      <w:r>
        <w:rPr>
          <w:spacing w:val="14"/>
        </w:rPr>
        <w:t>股后予以注销，</w:t>
      </w:r>
      <w:r>
        <w:rPr>
          <w:spacing w:val="21"/>
        </w:rPr>
        <w:t> </w:t>
      </w:r>
      <w:r>
        <w:rPr>
          <w:spacing w:val="15"/>
        </w:rPr>
        <w:t>变更后本公司的股本为</w:t>
      </w:r>
      <w:r>
        <w:rPr/>
        <w:t> </w:t>
      </w:r>
      <w:r>
        <w:rPr>
          <w:rFonts w:ascii="Times New Roman" w:hAnsi="Times New Roman" w:cs="Times New Roman" w:eastAsia="Times New Roman" w:hint="default"/>
        </w:rPr>
        <w:t>1,282,615,013.00</w:t>
      </w:r>
      <w:r>
        <w:rPr/>
        <w:t>元。此次变更业经信永中和会计师事务所（特殊普通合伙）出具</w:t>
      </w:r>
      <w:r>
        <w:rPr>
          <w:rFonts w:ascii="Times New Roman" w:hAnsi="Times New Roman" w:cs="Times New Roman" w:eastAsia="Times New Roman" w:hint="default"/>
        </w:rPr>
        <w:t>“XYZH/2017BJA70231”</w:t>
      </w:r>
      <w:r>
        <w:rPr>
          <w:rFonts w:ascii="Times New Roman" w:hAnsi="Times New Roman" w:cs="Times New Roman" w:eastAsia="Times New Roman" w:hint="default"/>
          <w:spacing w:val="9"/>
        </w:rPr>
        <w:t> </w:t>
      </w:r>
      <w:r>
        <w:rPr/>
        <w:t>号验资报告予以审 验。</w:t>
      </w:r>
    </w:p>
    <w:p>
      <w:pPr>
        <w:spacing w:line="240" w:lineRule="auto" w:before="4"/>
        <w:rPr>
          <w:rFonts w:ascii="宋体" w:hAnsi="宋体" w:cs="宋体" w:eastAsia="宋体" w:hint="default"/>
          <w:sz w:val="14"/>
          <w:szCs w:val="14"/>
        </w:rPr>
      </w:pPr>
    </w:p>
    <w:p>
      <w:pPr>
        <w:pStyle w:val="BodyText"/>
        <w:spacing w:line="300" w:lineRule="auto"/>
        <w:ind w:right="188" w:firstLine="360"/>
        <w:jc w:val="both"/>
      </w:pPr>
      <w:r>
        <w:rPr>
          <w:spacing w:val="-3"/>
        </w:rPr>
        <w:t>截至</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日，公司股本总额</w:t>
      </w:r>
      <w:r>
        <w:rPr>
          <w:rFonts w:ascii="Times New Roman" w:hAnsi="Times New Roman" w:cs="Times New Roman" w:eastAsia="Times New Roman" w:hint="default"/>
          <w:spacing w:val="-3"/>
        </w:rPr>
        <w:t>1,282,615,013.00</w:t>
      </w:r>
      <w:r>
        <w:rPr>
          <w:spacing w:val="-3"/>
        </w:rPr>
        <w:t>元，股份总数</w:t>
      </w:r>
      <w:r>
        <w:rPr>
          <w:rFonts w:ascii="Times New Roman" w:hAnsi="Times New Roman" w:cs="Times New Roman" w:eastAsia="Times New Roman" w:hint="default"/>
          <w:spacing w:val="-3"/>
        </w:rPr>
        <w:t>1,282,615,013</w:t>
      </w:r>
      <w:r>
        <w:rPr>
          <w:spacing w:val="-3"/>
        </w:rPr>
        <w:t>股，其中有限售条件股份</w:t>
      </w:r>
      <w:r>
        <w:rPr>
          <w:rFonts w:ascii="Times New Roman" w:hAnsi="Times New Roman" w:cs="Times New Roman" w:eastAsia="Times New Roman" w:hint="default"/>
          <w:spacing w:val="-3"/>
        </w:rPr>
        <w:t>252,521,582</w:t>
      </w:r>
      <w:r>
        <w:rPr>
          <w:spacing w:val="-3"/>
        </w:rPr>
        <w:t>股，</w:t>
      </w:r>
      <w:r>
        <w:rPr/>
        <w:t> 占股份总数的</w:t>
      </w:r>
      <w:r>
        <w:rPr>
          <w:rFonts w:ascii="Times New Roman" w:hAnsi="Times New Roman" w:cs="Times New Roman" w:eastAsia="Times New Roman" w:hint="default"/>
        </w:rPr>
        <w:t>19.69%</w:t>
      </w:r>
      <w:r>
        <w:rPr/>
        <w:t>；无限售条件股份</w:t>
      </w:r>
      <w:r>
        <w:rPr>
          <w:rFonts w:ascii="Times New Roman" w:hAnsi="Times New Roman" w:cs="Times New Roman" w:eastAsia="Times New Roman" w:hint="default"/>
        </w:rPr>
        <w:t>1,030,093,431</w:t>
      </w:r>
      <w:r>
        <w:rPr/>
        <w:t>股，占股份总数的</w:t>
      </w:r>
      <w:r>
        <w:rPr>
          <w:rFonts w:ascii="Times New Roman" w:hAnsi="Times New Roman" w:cs="Times New Roman" w:eastAsia="Times New Roman" w:hint="default"/>
        </w:rPr>
        <w:t>80.31%</w:t>
      </w:r>
      <w:r>
        <w:rPr/>
        <w:t>。</w:t>
      </w:r>
    </w:p>
    <w:p>
      <w:pPr>
        <w:spacing w:line="240" w:lineRule="auto" w:before="12"/>
        <w:rPr>
          <w:rFonts w:ascii="宋体" w:hAnsi="宋体" w:cs="宋体" w:eastAsia="宋体" w:hint="default"/>
          <w:sz w:val="12"/>
          <w:szCs w:val="12"/>
        </w:rPr>
      </w:pPr>
    </w:p>
    <w:p>
      <w:pPr>
        <w:pStyle w:val="BodyText"/>
        <w:spacing w:line="316" w:lineRule="auto"/>
        <w:ind w:right="190" w:firstLine="360"/>
        <w:jc w:val="both"/>
      </w:pPr>
      <w:r>
        <w:rPr>
          <w:spacing w:val="-5"/>
        </w:rPr>
        <w:t>本公司法定代表人：吴劲风；经营范围：第二类增值电信业务中的信息服务业务；开发、生产导航电子地图、计算机软、</w:t>
      </w:r>
      <w:r>
        <w:rPr/>
        <w:t> </w:t>
      </w:r>
      <w:r>
        <w:rPr>
          <w:spacing w:val="-2"/>
        </w:rPr>
        <w:t>硬件；开发智能交通、航空航天遥感、地理信息系统、自动制图、地图编制、互联网地图服务、设备管理、测绘工程、个人</w:t>
      </w:r>
      <w:r>
        <w:rPr>
          <w:spacing w:val="-70"/>
        </w:rPr>
        <w:t> </w:t>
      </w:r>
      <w:r>
        <w:rPr>
          <w:spacing w:val="-70"/>
        </w:rPr>
      </w:r>
      <w:r>
        <w:rPr/>
        <w:t>数字助理的技术及产品；销售自产产品；技术进出口、货物进出口。</w:t>
      </w:r>
    </w:p>
    <w:p>
      <w:pPr>
        <w:spacing w:after="0" w:line="316" w:lineRule="auto"/>
        <w:jc w:val="both"/>
        <w:sectPr>
          <w:footerReference w:type="default" r:id="rId45"/>
          <w:pgSz w:w="11910" w:h="16840"/>
          <w:pgMar w:footer="979" w:header="745" w:top="1060" w:bottom="1160" w:left="980" w:right="940"/>
          <w:pgNumType w:start="123"/>
        </w:sectPr>
      </w:pPr>
    </w:p>
    <w:p>
      <w:pPr>
        <w:spacing w:line="240" w:lineRule="auto" w:before="9"/>
        <w:rPr>
          <w:rFonts w:ascii="宋体" w:hAnsi="宋体" w:cs="宋体" w:eastAsia="宋体" w:hint="default"/>
          <w:sz w:val="25"/>
          <w:szCs w:val="25"/>
        </w:rPr>
      </w:pPr>
    </w:p>
    <w:p>
      <w:pPr>
        <w:pStyle w:val="BodyText"/>
        <w:spacing w:line="319" w:lineRule="auto" w:before="44"/>
        <w:ind w:right="154" w:firstLine="360"/>
        <w:jc w:val="both"/>
      </w:pPr>
      <w:r>
        <w:rPr>
          <w:spacing w:val="-2"/>
        </w:rPr>
        <w:t>股东大会是本公司的权力机构，依法行使公司经营方针、筹资、投资、利润分配等重大事项决议权。董事会对股东大会</w:t>
      </w:r>
      <w:r>
        <w:rPr/>
        <w:t> 负责，依法行使公司的经营决策权；经理层负责组织实施股东大会、董事会决议事项，主持企业的生产经营管理工作。</w:t>
      </w:r>
    </w:p>
    <w:p>
      <w:pPr>
        <w:spacing w:line="240" w:lineRule="auto" w:before="3"/>
        <w:rPr>
          <w:rFonts w:ascii="宋体" w:hAnsi="宋体" w:cs="宋体" w:eastAsia="宋体" w:hint="default"/>
          <w:sz w:val="13"/>
          <w:szCs w:val="13"/>
        </w:rPr>
      </w:pPr>
    </w:p>
    <w:p>
      <w:pPr>
        <w:pStyle w:val="BodyText"/>
        <w:spacing w:line="309" w:lineRule="auto"/>
        <w:ind w:right="152" w:firstLine="360"/>
        <w:jc w:val="both"/>
      </w:pPr>
      <w:r>
        <w:rPr>
          <w:spacing w:val="-2"/>
        </w:rPr>
        <w:t>本集团合并财务报表范围包括北京图新经纬导航系统有限公司、上海纳维信息技术有限公司、北京世纪高通科技有限公</w:t>
      </w:r>
      <w:r>
        <w:rPr/>
        <w:t> </w:t>
      </w:r>
      <w:r>
        <w:rPr>
          <w:spacing w:val="-2"/>
        </w:rPr>
        <w:t>司等</w:t>
      </w:r>
      <w:r>
        <w:rPr>
          <w:rFonts w:ascii="Times New Roman" w:hAnsi="Times New Roman" w:cs="Times New Roman" w:eastAsia="Times New Roman" w:hint="default"/>
          <w:spacing w:val="-2"/>
        </w:rPr>
        <w:t>20</w:t>
      </w:r>
      <w:r>
        <w:rPr>
          <w:spacing w:val="-2"/>
        </w:rPr>
        <w:t>家公司。与上年相比，本年合并财务报表范围因投资收购增加合肥杰发科技有限公司，因投资设立增加四维图新新加</w:t>
      </w:r>
      <w:r>
        <w:rPr>
          <w:spacing w:val="-64"/>
        </w:rPr>
        <w:t> </w:t>
      </w:r>
      <w:r>
        <w:rPr>
          <w:spacing w:val="-64"/>
        </w:rPr>
      </w:r>
      <w:r>
        <w:rPr/>
        <w:t>坡有限公司，因少数股东增资减少北京图新数聚科技有限公司。</w:t>
      </w:r>
    </w:p>
    <w:p>
      <w:pPr>
        <w:spacing w:line="240" w:lineRule="auto" w:before="10"/>
        <w:rPr>
          <w:rFonts w:ascii="宋体" w:hAnsi="宋体" w:cs="宋体" w:eastAsia="宋体" w:hint="default"/>
          <w:sz w:val="13"/>
          <w:szCs w:val="13"/>
        </w:rPr>
      </w:pPr>
    </w:p>
    <w:p>
      <w:pPr>
        <w:pStyle w:val="BodyText"/>
        <w:spacing w:line="240" w:lineRule="auto"/>
        <w:ind w:left="513" w:right="0"/>
        <w:jc w:val="left"/>
      </w:pPr>
      <w:r>
        <w:rPr/>
        <w:t>报告期合并范围的变化详见本附注</w:t>
      </w:r>
      <w:r>
        <w:rPr>
          <w:rFonts w:ascii="Times New Roman" w:hAnsi="Times New Roman" w:cs="Times New Roman" w:eastAsia="Times New Roman" w:hint="default"/>
        </w:rPr>
        <w:t>“</w:t>
      </w:r>
      <w:r>
        <w:rPr/>
        <w:t>八、合并范围的变更</w:t>
      </w:r>
      <w:r>
        <w:rPr>
          <w:rFonts w:ascii="Times New Roman" w:hAnsi="Times New Roman" w:cs="Times New Roman" w:eastAsia="Times New Roman" w:hint="default"/>
        </w:rPr>
        <w:t>”</w:t>
      </w:r>
      <w:r>
        <w:rPr/>
        <w:t>及本附注</w:t>
      </w:r>
      <w:r>
        <w:rPr>
          <w:rFonts w:ascii="Times New Roman" w:hAnsi="Times New Roman" w:cs="Times New Roman" w:eastAsia="Times New Roman" w:hint="default"/>
        </w:rPr>
        <w:t>“</w:t>
      </w:r>
      <w:r>
        <w:rPr/>
        <w:t>九、在其他主体中的权益</w:t>
      </w:r>
      <w:r>
        <w:rPr>
          <w:rFonts w:ascii="Times New Roman" w:hAnsi="Times New Roman" w:cs="Times New Roman" w:eastAsia="Times New Roman" w:hint="default"/>
        </w:rPr>
        <w:t>”</w:t>
      </w:r>
      <w:r>
        <w:rPr/>
        <w:t>相关内容。</w:t>
      </w:r>
    </w:p>
    <w:p>
      <w:pPr>
        <w:spacing w:line="240" w:lineRule="auto" w:before="3"/>
        <w:rPr>
          <w:rFonts w:ascii="宋体" w:hAnsi="宋体" w:cs="宋体" w:eastAsia="宋体" w:hint="default"/>
          <w:sz w:val="24"/>
          <w:szCs w:val="24"/>
        </w:rPr>
      </w:pPr>
    </w:p>
    <w:p>
      <w:pPr>
        <w:pStyle w:val="Heading3"/>
        <w:spacing w:line="240" w:lineRule="auto"/>
        <w:ind w:right="0"/>
        <w:jc w:val="left"/>
        <w:rPr>
          <w:b w:val="0"/>
          <w:bCs w:val="0"/>
        </w:rPr>
      </w:pPr>
      <w:r>
        <w:rPr/>
        <w:t>四、财务报表的编制基础</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、编制基础</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54" w:firstLine="360"/>
        <w:jc w:val="both"/>
      </w:pPr>
      <w:r>
        <w:rPr>
          <w:spacing w:val="-2"/>
        </w:rPr>
        <w:t>本集团财务报表以持续经营为基础，根据实际发生的交易和事项，按照财政部颁布的《企业会计准则》及相关规定，并</w:t>
      </w:r>
      <w:r>
        <w:rPr/>
        <w:t> 基于本附注</w:t>
      </w:r>
      <w:r>
        <w:rPr>
          <w:rFonts w:ascii="Times New Roman" w:hAnsi="Times New Roman" w:cs="Times New Roman" w:eastAsia="Times New Roman" w:hint="default"/>
        </w:rPr>
        <w:t>“</w:t>
      </w:r>
      <w:r>
        <w:rPr/>
        <w:t>五、重要会计政策及会计估计</w:t>
      </w:r>
      <w:r>
        <w:rPr>
          <w:rFonts w:ascii="Times New Roman" w:hAnsi="Times New Roman" w:cs="Times New Roman" w:eastAsia="Times New Roman" w:hint="default"/>
        </w:rPr>
        <w:t>”</w:t>
      </w:r>
      <w:r>
        <w:rPr/>
        <w:t>所述会计政策和会计估计编制。</w:t>
      </w:r>
    </w:p>
    <w:p>
      <w:pPr>
        <w:spacing w:line="240" w:lineRule="auto" w:before="4"/>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2</w:t>
      </w:r>
      <w:r>
        <w:rPr/>
        <w:t>、持续经营</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151" w:firstLine="360"/>
        <w:jc w:val="both"/>
      </w:pPr>
      <w:r>
        <w:rPr>
          <w:spacing w:val="-2"/>
        </w:rPr>
        <w:t>本集团有近期获利经营的历史且有财务资源支持，自本报告期末至少</w:t>
      </w:r>
      <w:r>
        <w:rPr>
          <w:rFonts w:ascii="Times New Roman" w:hAnsi="Times New Roman" w:cs="Times New Roman" w:eastAsia="Times New Roman" w:hint="default"/>
          <w:spacing w:val="-2"/>
        </w:rPr>
        <w:t>12</w:t>
      </w:r>
      <w:r>
        <w:rPr>
          <w:spacing w:val="-2"/>
        </w:rPr>
        <w:t>个月内具备持续经营能力，无影响持续经营能力</w:t>
      </w:r>
      <w:r>
        <w:rPr/>
        <w:t> 的重大事项，因此本财务报表以持续经营假设为基础编制。</w:t>
      </w:r>
    </w:p>
    <w:p>
      <w:pPr>
        <w:spacing w:line="240" w:lineRule="auto" w:before="11"/>
        <w:rPr>
          <w:rFonts w:ascii="宋体" w:hAnsi="宋体" w:cs="宋体" w:eastAsia="宋体" w:hint="default"/>
          <w:sz w:val="21"/>
          <w:szCs w:val="21"/>
        </w:rPr>
      </w:pPr>
    </w:p>
    <w:p>
      <w:pPr>
        <w:pStyle w:val="Heading3"/>
        <w:spacing w:line="240" w:lineRule="auto"/>
        <w:ind w:right="0"/>
        <w:jc w:val="left"/>
        <w:rPr>
          <w:b w:val="0"/>
          <w:bCs w:val="0"/>
        </w:rPr>
      </w:pPr>
      <w:r>
        <w:rPr/>
        <w:t>五、重要会计政策及会计估计</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6714"/>
        <w:jc w:val="left"/>
      </w:pPr>
      <w:r>
        <w:rPr/>
        <w:t>公司是否需要遵守特殊行业的披露要求 否</w:t>
      </w:r>
    </w:p>
    <w:p>
      <w:pPr>
        <w:pStyle w:val="BodyText"/>
        <w:spacing w:line="240" w:lineRule="auto" w:before="25"/>
        <w:ind w:right="0"/>
        <w:jc w:val="left"/>
      </w:pPr>
      <w:r>
        <w:rPr/>
        <w:t>具体会计政策和会计估计提示：</w:t>
      </w:r>
    </w:p>
    <w:p>
      <w:pPr>
        <w:spacing w:line="240" w:lineRule="auto" w:before="3"/>
        <w:rPr>
          <w:rFonts w:ascii="宋体" w:hAnsi="宋体" w:cs="宋体" w:eastAsia="宋体" w:hint="default"/>
          <w:sz w:val="15"/>
          <w:szCs w:val="15"/>
        </w:rPr>
      </w:pPr>
    </w:p>
    <w:p>
      <w:pPr>
        <w:pStyle w:val="BodyText"/>
        <w:spacing w:line="314" w:lineRule="auto"/>
        <w:ind w:right="152" w:firstLine="360"/>
        <w:jc w:val="both"/>
      </w:pPr>
      <w:r>
        <w:rPr>
          <w:spacing w:val="-2"/>
        </w:rPr>
        <w:t>本集团根据实际生产经营特点制定的具体会计政策和会计估计包括应收款项坏账准备的确认和计量、发出存货计量、固</w:t>
      </w:r>
      <w:r>
        <w:rPr/>
        <w:t> 定资产分类及折旧方法、无形资产摊销、收入确认和计量等。</w:t>
      </w:r>
    </w:p>
    <w:p>
      <w:pPr>
        <w:spacing w:line="240" w:lineRule="auto" w:before="12"/>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1</w:t>
      </w:r>
      <w:r>
        <w:rPr/>
        <w:t>、遵循企业会计准则的声明</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513" w:right="0"/>
        <w:jc w:val="left"/>
      </w:pPr>
      <w:r>
        <w:rPr/>
        <w:t>本财务报表符合企业会计准则的要求，真实、完整地反映了本公司及本集团的财务状况、经营成果和现金流量等有关信</w:t>
      </w:r>
    </w:p>
    <w:p>
      <w:pPr>
        <w:pStyle w:val="BodyText"/>
        <w:spacing w:line="240" w:lineRule="auto" w:before="76"/>
        <w:ind w:right="0"/>
        <w:jc w:val="left"/>
      </w:pPr>
      <w:r>
        <w:rPr/>
        <w:t>息。</w:t>
      </w:r>
    </w:p>
    <w:p>
      <w:pPr>
        <w:spacing w:line="240" w:lineRule="auto" w:before="6"/>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2</w:t>
      </w:r>
      <w:r>
        <w:rPr/>
        <w:t>、会计期间</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left="513" w:right="0"/>
        <w:jc w:val="left"/>
      </w:pPr>
      <w:r>
        <w:rPr/>
        <w:t>本集团的会计期间为公历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3</w:t>
      </w:r>
      <w:r>
        <w:rPr/>
        <w:t>、营业周期</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4</w:t>
      </w:r>
      <w:r>
        <w:rPr/>
        <w:t>、记账本位币</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513" w:right="0"/>
        <w:jc w:val="left"/>
      </w:pPr>
      <w:r>
        <w:rPr/>
        <w:t>本集团以人民币为记账本位币。</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5"/>
        <w:rPr>
          <w:rFonts w:ascii="宋体" w:hAnsi="宋体" w:cs="宋体" w:eastAsia="宋体" w:hint="default"/>
          <w:b/>
          <w:bCs/>
          <w:sz w:val="26"/>
          <w:szCs w:val="26"/>
        </w:rPr>
      </w:pPr>
    </w:p>
    <w:p>
      <w:pPr>
        <w:pStyle w:val="BodyText"/>
        <w:spacing w:line="316" w:lineRule="auto"/>
        <w:ind w:right="152" w:firstLine="360"/>
        <w:jc w:val="right"/>
      </w:pPr>
      <w:r>
        <w:rPr>
          <w:spacing w:val="-2"/>
        </w:rPr>
        <w:t>本集团作为合并方，在同一控制下企业合并中取得的资产和负债，在合并日按被合并方在最终控制方合并报表中的账面</w:t>
      </w:r>
      <w:r>
        <w:rPr/>
        <w:t> </w:t>
      </w:r>
      <w:r>
        <w:rPr>
          <w:spacing w:val="-5"/>
        </w:rPr>
        <w:t>价值计量。取得的净资产账面价值与支付的合并对价账面价值的差额，调整资本公积；资本公积不足冲减的，调整留存收益。</w:t>
      </w:r>
    </w:p>
    <w:p>
      <w:pPr>
        <w:pStyle w:val="BodyText"/>
        <w:spacing w:line="316" w:lineRule="auto" w:before="139"/>
        <w:ind w:right="149" w:firstLine="360"/>
        <w:jc w:val="both"/>
      </w:pPr>
      <w:r>
        <w:rPr>
          <w:spacing w:val="-2"/>
        </w:rPr>
        <w:t>在非同一控制下企业合并中取得的被购买方可辨认资产、负债及或有负债在收购日以公允价值计量。合并成本为本集团</w:t>
      </w:r>
      <w:r>
        <w:rPr/>
        <w:t> </w:t>
      </w:r>
      <w:r>
        <w:rPr>
          <w:spacing w:val="-2"/>
        </w:rPr>
        <w:t>在购买日为取得对被购买方的控制权而支付的现金或非现金资产、发行或承担的负债、发行的权益性证券等的公允价值以及</w:t>
      </w:r>
      <w:r>
        <w:rPr>
          <w:spacing w:val="-64"/>
        </w:rPr>
        <w:t> </w:t>
      </w:r>
      <w:r>
        <w:rPr>
          <w:spacing w:val="-64"/>
        </w:rPr>
      </w:r>
      <w:r>
        <w:rPr>
          <w:spacing w:val="-5"/>
        </w:rPr>
        <w:t>在企业合并中发生的各项直接相关费用之和（通过多次交易分步实现的企业合并，其合并成本为每一单项交易的成本之和）。</w:t>
      </w:r>
      <w:r>
        <w:rPr>
          <w:spacing w:val="-75"/>
        </w:rPr>
        <w:t> </w:t>
      </w:r>
      <w:r>
        <w:rPr>
          <w:spacing w:val="-75"/>
        </w:rPr>
      </w:r>
      <w:r>
        <w:rPr>
          <w:spacing w:val="-2"/>
        </w:rPr>
        <w:t>合并成本大于合并中取得的被购买方可辨认净资产公允价值份额的差额，确认为商誉；合并成本小于合并中取得的被购买方</w:t>
      </w:r>
      <w:r>
        <w:rPr>
          <w:spacing w:val="-64"/>
        </w:rPr>
        <w:t> </w:t>
      </w:r>
      <w:r>
        <w:rPr>
          <w:spacing w:val="-64"/>
        </w:rPr>
      </w:r>
      <w:r>
        <w:rPr>
          <w:spacing w:val="-2"/>
        </w:rPr>
        <w:t>可辨认净资产公允价值份额的，首先对合并中取得的各项可辨认资产、负债及或有负债的公允价值、以及合并对价的非现金</w:t>
      </w:r>
      <w:r>
        <w:rPr>
          <w:spacing w:val="-63"/>
        </w:rPr>
        <w:t> </w:t>
      </w:r>
      <w:r>
        <w:rPr>
          <w:spacing w:val="-63"/>
        </w:rPr>
      </w:r>
      <w:r>
        <w:rPr>
          <w:spacing w:val="-2"/>
        </w:rPr>
        <w:t>资产或发行的权益性证券等的公允价值进行复核，经复核后，合并成本仍小于合并中取得的被购买方可辨认净资产公允价值</w:t>
      </w:r>
      <w:r>
        <w:rPr>
          <w:spacing w:val="-64"/>
        </w:rPr>
        <w:t> </w:t>
      </w:r>
      <w:r>
        <w:rPr>
          <w:spacing w:val="-64"/>
        </w:rPr>
      </w:r>
      <w:r>
        <w:rPr/>
        <w:t>份额的，将其差额计入合并当期营业外收入。</w:t>
      </w:r>
    </w:p>
    <w:p>
      <w:pPr>
        <w:spacing w:line="240" w:lineRule="auto" w:before="11"/>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6</w:t>
      </w:r>
      <w:r>
        <w:rPr/>
        <w:t>、合并财务报表的编制方法</w:t>
      </w:r>
      <w:r>
        <w:rPr>
          <w:b w:val="0"/>
          <w:bCs w:val="0"/>
        </w:rPr>
      </w:r>
    </w:p>
    <w:p>
      <w:pPr>
        <w:pStyle w:val="BodyText"/>
        <w:spacing w:line="550" w:lineRule="atLeast" w:before="27"/>
        <w:ind w:left="592" w:right="154"/>
        <w:jc w:val="left"/>
      </w:pPr>
      <w:r>
        <w:rPr/>
        <w:t>本集团将所有控制的子公司纳入合并财务报表范围。 在编制合并财务报表时，子公司与本公司采用的会计政策或会计期间不一致的，按照本公司的会计政策或会计期间对</w:t>
      </w:r>
    </w:p>
    <w:p>
      <w:pPr>
        <w:pStyle w:val="BodyText"/>
        <w:spacing w:line="240" w:lineRule="auto" w:before="76"/>
        <w:ind w:right="0"/>
        <w:jc w:val="left"/>
      </w:pPr>
      <w:r>
        <w:rPr/>
        <w:t>子公司财务报表进行必要的调整。</w:t>
      </w:r>
    </w:p>
    <w:p>
      <w:pPr>
        <w:spacing w:line="240" w:lineRule="auto" w:before="2"/>
        <w:rPr>
          <w:rFonts w:ascii="宋体" w:hAnsi="宋体" w:cs="宋体" w:eastAsia="宋体" w:hint="default"/>
          <w:sz w:val="24"/>
          <w:szCs w:val="24"/>
        </w:rPr>
      </w:pPr>
    </w:p>
    <w:p>
      <w:pPr>
        <w:pStyle w:val="BodyText"/>
        <w:spacing w:line="309" w:lineRule="auto"/>
        <w:ind w:right="151" w:firstLine="439"/>
        <w:jc w:val="both"/>
      </w:pPr>
      <w:r>
        <w:rPr/>
        <w:t>合并范围内的所有重大内部交易、往来余额及未实现利润在合并报表编制时予以抵销。子公司的所有者权益中不属于 母公司的份额以及当期净损益、其他综合收益及综合收益总额中属于少数股东权益的份额，分别在合并财务报表</w:t>
      </w:r>
      <w:r>
        <w:rPr>
          <w:rFonts w:ascii="Times New Roman" w:hAnsi="Times New Roman" w:cs="Times New Roman" w:eastAsia="Times New Roman" w:hint="default"/>
        </w:rPr>
        <w:t>“</w:t>
      </w:r>
      <w:r>
        <w:rPr/>
        <w:t>少数股东</w:t>
      </w:r>
      <w:r>
        <w:rPr>
          <w:spacing w:val="-73"/>
        </w:rPr>
        <w:t> </w:t>
      </w:r>
      <w:r>
        <w:rPr>
          <w:spacing w:val="-73"/>
        </w:rPr>
      </w:r>
      <w:r>
        <w:rPr/>
        <w:t>权益、少数股东损益、归属于少数股东的其他综合收益及归属于少数股东的综合收益总额</w:t>
      </w:r>
      <w:r>
        <w:rPr>
          <w:rFonts w:ascii="Times New Roman" w:hAnsi="Times New Roman" w:cs="Times New Roman" w:eastAsia="Times New Roman" w:hint="default"/>
        </w:rPr>
        <w:t>”</w:t>
      </w:r>
      <w:r>
        <w:rPr/>
        <w:t>项目列示。</w:t>
      </w:r>
    </w:p>
    <w:p>
      <w:pPr>
        <w:spacing w:line="240" w:lineRule="auto" w:before="10"/>
        <w:rPr>
          <w:rFonts w:ascii="宋体" w:hAnsi="宋体" w:cs="宋体" w:eastAsia="宋体" w:hint="default"/>
          <w:sz w:val="18"/>
          <w:szCs w:val="18"/>
        </w:rPr>
      </w:pPr>
    </w:p>
    <w:p>
      <w:pPr>
        <w:pStyle w:val="BodyText"/>
        <w:spacing w:line="316" w:lineRule="auto"/>
        <w:ind w:right="156" w:firstLine="439"/>
        <w:jc w:val="both"/>
      </w:pPr>
      <w:r>
        <w:rPr/>
        <w:t>对于同一控制下企业合并取得的子公司，其经营成果和现金流量自合并当期期初纳入合并财务报表。编制比较合并财 务报表时，对上年财务报表的相关项目进行调整，视同合并后形成的报告主体自最终控制方开始控制时点起一直存在。</w:t>
      </w:r>
    </w:p>
    <w:p>
      <w:pPr>
        <w:spacing w:line="240" w:lineRule="auto" w:before="10"/>
        <w:rPr>
          <w:rFonts w:ascii="宋体" w:hAnsi="宋体" w:cs="宋体" w:eastAsia="宋体" w:hint="default"/>
          <w:sz w:val="19"/>
          <w:szCs w:val="19"/>
        </w:rPr>
      </w:pPr>
    </w:p>
    <w:p>
      <w:pPr>
        <w:pStyle w:val="BodyText"/>
        <w:spacing w:line="316" w:lineRule="auto"/>
        <w:ind w:right="150" w:firstLine="439"/>
        <w:jc w:val="both"/>
      </w:pPr>
      <w:r>
        <w:rPr/>
        <w:t>通过多次交易分步取得同一控制下被投资单位的股权，最终形成企业合并，编制合并报表时，视同在最终控制方开始 </w:t>
      </w:r>
      <w:r>
        <w:rPr>
          <w:spacing w:val="-2"/>
        </w:rPr>
        <w:t>控制时即以目前的状态存在进行调整，在编制比较报表时，以不早于本集团和被合并方同处于最终控制方的控制之下的时点</w:t>
      </w:r>
      <w:r>
        <w:rPr>
          <w:spacing w:val="-64"/>
        </w:rPr>
        <w:t> </w:t>
      </w:r>
      <w:r>
        <w:rPr>
          <w:spacing w:val="-64"/>
        </w:rPr>
      </w:r>
      <w:r>
        <w:rPr>
          <w:spacing w:val="-2"/>
        </w:rPr>
        <w:t>为限，将被合并方的有关资产、负债并入本集团合并财务报表的比较报表中，并将合并而增加的净资产在比较报表中调整所</w:t>
      </w:r>
      <w:r>
        <w:rPr>
          <w:spacing w:val="-63"/>
        </w:rPr>
        <w:t> </w:t>
      </w:r>
      <w:r>
        <w:rPr>
          <w:spacing w:val="-63"/>
        </w:rPr>
      </w:r>
      <w:r>
        <w:rPr>
          <w:spacing w:val="-2"/>
        </w:rPr>
        <w:t>有者权益项下的相关项目。为避免对被合并方净资产的价值进行重复计算，本集团在达到合并之前持有的长期股权投资，在</w:t>
      </w:r>
      <w:r>
        <w:rPr>
          <w:spacing w:val="-63"/>
        </w:rPr>
        <w:t> </w:t>
      </w:r>
      <w:r>
        <w:rPr>
          <w:spacing w:val="-63"/>
        </w:rPr>
      </w:r>
      <w:r>
        <w:rPr>
          <w:spacing w:val="-2"/>
        </w:rPr>
        <w:t>取得原股权之日与本集团和被合并方处于同一方最终控制之日孰晚日起至合并日之间已确认有关损益、其他综合收益和其他</w:t>
      </w:r>
      <w:r>
        <w:rPr>
          <w:spacing w:val="-63"/>
        </w:rPr>
        <w:t> </w:t>
      </w:r>
      <w:r>
        <w:rPr>
          <w:spacing w:val="-63"/>
        </w:rPr>
      </w:r>
      <w:r>
        <w:rPr/>
        <w:t>净资产变动，应分别冲减比较报表期间的期初留存收益和当期损益。</w:t>
      </w:r>
    </w:p>
    <w:p>
      <w:pPr>
        <w:spacing w:line="240" w:lineRule="auto" w:before="10"/>
        <w:rPr>
          <w:rFonts w:ascii="宋体" w:hAnsi="宋体" w:cs="宋体" w:eastAsia="宋体" w:hint="default"/>
          <w:sz w:val="19"/>
          <w:szCs w:val="19"/>
        </w:rPr>
      </w:pPr>
    </w:p>
    <w:p>
      <w:pPr>
        <w:pStyle w:val="BodyText"/>
        <w:spacing w:line="316" w:lineRule="auto"/>
        <w:ind w:right="156" w:firstLine="439"/>
        <w:jc w:val="both"/>
      </w:pPr>
      <w:r>
        <w:rPr/>
        <w:t>对于非同一控制下企业合并取得子公司，经营成果和现金流量自本集团取得控制权之日起纳入合并财务报表。在编制 合并财务报表时，以购买日确定的各项可辨认资产、负债及或有负债的公允价值为基础对子公司的财务报表进行调整。</w:t>
      </w:r>
    </w:p>
    <w:p>
      <w:pPr>
        <w:spacing w:line="240" w:lineRule="auto" w:before="11"/>
        <w:rPr>
          <w:rFonts w:ascii="宋体" w:hAnsi="宋体" w:cs="宋体" w:eastAsia="宋体" w:hint="default"/>
          <w:sz w:val="19"/>
          <w:szCs w:val="19"/>
        </w:rPr>
      </w:pPr>
    </w:p>
    <w:p>
      <w:pPr>
        <w:pStyle w:val="BodyText"/>
        <w:spacing w:line="316" w:lineRule="auto"/>
        <w:ind w:right="150" w:firstLine="439"/>
        <w:jc w:val="both"/>
      </w:pPr>
      <w:r>
        <w:rPr/>
        <w:t>通过多次交易分步取得非同一控制下被投资单位的股权，最终形成企业合并，编制合并报表时，对于购买日之前持有 </w:t>
      </w:r>
      <w:r>
        <w:rPr>
          <w:spacing w:val="-2"/>
        </w:rPr>
        <w:t>的被购买方的股权，按照该股权在购买日的公允价值进行重新计量，公允价值与其账面价值的差额计入当期投资收益；与其</w:t>
      </w:r>
      <w:r>
        <w:rPr>
          <w:spacing w:val="-63"/>
        </w:rPr>
        <w:t> </w:t>
      </w:r>
      <w:r>
        <w:rPr>
          <w:spacing w:val="-63"/>
        </w:rPr>
      </w:r>
      <w:r>
        <w:rPr>
          <w:spacing w:val="-2"/>
        </w:rPr>
        <w:t>相关的购买日之前持有的被购买方的股权涉及权益法核算下的其他综合收益以及除净损益、其他综合收益和利润分配外的其</w:t>
      </w:r>
      <w:r>
        <w:rPr>
          <w:spacing w:val="-64"/>
        </w:rPr>
        <w:t> </w:t>
      </w:r>
      <w:r>
        <w:rPr>
          <w:spacing w:val="-64"/>
        </w:rPr>
      </w:r>
      <w:r>
        <w:rPr>
          <w:spacing w:val="-2"/>
        </w:rPr>
        <w:t>他所有者权益变动，在购买日所属当期转为投资损益，由于被投资方重新计量设定受益计划净负债或净资产变动而产生的其</w:t>
      </w:r>
      <w:r>
        <w:rPr>
          <w:spacing w:val="-64"/>
        </w:rPr>
        <w:t> </w:t>
      </w:r>
      <w:r>
        <w:rPr>
          <w:spacing w:val="-64"/>
        </w:rPr>
      </w:r>
      <w:r>
        <w:rPr/>
        <w:t>他综合收益除外。</w:t>
      </w:r>
    </w:p>
    <w:p>
      <w:pPr>
        <w:spacing w:line="240" w:lineRule="auto" w:before="10"/>
        <w:rPr>
          <w:rFonts w:ascii="宋体" w:hAnsi="宋体" w:cs="宋体" w:eastAsia="宋体" w:hint="default"/>
          <w:sz w:val="19"/>
          <w:szCs w:val="19"/>
        </w:rPr>
      </w:pPr>
    </w:p>
    <w:p>
      <w:pPr>
        <w:pStyle w:val="BodyText"/>
        <w:spacing w:line="316" w:lineRule="auto"/>
        <w:ind w:right="153" w:firstLine="439"/>
        <w:jc w:val="both"/>
      </w:pPr>
      <w:r>
        <w:rPr/>
        <w:t>本集团在不丧失控制权的情况下部分处置对子公司的长期股权投资，在合并财务报表中，处置价款与处置长期股权投 </w:t>
      </w:r>
      <w:r>
        <w:rPr>
          <w:spacing w:val="-2"/>
        </w:rPr>
        <w:t>资相对应享有子公司自购买日或合并日开始持续计算的净资产份额之间的差额，调整资本溢价或股本溢价，资本公积不足冲</w:t>
      </w:r>
      <w:r>
        <w:rPr>
          <w:spacing w:val="-64"/>
        </w:rPr>
        <w:t> </w:t>
      </w:r>
      <w:r>
        <w:rPr>
          <w:spacing w:val="-64"/>
        </w:rPr>
      </w:r>
      <w:r>
        <w:rPr/>
        <w:t>减的，调整留存收益。</w:t>
      </w:r>
    </w:p>
    <w:p>
      <w:pPr>
        <w:spacing w:after="0" w:line="316" w:lineRule="auto"/>
        <w:jc w:val="both"/>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319" w:lineRule="auto" w:before="44"/>
        <w:ind w:right="193" w:firstLine="439"/>
        <w:jc w:val="both"/>
      </w:pPr>
      <w:r>
        <w:rPr/>
        <w:t>本集团因处置部分股权投资等原因丧失了对被投资方的控制权的，在编制合并财务报表时，对于剩余股权，按照其在 </w:t>
      </w:r>
      <w:r>
        <w:rPr>
          <w:spacing w:val="-2"/>
        </w:rPr>
        <w:t>丧失控制权日的公允价值进行重新计量。处置股权取得的对价与剩余股权公允价值之和，减去按原持股比例计算应享有原有</w:t>
      </w:r>
      <w:r>
        <w:rPr>
          <w:spacing w:val="-64"/>
        </w:rPr>
        <w:t> </w:t>
      </w:r>
      <w:r>
        <w:rPr>
          <w:spacing w:val="-64"/>
        </w:rPr>
      </w:r>
      <w:r>
        <w:rPr>
          <w:spacing w:val="-2"/>
        </w:rPr>
        <w:t>子公司自购买日或合并日开始持续计算的净资产的份额之间的差额，计入丧失控制权当期的投资损益，同时冲减商誉。与原</w:t>
      </w:r>
      <w:r>
        <w:rPr>
          <w:spacing w:val="-65"/>
        </w:rPr>
        <w:t> </w:t>
      </w:r>
      <w:r>
        <w:rPr>
          <w:spacing w:val="-65"/>
        </w:rPr>
      </w:r>
      <w:r>
        <w:rPr/>
        <w:t>有子公司股权投资相关的其他综合收益等，在丧失控制权时转为当期投资损益。</w:t>
      </w:r>
    </w:p>
    <w:p>
      <w:pPr>
        <w:spacing w:line="240" w:lineRule="auto" w:before="8"/>
        <w:rPr>
          <w:rFonts w:ascii="宋体" w:hAnsi="宋体" w:cs="宋体" w:eastAsia="宋体" w:hint="default"/>
          <w:sz w:val="19"/>
          <w:szCs w:val="19"/>
        </w:rPr>
      </w:pPr>
    </w:p>
    <w:p>
      <w:pPr>
        <w:pStyle w:val="BodyText"/>
        <w:spacing w:line="316" w:lineRule="auto"/>
        <w:ind w:right="191" w:firstLine="439"/>
        <w:jc w:val="both"/>
      </w:pPr>
      <w:r>
        <w:rPr/>
        <w:t>本集团通过多次交易分步处置对子公司股权投资直至丧失控制权的，如果处置对子公司股权投资直至丧失控制权的各 </w:t>
      </w:r>
      <w:r>
        <w:rPr>
          <w:spacing w:val="-2"/>
        </w:rPr>
        <w:t>项交易属于一揽子交易的，应当将各项交易作为一项处置子公司并丧失控制权的交易进行会计处理；但是，在丧失控制权之</w:t>
      </w:r>
      <w:r>
        <w:rPr>
          <w:spacing w:val="-65"/>
        </w:rPr>
        <w:t> </w:t>
      </w:r>
      <w:r>
        <w:rPr>
          <w:spacing w:val="-65"/>
        </w:rPr>
      </w:r>
      <w:r>
        <w:rPr>
          <w:spacing w:val="-2"/>
        </w:rPr>
        <w:t>前每一次处置价款与处置投资对应的享有该子公司净资产份额的差额，在合并财务报表中确认为其他综合收益，在丧失控制</w:t>
      </w:r>
      <w:r>
        <w:rPr>
          <w:spacing w:val="-64"/>
        </w:rPr>
        <w:t> </w:t>
      </w:r>
      <w:r>
        <w:rPr>
          <w:spacing w:val="-64"/>
        </w:rPr>
      </w:r>
      <w:r>
        <w:rPr/>
        <w:t>权时一并转入丧失控制权当期的投资损益。</w:t>
      </w:r>
    </w:p>
    <w:p>
      <w:pPr>
        <w:spacing w:line="240" w:lineRule="auto" w:before="10"/>
        <w:rPr>
          <w:rFonts w:ascii="宋体" w:hAnsi="宋体" w:cs="宋体" w:eastAsia="宋体" w:hint="default"/>
          <w:sz w:val="22"/>
          <w:szCs w:val="22"/>
        </w:rPr>
      </w:pPr>
    </w:p>
    <w:p>
      <w:pPr>
        <w:pStyle w:val="Heading5"/>
        <w:spacing w:line="240" w:lineRule="auto"/>
        <w:ind w:right="0"/>
        <w:jc w:val="both"/>
        <w:rPr>
          <w:b w:val="0"/>
          <w:bCs w:val="0"/>
        </w:rPr>
      </w:pP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both"/>
      </w:pPr>
      <w:r>
        <w:rPr/>
        <w:t>不适用</w:t>
      </w:r>
    </w:p>
    <w:p>
      <w:pPr>
        <w:spacing w:line="240" w:lineRule="auto" w:before="0"/>
        <w:rPr>
          <w:rFonts w:ascii="宋体" w:hAnsi="宋体" w:cs="宋体" w:eastAsia="宋体" w:hint="default"/>
          <w:sz w:val="18"/>
          <w:szCs w:val="18"/>
        </w:rPr>
      </w:pPr>
    </w:p>
    <w:p>
      <w:pPr>
        <w:pStyle w:val="Heading5"/>
        <w:spacing w:line="240" w:lineRule="auto" w:before="120"/>
        <w:ind w:right="0"/>
        <w:jc w:val="both"/>
        <w:rPr>
          <w:b w:val="0"/>
          <w:bCs w:val="0"/>
        </w:rPr>
      </w:pPr>
      <w:r>
        <w:rPr>
          <w:rFonts w:ascii="Times New Roman" w:hAnsi="Times New Roman" w:cs="Times New Roman" w:eastAsia="Times New Roman" w:hint="default"/>
        </w:rPr>
        <w:t>8</w:t>
      </w:r>
      <w:r>
        <w:rPr/>
        <w:t>、现金及现金等价物的确定标准</w:t>
      </w:r>
      <w:r>
        <w:rPr>
          <w:b w:val="0"/>
          <w:bCs w:val="0"/>
        </w:rPr>
      </w:r>
    </w:p>
    <w:p>
      <w:pPr>
        <w:spacing w:line="240" w:lineRule="auto" w:before="2"/>
        <w:rPr>
          <w:rFonts w:ascii="宋体" w:hAnsi="宋体" w:cs="宋体" w:eastAsia="宋体" w:hint="default"/>
          <w:b/>
          <w:bCs/>
          <w:sz w:val="26"/>
          <w:szCs w:val="26"/>
        </w:rPr>
      </w:pPr>
    </w:p>
    <w:p>
      <w:pPr>
        <w:pStyle w:val="BodyText"/>
        <w:spacing w:line="300" w:lineRule="auto"/>
        <w:ind w:right="100" w:firstLine="360"/>
        <w:jc w:val="both"/>
      </w:pPr>
      <w:r>
        <w:rPr>
          <w:spacing w:val="-2"/>
        </w:rPr>
        <w:t>本集团现金流量表之现金指库存现金以及可以随时用于支付的存款。现金流量表之现金等价物指持有期限不超过</w:t>
      </w:r>
      <w:r>
        <w:rPr>
          <w:rFonts w:ascii="Times New Roman" w:hAnsi="Times New Roman" w:cs="Times New Roman" w:eastAsia="Times New Roman" w:hint="default"/>
          <w:spacing w:val="-2"/>
        </w:rPr>
        <w:t>3</w:t>
      </w:r>
      <w:r>
        <w:rPr>
          <w:spacing w:val="-2"/>
        </w:rPr>
        <w:t>个月、</w:t>
      </w:r>
      <w:r>
        <w:rPr/>
        <w:t> 流动性强、易于转换为已知金额现金且价值变动风险很小的投资。</w:t>
      </w:r>
    </w:p>
    <w:p>
      <w:pPr>
        <w:spacing w:line="240" w:lineRule="auto" w:before="10"/>
        <w:rPr>
          <w:rFonts w:ascii="宋体" w:hAnsi="宋体" w:cs="宋体" w:eastAsia="宋体" w:hint="default"/>
          <w:sz w:val="23"/>
          <w:szCs w:val="23"/>
        </w:rPr>
      </w:pPr>
    </w:p>
    <w:p>
      <w:pPr>
        <w:pStyle w:val="Heading5"/>
        <w:spacing w:line="240" w:lineRule="auto"/>
        <w:ind w:right="0"/>
        <w:jc w:val="both"/>
        <w:rPr>
          <w:b w:val="0"/>
          <w:bCs w:val="0"/>
        </w:rPr>
      </w:pPr>
      <w:r>
        <w:rPr>
          <w:rFonts w:ascii="Times New Roman" w:hAnsi="Times New Roman" w:cs="Times New Roman" w:eastAsia="Times New Roman" w:hint="default"/>
        </w:rPr>
        <w:t>9</w:t>
      </w:r>
      <w:r>
        <w:rPr/>
        <w:t>、外币业务和外币报表折算</w:t>
      </w:r>
      <w:r>
        <w:rPr>
          <w:b w:val="0"/>
          <w:bCs w:val="0"/>
        </w:rPr>
      </w:r>
    </w:p>
    <w:p>
      <w:pPr>
        <w:pStyle w:val="BodyText"/>
        <w:spacing w:line="420" w:lineRule="atLeast" w:before="173"/>
        <w:ind w:left="513" w:right="94"/>
        <w:jc w:val="left"/>
      </w:pPr>
      <w:r>
        <w:rPr/>
        <w:t>（</w:t>
      </w:r>
      <w:r>
        <w:rPr>
          <w:rFonts w:ascii="Times New Roman" w:hAnsi="Times New Roman" w:cs="Times New Roman" w:eastAsia="Times New Roman" w:hint="default"/>
        </w:rPr>
        <w:t>1</w:t>
      </w:r>
      <w:r>
        <w:rPr/>
        <w:t>）外币交易 </w:t>
      </w:r>
      <w:r>
        <w:rPr>
          <w:spacing w:val="-2"/>
        </w:rPr>
        <w:t>本集团外币交易按交易发生日的即期汇率将外币金额折算为人民币金额。于资产负债表日，外币货币性项目采用资产负</w:t>
      </w:r>
    </w:p>
    <w:p>
      <w:pPr>
        <w:pStyle w:val="BodyText"/>
        <w:spacing w:line="316" w:lineRule="auto" w:before="77"/>
        <w:ind w:right="94"/>
        <w:jc w:val="left"/>
      </w:pPr>
      <w:r>
        <w:rPr>
          <w:spacing w:val="-2"/>
        </w:rPr>
        <w:t>债表日的即期汇率折算为人民币，所产生的折算差额除了为购建或生产符合资本化条件的资产而借入的外币专门借款产生的</w:t>
      </w:r>
      <w:r>
        <w:rPr>
          <w:spacing w:val="-64"/>
        </w:rPr>
        <w:t> </w:t>
      </w:r>
      <w:r>
        <w:rPr>
          <w:spacing w:val="-64"/>
        </w:rPr>
      </w:r>
      <w:r>
        <w:rPr/>
        <w:t>汇兑差额按资本化的原则处理外，直接计入当期损益。</w:t>
      </w:r>
    </w:p>
    <w:p>
      <w:pPr>
        <w:pStyle w:val="BodyText"/>
        <w:spacing w:line="432" w:lineRule="exact" w:before="3"/>
        <w:ind w:left="513" w:right="94"/>
        <w:jc w:val="left"/>
      </w:pPr>
      <w:r>
        <w:rPr/>
        <w:t>（</w:t>
      </w:r>
      <w:r>
        <w:rPr>
          <w:rFonts w:ascii="Times New Roman" w:hAnsi="Times New Roman" w:cs="Times New Roman" w:eastAsia="Times New Roman" w:hint="default"/>
        </w:rPr>
        <w:t>2</w:t>
      </w:r>
      <w:r>
        <w:rPr/>
        <w:t>）外币财务报表的折算 </w:t>
      </w:r>
      <w:r>
        <w:rPr>
          <w:spacing w:val="-2"/>
        </w:rPr>
        <w:t>外币资产负债表中资产、负债类项目采用资产负债表日的即期汇率折算；所有者权益类项目除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外，均按业</w:t>
      </w:r>
    </w:p>
    <w:p>
      <w:pPr>
        <w:pStyle w:val="BodyText"/>
        <w:spacing w:line="316" w:lineRule="auto" w:before="15"/>
        <w:ind w:right="190"/>
        <w:jc w:val="both"/>
      </w:pPr>
      <w:r>
        <w:rPr>
          <w:spacing w:val="-2"/>
        </w:rPr>
        <w:t>务发生时的即期汇率折算；利润表中的收入与费用项目，采用交易发生日的即期汇率折算。上述折算产生的外币报表折算差</w:t>
      </w:r>
      <w:r>
        <w:rPr>
          <w:spacing w:val="-63"/>
        </w:rPr>
        <w:t> </w:t>
      </w:r>
      <w:r>
        <w:rPr>
          <w:spacing w:val="-63"/>
        </w:rPr>
      </w:r>
      <w:r>
        <w:rPr>
          <w:spacing w:val="-2"/>
        </w:rPr>
        <w:t>额，在所有者权益项目下单独列示。外币现金流量采用现金流量发生日的即期汇率折算。汇率变动对现金的影响额，在现金</w:t>
      </w:r>
      <w:r>
        <w:rPr>
          <w:spacing w:val="-65"/>
        </w:rPr>
        <w:t> </w:t>
      </w:r>
      <w:r>
        <w:rPr>
          <w:spacing w:val="-65"/>
        </w:rPr>
      </w:r>
      <w:r>
        <w:rPr/>
        <w:t>流量表中单独列示。</w:t>
      </w:r>
    </w:p>
    <w:p>
      <w:pPr>
        <w:spacing w:line="240" w:lineRule="auto" w:before="10"/>
        <w:rPr>
          <w:rFonts w:ascii="宋体" w:hAnsi="宋体" w:cs="宋体" w:eastAsia="宋体" w:hint="default"/>
          <w:sz w:val="22"/>
          <w:szCs w:val="22"/>
        </w:rPr>
      </w:pPr>
    </w:p>
    <w:p>
      <w:pPr>
        <w:pStyle w:val="Heading5"/>
        <w:spacing w:line="240" w:lineRule="auto"/>
        <w:ind w:right="0"/>
        <w:jc w:val="both"/>
        <w:rPr>
          <w:b w:val="0"/>
          <w:bCs w:val="0"/>
        </w:rPr>
      </w:pPr>
      <w:r>
        <w:rPr>
          <w:rFonts w:ascii="Times New Roman" w:hAnsi="Times New Roman" w:cs="Times New Roman" w:eastAsia="Times New Roman" w:hint="default"/>
        </w:rPr>
        <w:t>10</w:t>
      </w:r>
      <w:r>
        <w:rPr/>
        <w:t>、金融工具</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592" w:right="94"/>
        <w:jc w:val="left"/>
      </w:pPr>
      <w:r>
        <w:rPr/>
        <w:t>本集团成为金融工具合同的一方时确认一项金融资产或金融负债。</w:t>
      </w:r>
    </w:p>
    <w:p>
      <w:pPr>
        <w:spacing w:line="240" w:lineRule="auto" w:before="2"/>
        <w:rPr>
          <w:rFonts w:ascii="宋体" w:hAnsi="宋体" w:cs="宋体" w:eastAsia="宋体" w:hint="default"/>
          <w:sz w:val="24"/>
          <w:szCs w:val="24"/>
        </w:rPr>
      </w:pPr>
    </w:p>
    <w:p>
      <w:pPr>
        <w:pStyle w:val="BodyText"/>
        <w:spacing w:line="240" w:lineRule="auto"/>
        <w:ind w:left="592" w:right="94"/>
        <w:jc w:val="left"/>
      </w:pPr>
      <w:r>
        <w:rPr/>
        <w:t>（</w:t>
      </w:r>
      <w:r>
        <w:rPr>
          <w:rFonts w:ascii="Times New Roman" w:hAnsi="Times New Roman" w:cs="Times New Roman" w:eastAsia="Times New Roman" w:hint="default"/>
        </w:rPr>
        <w:t>1</w:t>
      </w:r>
      <w:r>
        <w:rPr/>
        <w:t>）金融资产</w:t>
      </w:r>
    </w:p>
    <w:p>
      <w:pPr>
        <w:pStyle w:val="BodyText"/>
        <w:spacing w:line="540" w:lineRule="atLeast" w:before="12"/>
        <w:ind w:left="592" w:right="194" w:firstLine="12"/>
        <w:jc w:val="left"/>
      </w:pPr>
      <w:r>
        <w:rPr>
          <w:rFonts w:ascii="Times New Roman" w:hAnsi="Times New Roman" w:cs="Times New Roman" w:eastAsia="Times New Roman" w:hint="default"/>
        </w:rPr>
        <w:t>1</w:t>
      </w:r>
      <w:r>
        <w:rPr/>
        <w:t>）金融资产分类、确认依据和计量方法 本集团按投资目的和经济实质对拥有的金融资产分为以公允价值计量且其变动计入当期损益的金融资产、持有至到期</w:t>
      </w:r>
    </w:p>
    <w:p>
      <w:pPr>
        <w:pStyle w:val="BodyText"/>
        <w:spacing w:line="240" w:lineRule="auto" w:before="76"/>
        <w:ind w:right="0"/>
        <w:jc w:val="both"/>
      </w:pPr>
      <w:r>
        <w:rPr/>
        <w:t>投资、贷款和应收款项及可供出售金融资产。</w:t>
      </w:r>
    </w:p>
    <w:p>
      <w:pPr>
        <w:spacing w:line="240" w:lineRule="auto" w:before="2"/>
        <w:rPr>
          <w:rFonts w:ascii="宋体" w:hAnsi="宋体" w:cs="宋体" w:eastAsia="宋体" w:hint="default"/>
          <w:sz w:val="24"/>
          <w:szCs w:val="24"/>
        </w:rPr>
      </w:pPr>
    </w:p>
    <w:p>
      <w:pPr>
        <w:pStyle w:val="BodyText"/>
        <w:spacing w:line="316" w:lineRule="auto"/>
        <w:ind w:right="193" w:firstLine="439"/>
        <w:jc w:val="both"/>
      </w:pPr>
      <w:r>
        <w:rPr/>
        <w:t>以公允价值计量且其变动计入当期损益的金融资产，包括交易性金融资产和在初始确认时指定为以公允价值计量且其 </w:t>
      </w:r>
      <w:r>
        <w:rPr>
          <w:spacing w:val="-2"/>
        </w:rPr>
        <w:t>变动计入当期损益的金融资产。本集团将满足下列条件之一的金融资产归类为交易性金融资产：取得该金融资产的目的是为</w:t>
      </w:r>
      <w:r>
        <w:rPr>
          <w:spacing w:val="-64"/>
        </w:rPr>
        <w:t> </w:t>
      </w:r>
      <w:r>
        <w:rPr>
          <w:spacing w:val="-64"/>
        </w:rPr>
      </w:r>
      <w:r>
        <w:rPr>
          <w:spacing w:val="-2"/>
        </w:rPr>
        <w:t>了在短期内出售；属于进行集中管理的可辨认金融工具组合的一部分，且有客观证据表明公司近期采用短期获利方式对该组</w:t>
      </w:r>
    </w:p>
    <w:p>
      <w:pPr>
        <w:spacing w:after="0" w:line="316" w:lineRule="auto"/>
        <w:jc w:val="both"/>
        <w:sectPr>
          <w:pgSz w:w="11910" w:h="16840"/>
          <w:pgMar w:header="745" w:footer="979" w:top="1060" w:bottom="1160" w:left="980" w:right="940"/>
        </w:sectPr>
      </w:pPr>
    </w:p>
    <w:p>
      <w:pPr>
        <w:spacing w:line="240" w:lineRule="auto" w:before="9"/>
        <w:rPr>
          <w:rFonts w:ascii="宋体" w:hAnsi="宋体" w:cs="宋体" w:eastAsia="宋体" w:hint="default"/>
          <w:sz w:val="25"/>
          <w:szCs w:val="25"/>
        </w:rPr>
      </w:pPr>
    </w:p>
    <w:p>
      <w:pPr>
        <w:pStyle w:val="BodyText"/>
        <w:spacing w:line="316" w:lineRule="auto" w:before="44"/>
        <w:ind w:right="190"/>
        <w:jc w:val="both"/>
      </w:pPr>
      <w:r>
        <w:rPr>
          <w:spacing w:val="-2"/>
        </w:rPr>
        <w:t>合进行管理；属于衍生工具，但是，被指定且为有效套期工具的衍生工具、属于财务担保合同的衍生工具、与在活跃市场中</w:t>
      </w:r>
      <w:r>
        <w:rPr>
          <w:spacing w:val="-67"/>
        </w:rPr>
        <w:t> </w:t>
      </w:r>
      <w:r>
        <w:rPr>
          <w:spacing w:val="-67"/>
        </w:rPr>
      </w:r>
      <w:r>
        <w:rPr>
          <w:spacing w:val="-2"/>
        </w:rPr>
        <w:t>没有报价且其公允价值不能可靠计量的权益工具投资挂钩并须通过交付该权益工具结算的衍生工具除外。本集团将只有符合</w:t>
      </w:r>
      <w:r>
        <w:rPr>
          <w:spacing w:val="-63"/>
        </w:rPr>
        <w:t> </w:t>
      </w:r>
      <w:r>
        <w:rPr>
          <w:spacing w:val="-63"/>
        </w:rPr>
      </w:r>
      <w:r>
        <w:rPr>
          <w:spacing w:val="-2"/>
        </w:rPr>
        <w:t>下列条件之一的金融工具，才可在初始确认时指定为以公允价值计量且其变动计入当期损益的金融资产：该指定可以消除或</w:t>
      </w:r>
      <w:r>
        <w:rPr>
          <w:spacing w:val="-64"/>
        </w:rPr>
        <w:t> </w:t>
      </w:r>
      <w:r>
        <w:rPr>
          <w:spacing w:val="-64"/>
        </w:rPr>
      </w:r>
      <w:r>
        <w:rPr>
          <w:spacing w:val="-2"/>
        </w:rPr>
        <w:t>明显减少由于该金融工具的计量基础不同所导致的相关利得或损失在确认或计量方面不一致的情况；公司风险管理或投资策</w:t>
      </w:r>
      <w:r>
        <w:rPr>
          <w:spacing w:val="-64"/>
        </w:rPr>
        <w:t> </w:t>
      </w:r>
      <w:r>
        <w:rPr>
          <w:spacing w:val="-64"/>
        </w:rPr>
      </w:r>
      <w:r>
        <w:rPr>
          <w:spacing w:val="-2"/>
        </w:rPr>
        <w:t>略的正式书面文件已载明，该金融工具组合以公允价值为基础进行管理、评价并向关键管理人员报告；包含一项或多项嵌入</w:t>
      </w:r>
      <w:r>
        <w:rPr>
          <w:spacing w:val="-63"/>
        </w:rPr>
        <w:t> </w:t>
      </w:r>
      <w:r>
        <w:rPr>
          <w:spacing w:val="-63"/>
        </w:rPr>
      </w:r>
      <w:r>
        <w:rPr>
          <w:spacing w:val="-2"/>
        </w:rPr>
        <w:t>衍生工具的混合工具，除非嵌入衍生工具对混合工具的现金流量没有重大改变，或所嵌入的衍生工具明显不应当从相关混合</w:t>
      </w:r>
      <w:r>
        <w:rPr>
          <w:spacing w:val="-64"/>
        </w:rPr>
        <w:t> </w:t>
      </w:r>
      <w:r>
        <w:rPr>
          <w:spacing w:val="-64"/>
        </w:rPr>
      </w:r>
      <w:r>
        <w:rPr>
          <w:spacing w:val="-2"/>
        </w:rPr>
        <w:t>工具中分拆；包含需要分拆但无法在取得时或后续的资产负债表日对其进行单独计量的嵌入衍生工具的混合工具。本集团对</w:t>
      </w:r>
      <w:r>
        <w:rPr>
          <w:spacing w:val="-63"/>
        </w:rPr>
        <w:t> </w:t>
      </w:r>
      <w:r>
        <w:rPr>
          <w:spacing w:val="-63"/>
        </w:rPr>
      </w:r>
      <w:r>
        <w:rPr>
          <w:spacing w:val="-2"/>
        </w:rPr>
        <w:t>此类金融资产，采用公允价值进行后续计量。公允价值变动计入公允价值变动损益；在资产持有期间所取得的利息或现金股</w:t>
      </w:r>
      <w:r>
        <w:rPr>
          <w:spacing w:val="-63"/>
        </w:rPr>
        <w:t> </w:t>
      </w:r>
      <w:r>
        <w:rPr>
          <w:spacing w:val="-63"/>
        </w:rPr>
      </w:r>
      <w:r>
        <w:rPr/>
        <w:t>利，确认为投资收益；处置时，其公允价值与初始入账金额之间的差额确认为投资损益，同时调整公允价值变动损益。</w:t>
      </w:r>
    </w:p>
    <w:p>
      <w:pPr>
        <w:spacing w:line="240" w:lineRule="auto" w:before="10"/>
        <w:rPr>
          <w:rFonts w:ascii="宋体" w:hAnsi="宋体" w:cs="宋体" w:eastAsia="宋体" w:hint="default"/>
          <w:sz w:val="19"/>
          <w:szCs w:val="19"/>
        </w:rPr>
      </w:pPr>
    </w:p>
    <w:p>
      <w:pPr>
        <w:pStyle w:val="BodyText"/>
        <w:spacing w:line="240" w:lineRule="auto"/>
        <w:ind w:left="592" w:right="94"/>
        <w:jc w:val="left"/>
      </w:pPr>
      <w:r>
        <w:rPr/>
        <w:t>持有至到期投资是指到期日固定</w:t>
      </w:r>
      <w:r>
        <w:rPr>
          <w:spacing w:val="-82"/>
        </w:rPr>
        <w:t>、</w:t>
      </w:r>
      <w:r>
        <w:rPr/>
        <w:t>回收金额固定或可确定</w:t>
      </w:r>
      <w:r>
        <w:rPr>
          <w:spacing w:val="-82"/>
        </w:rPr>
        <w:t>，</w:t>
      </w:r>
      <w:r>
        <w:rPr>
          <w:spacing w:val="2"/>
        </w:rPr>
        <w:t>且</w:t>
      </w:r>
      <w:r>
        <w:rPr/>
        <w:t>本集团有明确意图和能力持有至到期的非衍生金融资产。</w:t>
      </w:r>
    </w:p>
    <w:p>
      <w:pPr>
        <w:pStyle w:val="BodyText"/>
        <w:spacing w:line="550" w:lineRule="atLeast" w:before="2"/>
        <w:ind w:left="592" w:right="94"/>
        <w:jc w:val="left"/>
      </w:pPr>
      <w:r>
        <w:rPr/>
        <w:t>应收款项，是指在活跃市场中没有报价，回收金额固定或可确定的非衍生金融资产。 可供出售金融资产，是指初始确认时即被指定为可供出售的非衍生金融资产，以及未被划分为其他类的金融资产。这</w:t>
      </w:r>
    </w:p>
    <w:p>
      <w:pPr>
        <w:pStyle w:val="BodyText"/>
        <w:spacing w:line="316" w:lineRule="auto" w:before="76"/>
        <w:ind w:right="94"/>
        <w:jc w:val="left"/>
      </w:pPr>
      <w:r>
        <w:rPr>
          <w:spacing w:val="-2"/>
        </w:rPr>
        <w:t>类资产中，在活跃市场中没有报价且其公允价值不能可靠计量的权益工具投资以及与该权益工具挂钩并须通过交付该权益工</w:t>
      </w:r>
      <w:r>
        <w:rPr>
          <w:spacing w:val="-64"/>
        </w:rPr>
        <w:t> </w:t>
      </w:r>
      <w:r>
        <w:rPr>
          <w:spacing w:val="-64"/>
        </w:rPr>
      </w:r>
      <w:r>
        <w:rPr/>
        <w:t>具结算的衍生金融资产，按成本进行后续计量；其他存在活跃市场报价或虽没有活跃市场报价但公允价值能够可靠计量的，</w:t>
      </w:r>
      <w:r>
        <w:rPr>
          <w:spacing w:val="-83"/>
        </w:rPr>
        <w:t> </w:t>
      </w:r>
      <w:r>
        <w:rPr>
          <w:spacing w:val="-83"/>
        </w:rPr>
      </w:r>
      <w:r>
        <w:rPr>
          <w:spacing w:val="-2"/>
        </w:rPr>
        <w:t>按公允价值计量，公允价值变动计入其他综合收益。对于此类金融资产采用公允价值进行后续计量，除减值损失及外币货币</w:t>
      </w:r>
      <w:r>
        <w:rPr>
          <w:spacing w:val="-63"/>
        </w:rPr>
        <w:t> </w:t>
      </w:r>
      <w:r>
        <w:rPr>
          <w:spacing w:val="-63"/>
        </w:rPr>
      </w:r>
      <w:r>
        <w:rPr>
          <w:spacing w:val="-2"/>
        </w:rPr>
        <w:t>性金融资产形成的汇兑损益外，可供出售金融资产公允价值变动直接计入股东权益，待该金融资产终止确认时，原直接计入</w:t>
      </w:r>
      <w:r>
        <w:rPr>
          <w:spacing w:val="-63"/>
        </w:rPr>
        <w:t> </w:t>
      </w:r>
      <w:r>
        <w:rPr>
          <w:spacing w:val="-63"/>
        </w:rPr>
      </w:r>
      <w:r>
        <w:rPr>
          <w:spacing w:val="-2"/>
        </w:rPr>
        <w:t>权益的公允价值变动累计额转入当期损益。可供出售债务工具投资在持有期间按实际利率法计算的利息，以及被投资单位宣</w:t>
      </w:r>
      <w:r>
        <w:rPr>
          <w:spacing w:val="-63"/>
        </w:rPr>
        <w:t> </w:t>
      </w:r>
      <w:r>
        <w:rPr>
          <w:spacing w:val="-63"/>
        </w:rPr>
      </w:r>
      <w:r>
        <w:rPr>
          <w:spacing w:val="-2"/>
        </w:rPr>
        <w:t>告发放的与可供出售权益工具投资相关的现金股利，作为投资收益计入当期损益。对于在活跃市场中没有报价且其公允价值</w:t>
      </w:r>
      <w:r>
        <w:rPr>
          <w:spacing w:val="-64"/>
        </w:rPr>
        <w:t> </w:t>
      </w:r>
      <w:r>
        <w:rPr>
          <w:spacing w:val="-64"/>
        </w:rPr>
      </w:r>
      <w:r>
        <w:rPr/>
        <w:t>不能可靠计量的权益工具投资，按成本计量。</w:t>
      </w:r>
    </w:p>
    <w:p>
      <w:pPr>
        <w:pStyle w:val="BodyText"/>
        <w:spacing w:line="552" w:lineRule="exact" w:before="27"/>
        <w:ind w:left="592" w:right="194" w:firstLine="12"/>
        <w:jc w:val="left"/>
      </w:pPr>
      <w:r>
        <w:rPr>
          <w:rFonts w:ascii="Times New Roman" w:hAnsi="Times New Roman" w:cs="Times New Roman" w:eastAsia="Times New Roman" w:hint="default"/>
        </w:rPr>
        <w:t>2</w:t>
      </w:r>
      <w:r>
        <w:rPr/>
        <w:t>）金融资产转移的确认依据和计量方法 金融资产满足下列条件之一的，予以终止确认：①收取该金融资产现金流量的合同权利终止；②该金融资产已转移，</w:t>
      </w:r>
    </w:p>
    <w:p>
      <w:pPr>
        <w:pStyle w:val="BodyText"/>
        <w:spacing w:line="316" w:lineRule="auto"/>
        <w:ind w:right="178"/>
        <w:jc w:val="left"/>
      </w:pPr>
      <w:r>
        <w:rPr/>
        <w:t>且本集团将金融资产所有权上几乎所有的风险和报酬转移给转入方；</w:t>
      </w:r>
      <w:r>
        <w:rPr>
          <w:spacing w:val="6"/>
        </w:rPr>
        <w:t> </w:t>
      </w:r>
      <w:r>
        <w:rPr/>
        <w:t>③该金融资产已转移，虽然本集团既没有转移也没有</w:t>
      </w:r>
      <w:r>
        <w:rPr>
          <w:spacing w:val="-88"/>
        </w:rPr>
        <w:t> </w:t>
      </w:r>
      <w:r>
        <w:rPr>
          <w:spacing w:val="-88"/>
        </w:rPr>
      </w:r>
      <w:r>
        <w:rPr/>
        <w:t>保留金融资产所有权上几乎所有的风险和报酬，但是放弃了对该金融资产控制。</w:t>
      </w:r>
    </w:p>
    <w:p>
      <w:pPr>
        <w:spacing w:line="240" w:lineRule="auto" w:before="10"/>
        <w:rPr>
          <w:rFonts w:ascii="宋体" w:hAnsi="宋体" w:cs="宋体" w:eastAsia="宋体" w:hint="default"/>
          <w:sz w:val="19"/>
          <w:szCs w:val="19"/>
        </w:rPr>
      </w:pPr>
    </w:p>
    <w:p>
      <w:pPr>
        <w:pStyle w:val="BodyText"/>
        <w:spacing w:line="316" w:lineRule="auto"/>
        <w:ind w:right="196" w:firstLine="439"/>
        <w:jc w:val="both"/>
      </w:pPr>
      <w:r>
        <w:rPr/>
        <w:t>公司既没有转移也没有保留金融资产所有权上几乎所有的风险和报酬，且未放弃对该金融资产控制的，则按照其继续 涉入所转移金融资产的程度确认有关金融资产，并相应确认有关负债。</w:t>
      </w:r>
    </w:p>
    <w:p>
      <w:pPr>
        <w:spacing w:line="240" w:lineRule="auto" w:before="10"/>
        <w:rPr>
          <w:rFonts w:ascii="宋体" w:hAnsi="宋体" w:cs="宋体" w:eastAsia="宋体" w:hint="default"/>
          <w:sz w:val="19"/>
          <w:szCs w:val="19"/>
        </w:rPr>
      </w:pPr>
    </w:p>
    <w:p>
      <w:pPr>
        <w:pStyle w:val="BodyText"/>
        <w:spacing w:line="316" w:lineRule="auto"/>
        <w:ind w:right="196" w:firstLine="439"/>
        <w:jc w:val="both"/>
      </w:pPr>
      <w:r>
        <w:rPr/>
        <w:t>金融资产整体转移满足终止确认条件的，将所转移金融资产的账面价值，与因转移而收到的对价及原计入其他综合收 益的公允价值变动累计额之和的差额计入当期损益。</w:t>
      </w:r>
    </w:p>
    <w:p>
      <w:pPr>
        <w:spacing w:line="240" w:lineRule="auto" w:before="10"/>
        <w:rPr>
          <w:rFonts w:ascii="宋体" w:hAnsi="宋体" w:cs="宋体" w:eastAsia="宋体" w:hint="default"/>
          <w:sz w:val="19"/>
          <w:szCs w:val="19"/>
        </w:rPr>
      </w:pPr>
    </w:p>
    <w:p>
      <w:pPr>
        <w:pStyle w:val="BodyText"/>
        <w:spacing w:line="319" w:lineRule="auto"/>
        <w:ind w:right="192" w:firstLine="439"/>
        <w:jc w:val="both"/>
      </w:pPr>
      <w:r>
        <w:rPr>
          <w:spacing w:val="-4"/>
        </w:rPr>
        <w:t>金融资产部分转移满足终止确认条件的，将所转移金融资产整体的账面价值，在终止确认部分和未终止确认部分之间，</w:t>
      </w:r>
      <w:r>
        <w:rPr/>
        <w:t> </w:t>
      </w:r>
      <w:r>
        <w:rPr>
          <w:spacing w:val="-2"/>
        </w:rPr>
        <w:t>按照各自的相对公允价值进行分摊，并将因转移而收到的对价及应分摊至终止确认部分的原计入其他综合收益的公允价值变</w:t>
      </w:r>
      <w:r>
        <w:rPr>
          <w:spacing w:val="-64"/>
        </w:rPr>
        <w:t> </w:t>
      </w:r>
      <w:r>
        <w:rPr>
          <w:spacing w:val="-64"/>
        </w:rPr>
      </w:r>
      <w:r>
        <w:rPr/>
        <w:t>动累计额之和，与分摊的前述账面金额的差额计入当期损益。</w:t>
      </w:r>
    </w:p>
    <w:p>
      <w:pPr>
        <w:pStyle w:val="BodyText"/>
        <w:spacing w:line="552" w:lineRule="exact" w:before="25"/>
        <w:ind w:left="592" w:right="94" w:firstLine="31"/>
        <w:jc w:val="left"/>
      </w:pPr>
      <w:r>
        <w:rPr>
          <w:rFonts w:ascii="Times New Roman" w:hAnsi="Times New Roman" w:cs="Times New Roman" w:eastAsia="Times New Roman" w:hint="default"/>
        </w:rPr>
        <w:t>3</w:t>
      </w:r>
      <w:r>
        <w:rPr/>
        <w:t>）金融资产减值的测试方法及会计处理方法 </w:t>
      </w:r>
      <w:r>
        <w:rPr>
          <w:spacing w:val="-2"/>
        </w:rPr>
        <w:t>除以公允价值计量且其变动计入当期损益的金融资产外，本集团于资产负债表日对其他金融资产的账面价值进行检查，</w:t>
      </w:r>
    </w:p>
    <w:p>
      <w:pPr>
        <w:pStyle w:val="BodyText"/>
        <w:spacing w:line="227" w:lineRule="exact"/>
        <w:ind w:right="94"/>
        <w:jc w:val="left"/>
      </w:pPr>
      <w:r>
        <w:rPr/>
        <w:t>如果有客观证据表明某项金融资产发生减值的，计提减值准备。</w:t>
      </w:r>
    </w:p>
    <w:p>
      <w:pPr>
        <w:spacing w:line="240" w:lineRule="auto" w:before="0"/>
        <w:rPr>
          <w:rFonts w:ascii="宋体" w:hAnsi="宋体" w:cs="宋体" w:eastAsia="宋体" w:hint="default"/>
          <w:sz w:val="15"/>
          <w:szCs w:val="15"/>
        </w:rPr>
      </w:pPr>
    </w:p>
    <w:p>
      <w:pPr>
        <w:pStyle w:val="BodyText"/>
        <w:spacing w:line="316" w:lineRule="auto"/>
        <w:ind w:right="189" w:firstLine="439"/>
        <w:jc w:val="both"/>
      </w:pPr>
      <w:r>
        <w:rPr/>
        <w:t>以摊余成本计量的金融资产发生减值时，按预计未来现金流量（不包括尚未发生的未来信用损失）现值低于账面价值 </w:t>
      </w:r>
      <w:r>
        <w:rPr>
          <w:spacing w:val="-2"/>
        </w:rPr>
        <w:t>的差额，计提减值准备。如果有客观证据表明该金融资产价值已恢复，且客观上与确认该损失后发生的事项有关，原确认的</w:t>
      </w:r>
      <w:r>
        <w:rPr>
          <w:spacing w:val="-63"/>
        </w:rPr>
        <w:t> </w:t>
      </w:r>
      <w:r>
        <w:rPr>
          <w:spacing w:val="-63"/>
        </w:rPr>
      </w:r>
      <w:r>
        <w:rPr/>
        <w:t>减值损失予以转回，计入当期损益。</w:t>
      </w:r>
    </w:p>
    <w:p>
      <w:pPr>
        <w:spacing w:after="0" w:line="316" w:lineRule="auto"/>
        <w:jc w:val="both"/>
        <w:sectPr>
          <w:pgSz w:w="11910" w:h="16840"/>
          <w:pgMar w:header="745" w:footer="979" w:top="1060" w:bottom="1160" w:left="980" w:right="940"/>
        </w:sectPr>
      </w:pPr>
    </w:p>
    <w:p>
      <w:pPr>
        <w:spacing w:line="240" w:lineRule="auto" w:before="9"/>
        <w:rPr>
          <w:rFonts w:ascii="宋体" w:hAnsi="宋体" w:cs="宋体" w:eastAsia="宋体" w:hint="default"/>
          <w:sz w:val="25"/>
          <w:szCs w:val="25"/>
        </w:rPr>
      </w:pPr>
    </w:p>
    <w:p>
      <w:pPr>
        <w:pStyle w:val="BodyText"/>
        <w:spacing w:line="319" w:lineRule="auto" w:before="44"/>
        <w:ind w:right="104" w:firstLine="439"/>
        <w:jc w:val="both"/>
      </w:pPr>
      <w:r>
        <w:rPr/>
        <w:t>当可供出售金融资产发生减值，原直接计入所有者权益的因公允价值下降形成的累计损失予以转出并计入减值损失。 </w:t>
      </w:r>
      <w:r>
        <w:rPr>
          <w:spacing w:val="-2"/>
        </w:rPr>
        <w:t>对已确认减值损失的可供出售债务工具投资，在期后公允价值上升且客观上与确认原减值损失后发生的事项有关的，原确认</w:t>
      </w:r>
      <w:r>
        <w:rPr>
          <w:spacing w:val="-64"/>
        </w:rPr>
        <w:t> </w:t>
      </w:r>
      <w:r>
        <w:rPr>
          <w:spacing w:val="-64"/>
        </w:rPr>
      </w:r>
      <w:r>
        <w:rPr>
          <w:spacing w:val="-4"/>
        </w:rPr>
        <w:t>的减值损失予以转回并计入当期损益。对已确认减值损失的可供出售权益工具投资，期后公允价值上升直接计入所有者权益。</w:t>
      </w:r>
    </w:p>
    <w:p>
      <w:pPr>
        <w:pStyle w:val="BodyText"/>
        <w:spacing w:line="240" w:lineRule="auto" w:before="137"/>
        <w:ind w:left="592" w:right="94"/>
        <w:jc w:val="left"/>
      </w:pPr>
      <w:r>
        <w:rPr/>
        <w:t>（</w:t>
      </w:r>
      <w:r>
        <w:rPr>
          <w:rFonts w:ascii="Times New Roman" w:hAnsi="Times New Roman" w:cs="Times New Roman" w:eastAsia="Times New Roman" w:hint="default"/>
        </w:rPr>
        <w:t>2</w:t>
      </w:r>
      <w:r>
        <w:rPr/>
        <w:t>）金融负债</w:t>
      </w:r>
    </w:p>
    <w:p>
      <w:pPr>
        <w:pStyle w:val="BodyText"/>
        <w:spacing w:line="432" w:lineRule="exact" w:before="47"/>
        <w:ind w:left="592" w:right="194" w:firstLine="31"/>
        <w:jc w:val="left"/>
      </w:pPr>
      <w:r>
        <w:rPr>
          <w:rFonts w:ascii="Times New Roman" w:hAnsi="Times New Roman" w:cs="Times New Roman" w:eastAsia="Times New Roman" w:hint="default"/>
        </w:rPr>
        <w:t>1</w:t>
      </w:r>
      <w:r>
        <w:rPr/>
        <w:t>）金融负债分类、确认依据和计量方法 本集团的金融负债于初始确认时分类为以公允价值计量且其变动计入当期损益的金融负债和其他金融负债。 以公允价值计量且其变动计入当期损益的金融负债，包括交易性金融负债和初始确认时指定为以公允价值计量且其变</w:t>
      </w:r>
    </w:p>
    <w:p>
      <w:pPr>
        <w:pStyle w:val="BodyText"/>
        <w:spacing w:line="316" w:lineRule="auto" w:before="15"/>
        <w:ind w:right="94"/>
        <w:jc w:val="left"/>
      </w:pPr>
      <w:r>
        <w:rPr>
          <w:spacing w:val="-2"/>
        </w:rPr>
        <w:t>动计入当期损益的金融负债，按照公允价值进行后续计量，公允价值变动形成的利得或损失以及与该金融负债相关的股利和</w:t>
      </w:r>
      <w:r>
        <w:rPr>
          <w:spacing w:val="-64"/>
        </w:rPr>
        <w:t> </w:t>
      </w:r>
      <w:r>
        <w:rPr>
          <w:spacing w:val="-64"/>
        </w:rPr>
      </w:r>
      <w:r>
        <w:rPr/>
        <w:t>利息支出计入当期损益。</w:t>
      </w:r>
    </w:p>
    <w:p>
      <w:pPr>
        <w:pStyle w:val="BodyText"/>
        <w:spacing w:line="240" w:lineRule="auto" w:before="139"/>
        <w:ind w:left="592" w:right="94"/>
        <w:jc w:val="left"/>
      </w:pPr>
      <w:r>
        <w:rPr/>
        <w:t>其他金融负债采用实际利率法，按照摊余成本进行后续计量。</w:t>
      </w:r>
    </w:p>
    <w:p>
      <w:pPr>
        <w:pStyle w:val="BodyText"/>
        <w:spacing w:line="420" w:lineRule="atLeast" w:before="26"/>
        <w:ind w:left="618" w:right="94" w:hanging="27"/>
        <w:jc w:val="left"/>
      </w:pPr>
      <w:r>
        <w:rPr>
          <w:rFonts w:ascii="Times New Roman" w:hAnsi="Times New Roman" w:cs="Times New Roman" w:eastAsia="Times New Roman" w:hint="default"/>
        </w:rPr>
        <w:t>2</w:t>
      </w:r>
      <w:r>
        <w:rPr/>
        <w:t>）金融负债终止确认条件 </w:t>
      </w:r>
      <w:r>
        <w:rPr>
          <w:spacing w:val="-1"/>
        </w:rPr>
        <w:t>当金融负债的现时义务全部或部分已经解除时，终止确认该金融负债或义务已解除的部分。公司与债权人之间签订协</w:t>
      </w:r>
    </w:p>
    <w:p>
      <w:pPr>
        <w:pStyle w:val="BodyText"/>
        <w:spacing w:line="316" w:lineRule="auto" w:before="76"/>
        <w:ind w:right="190"/>
        <w:jc w:val="both"/>
      </w:pPr>
      <w:r>
        <w:rPr>
          <w:spacing w:val="-2"/>
        </w:rPr>
        <w:t>议，以承担新金融负债方式替换现存金融负债，且新金融负债与现存金融负债的合同条款实质上不同的，终止确认现存金融</w:t>
      </w:r>
      <w:r>
        <w:rPr>
          <w:spacing w:val="-63"/>
        </w:rPr>
        <w:t> </w:t>
      </w:r>
      <w:r>
        <w:rPr>
          <w:spacing w:val="-63"/>
        </w:rPr>
      </w:r>
      <w:r>
        <w:rPr>
          <w:spacing w:val="-2"/>
        </w:rPr>
        <w:t>负债，并同时确认新金融负债。公司对现存金融负债全部或部分的合同条款作出实质性修改的，终止确认现存金融负债或其</w:t>
      </w:r>
      <w:r>
        <w:rPr>
          <w:spacing w:val="-63"/>
        </w:rPr>
        <w:t> </w:t>
      </w:r>
      <w:r>
        <w:rPr>
          <w:spacing w:val="-63"/>
        </w:rPr>
      </w:r>
      <w:r>
        <w:rPr>
          <w:spacing w:val="-2"/>
        </w:rPr>
        <w:t>一部分，同时将修改条款后的金融负债确认为一项新金融负债。终止确认部分的账面价值与支付的对价之间的差额，计入当</w:t>
      </w:r>
      <w:r>
        <w:rPr>
          <w:spacing w:val="-63"/>
        </w:rPr>
        <w:t> </w:t>
      </w:r>
      <w:r>
        <w:rPr>
          <w:spacing w:val="-63"/>
        </w:rPr>
      </w:r>
      <w:r>
        <w:rPr/>
        <w:t>期损益。</w:t>
      </w:r>
    </w:p>
    <w:p>
      <w:pPr>
        <w:pStyle w:val="BodyText"/>
        <w:spacing w:line="432" w:lineRule="exact" w:before="3"/>
        <w:ind w:left="592" w:right="194"/>
        <w:jc w:val="left"/>
      </w:pPr>
      <w:r>
        <w:rPr/>
        <w:t>（</w:t>
      </w:r>
      <w:r>
        <w:rPr>
          <w:rFonts w:ascii="宋体" w:hAnsi="宋体" w:cs="宋体" w:eastAsia="宋体" w:hint="default"/>
        </w:rPr>
        <w:t>3</w:t>
      </w:r>
      <w:r>
        <w:rPr/>
        <w:t>）金融资产和金融负债的公允价值确定方法</w:t>
      </w:r>
      <w:r>
        <w:rPr>
          <w:rFonts w:ascii="宋体" w:hAnsi="宋体" w:cs="宋体" w:eastAsia="宋体" w:hint="default"/>
        </w:rPr>
        <w:t> </w:t>
      </w:r>
      <w:r>
        <w:rPr/>
        <w:t>本集团以主要市场的价格计量金融资产和金融负债的公允价值，不存在主要市场的，以最有利市场的价格计量金融资</w:t>
      </w:r>
    </w:p>
    <w:p>
      <w:pPr>
        <w:pStyle w:val="BodyText"/>
        <w:spacing w:line="319" w:lineRule="auto" w:before="15"/>
        <w:ind w:right="94"/>
        <w:jc w:val="left"/>
      </w:pPr>
      <w:r>
        <w:rPr>
          <w:spacing w:val="-2"/>
        </w:rPr>
        <w:t>产和金融负债的公允价值，并且采用当时适用并且有足够可利用数据和其他信息支持的估值技术。公允价值计量所使用的输</w:t>
      </w:r>
      <w:r>
        <w:rPr>
          <w:spacing w:val="-64"/>
        </w:rPr>
        <w:t> </w:t>
      </w:r>
      <w:r>
        <w:rPr>
          <w:spacing w:val="-64"/>
        </w:rPr>
      </w:r>
      <w:r>
        <w:rPr>
          <w:spacing w:val="-2"/>
        </w:rPr>
        <w:t>入值分为三个层次，即第一层次输入值是计量日能够取得的相同资产或负债在活跃市场上未经调整的报价；第二层次输入值</w:t>
      </w:r>
      <w:r>
        <w:rPr>
          <w:spacing w:val="-64"/>
        </w:rPr>
        <w:t> </w:t>
      </w:r>
      <w:r>
        <w:rPr>
          <w:spacing w:val="-64"/>
        </w:rPr>
      </w:r>
      <w:r>
        <w:rPr/>
        <w:t>是除第一层次输入值外相关资产或负债直接或间接可观察的输入值；第三层次输入值是相关资产或负债的不可观察输入值。</w:t>
      </w:r>
      <w:r>
        <w:rPr>
          <w:spacing w:val="-83"/>
        </w:rPr>
        <w:t> </w:t>
      </w:r>
      <w:r>
        <w:rPr>
          <w:spacing w:val="-83"/>
        </w:rPr>
      </w:r>
      <w:r>
        <w:rPr>
          <w:spacing w:val="-2"/>
        </w:rPr>
        <w:t>本集团优先使用第一层次输入值，最后再使用第三层次输入值。公允价值计量结果所属的层次，由对公允价值计量整体而言</w:t>
      </w:r>
      <w:r>
        <w:rPr>
          <w:spacing w:val="-63"/>
        </w:rPr>
        <w:t> </w:t>
      </w:r>
      <w:r>
        <w:rPr>
          <w:spacing w:val="-63"/>
        </w:rPr>
      </w:r>
      <w:r>
        <w:rPr/>
        <w:t>具有重大意义的输入值所属的最低层次决定。</w:t>
      </w:r>
    </w:p>
    <w:p>
      <w:pPr>
        <w:spacing w:line="240" w:lineRule="auto" w:before="9"/>
        <w:rPr>
          <w:rFonts w:ascii="宋体" w:hAnsi="宋体" w:cs="宋体" w:eastAsia="宋体" w:hint="default"/>
          <w:sz w:val="22"/>
          <w:szCs w:val="22"/>
        </w:rPr>
      </w:pPr>
    </w:p>
    <w:p>
      <w:pPr>
        <w:pStyle w:val="Heading5"/>
        <w:spacing w:line="240" w:lineRule="auto"/>
        <w:ind w:right="94"/>
        <w:jc w:val="left"/>
        <w:rPr>
          <w:b w:val="0"/>
          <w:bCs w:val="0"/>
        </w:rPr>
      </w:pPr>
      <w:r>
        <w:rPr>
          <w:rFonts w:ascii="Times New Roman" w:hAnsi="Times New Roman" w:cs="Times New Roman" w:eastAsia="Times New Roman" w:hint="default"/>
        </w:rPr>
        <w:t>11</w:t>
      </w:r>
      <w:r>
        <w:rPr/>
        <w:t>、应收款项</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94"/>
        <w:jc w:val="left"/>
        <w:rPr>
          <w:b w:val="0"/>
          <w:bCs w:val="0"/>
        </w:rPr>
      </w:pP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40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单项金额超过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万元的应收款项视为重大应收款项</w:t>
            </w:r>
          </w:p>
        </w:tc>
      </w:tr>
      <w:tr>
        <w:trPr>
          <w:trHeight w:val="713"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2"/>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 准备</w:t>
            </w:r>
          </w:p>
        </w:tc>
      </w:tr>
    </w:tbl>
    <w:p>
      <w:pPr>
        <w:spacing w:line="240" w:lineRule="auto" w:before="3"/>
        <w:rPr>
          <w:rFonts w:ascii="宋体" w:hAnsi="宋体" w:cs="宋体" w:eastAsia="宋体" w:hint="default"/>
          <w:b/>
          <w:bCs/>
          <w:sz w:val="19"/>
          <w:szCs w:val="19"/>
        </w:rPr>
      </w:pPr>
    </w:p>
    <w:p>
      <w:pPr>
        <w:pStyle w:val="Heading5"/>
        <w:spacing w:line="240" w:lineRule="auto" w:before="36"/>
        <w:ind w:right="94"/>
        <w:jc w:val="left"/>
        <w:rPr>
          <w:b w:val="0"/>
          <w:bCs w:val="0"/>
        </w:rPr>
      </w:pP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账龄组合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pStyle w:val="BodyText"/>
        <w:spacing w:line="240" w:lineRule="auto" w:before="49"/>
        <w:ind w:right="94"/>
        <w:jc w:val="left"/>
      </w:pPr>
      <w:r>
        <w:rPr/>
        <w:t>组合中，采用账龄分析法计提坏账准备的：</w:t>
      </w:r>
    </w:p>
    <w:p>
      <w:pPr>
        <w:spacing w:after="0" w:line="240" w:lineRule="auto"/>
        <w:jc w:val="left"/>
        <w:sectPr>
          <w:pgSz w:w="11910" w:h="16840"/>
          <w:pgMar w:header="745" w:footer="979" w:top="1060" w:bottom="1160" w:left="980" w:right="940"/>
        </w:sectPr>
      </w:pPr>
    </w:p>
    <w:p>
      <w:pPr>
        <w:spacing w:line="240" w:lineRule="auto" w:before="9"/>
        <w:rPr>
          <w:rFonts w:ascii="宋体" w:hAnsi="宋体" w:cs="宋体" w:eastAsia="宋体" w:hint="default"/>
          <w:sz w:val="25"/>
          <w:szCs w:val="25"/>
        </w:rPr>
      </w:pPr>
    </w:p>
    <w:p>
      <w:pPr>
        <w:pStyle w:val="BodyText"/>
        <w:spacing w:line="240" w:lineRule="auto" w:before="44"/>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240" w:lineRule="auto" w:before="49"/>
        <w:ind w:right="94"/>
        <w:jc w:val="left"/>
      </w:pPr>
      <w:r>
        <w:rPr/>
        <w:t>组合中，采用余额百分比法计提坏账准备的：</w:t>
      </w:r>
    </w:p>
    <w:p>
      <w:pPr>
        <w:pStyle w:val="BodyText"/>
        <w:spacing w:line="340" w:lineRule="auto" w:before="115"/>
        <w:ind w:right="65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w:t>
      </w:r>
    </w:p>
    <w:p>
      <w:pPr>
        <w:pStyle w:val="BodyText"/>
        <w:spacing w:line="240" w:lineRule="auto" w:before="39"/>
        <w:ind w:right="9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款项性质组合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94"/>
        <w:jc w:val="left"/>
        <w:rPr>
          <w:b w:val="0"/>
          <w:bCs w:val="0"/>
        </w:rPr>
      </w:pP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7"/>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716"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2"/>
              <w:jc w:val="left"/>
              <w:rPr>
                <w:rFonts w:ascii="宋体" w:hAnsi="宋体" w:cs="宋体" w:eastAsia="宋体" w:hint="default"/>
                <w:sz w:val="18"/>
                <w:szCs w:val="18"/>
              </w:rPr>
            </w:pPr>
            <w:r>
              <w:rPr>
                <w:rFonts w:ascii="宋体" w:hAnsi="宋体" w:cs="宋体" w:eastAsia="宋体" w:hint="default"/>
                <w:sz w:val="18"/>
                <w:szCs w:val="18"/>
              </w:rPr>
              <w:t>单项金额不重大且按照组合计提坏账准备不能反映其风险特 征的应收款项</w:t>
            </w:r>
          </w:p>
        </w:tc>
      </w:tr>
      <w:tr>
        <w:trPr>
          <w:trHeight w:val="715"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2"/>
              <w:jc w:val="left"/>
              <w:rPr>
                <w:rFonts w:ascii="宋体" w:hAnsi="宋体" w:cs="宋体" w:eastAsia="宋体" w:hint="default"/>
                <w:sz w:val="18"/>
                <w:szCs w:val="18"/>
              </w:rPr>
            </w:pPr>
            <w:r>
              <w:rPr>
                <w:rFonts w:ascii="宋体" w:hAnsi="宋体" w:cs="宋体" w:eastAsia="宋体" w:hint="default"/>
                <w:sz w:val="18"/>
                <w:szCs w:val="18"/>
              </w:rPr>
              <w:t>根据其未来现金流量现值低于其账面价值的差额，计提坏账 准备</w:t>
            </w:r>
          </w:p>
        </w:tc>
      </w:tr>
    </w:tbl>
    <w:p>
      <w:pPr>
        <w:spacing w:line="240" w:lineRule="auto" w:before="3"/>
        <w:rPr>
          <w:rFonts w:ascii="宋体" w:hAnsi="宋体" w:cs="宋体" w:eastAsia="宋体" w:hint="default"/>
          <w:b/>
          <w:bCs/>
          <w:sz w:val="19"/>
          <w:szCs w:val="19"/>
        </w:rPr>
      </w:pPr>
    </w:p>
    <w:p>
      <w:pPr>
        <w:pStyle w:val="Heading5"/>
        <w:spacing w:line="240" w:lineRule="auto" w:before="36"/>
        <w:ind w:right="94"/>
        <w:jc w:val="left"/>
        <w:rPr>
          <w:b w:val="0"/>
          <w:bCs w:val="0"/>
        </w:rPr>
      </w:pPr>
      <w:r>
        <w:rPr>
          <w:rFonts w:ascii="Times New Roman" w:hAnsi="Times New Roman" w:cs="Times New Roman" w:eastAsia="Times New Roman" w:hint="default"/>
        </w:rPr>
        <w:t>12</w:t>
      </w:r>
      <w:r>
        <w:rPr/>
        <w:t>、存货</w:t>
      </w:r>
      <w:r>
        <w:rPr>
          <w:b w:val="0"/>
          <w:bCs w:val="0"/>
        </w:rPr>
      </w:r>
    </w:p>
    <w:p>
      <w:pPr>
        <w:spacing w:line="240" w:lineRule="auto" w:before="2"/>
        <w:rPr>
          <w:rFonts w:ascii="宋体" w:hAnsi="宋体" w:cs="宋体" w:eastAsia="宋体" w:hint="default"/>
          <w:b/>
          <w:bCs/>
          <w:sz w:val="26"/>
          <w:szCs w:val="26"/>
        </w:rPr>
      </w:pPr>
    </w:p>
    <w:p>
      <w:pPr>
        <w:pStyle w:val="BodyText"/>
        <w:spacing w:line="360" w:lineRule="auto"/>
        <w:ind w:right="6754"/>
        <w:jc w:val="left"/>
      </w:pPr>
      <w:r>
        <w:rPr/>
        <w:t>公司是否需要遵守特殊行业的披露要求 否</w:t>
      </w:r>
    </w:p>
    <w:p>
      <w:pPr>
        <w:pStyle w:val="BodyText"/>
        <w:spacing w:line="430" w:lineRule="atLeast" w:before="32"/>
        <w:ind w:left="513" w:right="178"/>
        <w:jc w:val="left"/>
      </w:pPr>
      <w:r>
        <w:rPr/>
        <w:t>本集团存货主要包括原材料、低值易耗品、在产品、库存商品、劳务成本等。 </w:t>
      </w:r>
      <w:r>
        <w:rPr>
          <w:spacing w:val="-5"/>
        </w:rPr>
        <w:t>存货实行永续盘存制，存货在取得时按实际成本计价，存货成本包括采购成本、加工成本和其他成本；领用或发出存货，</w:t>
      </w:r>
    </w:p>
    <w:p>
      <w:pPr>
        <w:pStyle w:val="BodyText"/>
        <w:spacing w:line="240" w:lineRule="auto" w:before="76"/>
        <w:ind w:right="94"/>
        <w:jc w:val="left"/>
      </w:pPr>
      <w:r>
        <w:rPr/>
        <w:t>采用加权平均法确定其实际成本。低值易耗品和包装物采用一次转销法进行摊销。</w:t>
      </w:r>
    </w:p>
    <w:p>
      <w:pPr>
        <w:spacing w:line="240" w:lineRule="auto" w:before="0"/>
        <w:rPr>
          <w:rFonts w:ascii="宋体" w:hAnsi="宋体" w:cs="宋体" w:eastAsia="宋体" w:hint="default"/>
          <w:sz w:val="15"/>
          <w:szCs w:val="15"/>
        </w:rPr>
      </w:pPr>
    </w:p>
    <w:p>
      <w:pPr>
        <w:pStyle w:val="BodyText"/>
        <w:spacing w:line="316" w:lineRule="auto"/>
        <w:ind w:right="94" w:firstLine="360"/>
        <w:jc w:val="left"/>
      </w:pPr>
      <w:r>
        <w:rPr/>
        <w:t>年末存货按成本与可变现净值孰低原则计价，对于存货因遭受毁损、全部或部分陈旧过时或销售价格低于成本等原因， </w:t>
      </w:r>
      <w:r>
        <w:rPr>
          <w:spacing w:val="-2"/>
        </w:rPr>
        <w:t>预计其成本不可收回的部分，提取存货跌价准备。库存商品及大宗原材料的存货跌价准备按单个存货项目的成本高于其可变</w:t>
      </w:r>
      <w:r>
        <w:rPr>
          <w:spacing w:val="-64"/>
        </w:rPr>
        <w:t> </w:t>
      </w:r>
      <w:r>
        <w:rPr>
          <w:spacing w:val="-64"/>
        </w:rPr>
      </w:r>
      <w:r>
        <w:rPr/>
        <w:t>现净值的差额提取；其他数量繁多、单价较低的原辅材料按类别提取存货跌价准备。</w:t>
      </w:r>
    </w:p>
    <w:p>
      <w:pPr>
        <w:pStyle w:val="BodyText"/>
        <w:spacing w:line="316" w:lineRule="auto" w:before="139"/>
        <w:ind w:right="192" w:firstLine="360"/>
        <w:jc w:val="both"/>
      </w:pPr>
      <w:r>
        <w:rPr>
          <w:spacing w:val="-2"/>
        </w:rPr>
        <w:t>库存商品、在产品和用于出售的材料等直接用于出售的商品存货，其可变现净值按该存货的估计售价减去估计的销售费</w:t>
      </w:r>
      <w:r>
        <w:rPr/>
        <w:t> </w:t>
      </w:r>
      <w:r>
        <w:rPr>
          <w:spacing w:val="-2"/>
        </w:rPr>
        <w:t>用和相关税费后的金额确定；用于生产而持有的材料存货，其可变现净值按所生产的产成品的估计售价减去至完工时估计将</w:t>
      </w:r>
      <w:r>
        <w:rPr>
          <w:spacing w:val="-64"/>
        </w:rPr>
        <w:t> </w:t>
      </w:r>
      <w:r>
        <w:rPr>
          <w:spacing w:val="-64"/>
        </w:rPr>
      </w:r>
      <w:r>
        <w:rPr/>
        <w:t>要发生的成本、估计的销售费用和相关税费后的金额确定。</w:t>
      </w:r>
    </w:p>
    <w:p>
      <w:pPr>
        <w:spacing w:after="0" w:line="316" w:lineRule="auto"/>
        <w:jc w:val="both"/>
        <w:sectPr>
          <w:pgSz w:w="11910" w:h="16840"/>
          <w:pgMar w:header="745" w:footer="979" w:top="1060" w:bottom="1160" w:left="980" w:right="94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13</w:t>
      </w:r>
      <w:r>
        <w:rPr/>
        <w:t>、持有待售资产</w:t>
      </w:r>
      <w:r>
        <w:rPr>
          <w:b w:val="0"/>
          <w:bCs w:val="0"/>
        </w:rPr>
      </w:r>
    </w:p>
    <w:p>
      <w:pPr>
        <w:spacing w:line="240" w:lineRule="auto" w:before="5"/>
        <w:rPr>
          <w:rFonts w:ascii="宋体" w:hAnsi="宋体" w:cs="宋体" w:eastAsia="宋体" w:hint="default"/>
          <w:b/>
          <w:bCs/>
          <w:sz w:val="26"/>
          <w:szCs w:val="26"/>
        </w:rPr>
      </w:pPr>
    </w:p>
    <w:p>
      <w:pPr>
        <w:pStyle w:val="BodyText"/>
        <w:spacing w:line="312" w:lineRule="auto"/>
        <w:ind w:right="290" w:firstLine="360"/>
        <w:jc w:val="both"/>
      </w:pPr>
      <w:r>
        <w:rPr>
          <w:spacing w:val="-2"/>
        </w:rPr>
        <w:t>（</w:t>
      </w:r>
      <w:r>
        <w:rPr>
          <w:rFonts w:ascii="Times New Roman" w:hAnsi="Times New Roman" w:cs="Times New Roman" w:eastAsia="Times New Roman" w:hint="default"/>
          <w:spacing w:val="-2"/>
        </w:rPr>
        <w:t>1</w:t>
      </w:r>
      <w:r>
        <w:rPr>
          <w:spacing w:val="-2"/>
        </w:rPr>
        <w:t>）本集团将同时符合下列条件的非流动资产或处置组划分为持有待售：</w:t>
      </w:r>
      <w:r>
        <w:rPr>
          <w:rFonts w:ascii="Times New Roman" w:hAnsi="Times New Roman" w:cs="Times New Roman" w:eastAsia="Times New Roman" w:hint="default"/>
          <w:spacing w:val="-2"/>
        </w:rPr>
        <w:t>1</w:t>
      </w:r>
      <w:r>
        <w:rPr>
          <w:spacing w:val="-2"/>
        </w:rPr>
        <w:t>）根据类似交易中出售此类资产或处置组的</w:t>
      </w:r>
      <w:r>
        <w:rPr/>
        <w:t> 惯例，在当前状况下即可立即出售；</w:t>
      </w:r>
      <w:r>
        <w:rPr>
          <w:rFonts w:ascii="Times New Roman" w:hAnsi="Times New Roman" w:cs="Times New Roman" w:eastAsia="Times New Roman" w:hint="default"/>
        </w:rPr>
        <w:t>2</w:t>
      </w:r>
      <w:r>
        <w:rPr/>
        <w:t>）出售极可能发生，即已经就一项出售计划作出决议且获得确定的购买承诺，预计出</w:t>
      </w:r>
      <w:r>
        <w:rPr>
          <w:spacing w:val="-83"/>
        </w:rPr>
        <w:t> </w:t>
      </w:r>
      <w:r>
        <w:rPr>
          <w:spacing w:val="-83"/>
        </w:rPr>
      </w:r>
      <w:r>
        <w:rPr>
          <w:spacing w:val="-2"/>
        </w:rPr>
        <w:t>售将在一年内完成。有关规定要求相关权力机构或者监管部门批准后方可出售的需要获得相关批准。本集团将非流动资产或</w:t>
      </w:r>
      <w:r>
        <w:rPr>
          <w:spacing w:val="-63"/>
        </w:rPr>
        <w:t> </w:t>
      </w:r>
      <w:r>
        <w:rPr>
          <w:spacing w:val="-63"/>
        </w:rPr>
      </w:r>
      <w:r>
        <w:rPr>
          <w:spacing w:val="-2"/>
        </w:rPr>
        <w:t>处置组首次划分为持有待售类别前，按照相关会计准则规定计量非流动资产或处置组中各项资产和负债的账面价值。初始计</w:t>
      </w:r>
      <w:r>
        <w:rPr>
          <w:spacing w:val="-64"/>
        </w:rPr>
        <w:t> </w:t>
      </w:r>
      <w:r>
        <w:rPr>
          <w:spacing w:val="-64"/>
        </w:rPr>
      </w:r>
      <w:r>
        <w:rPr>
          <w:spacing w:val="-2"/>
        </w:rPr>
        <w:t>量或在资产负债表日重新计量持有待售的非流动资产或处置组时，其账面价值高于公允价值减去出售费用后的净额的，将账</w:t>
      </w:r>
      <w:r>
        <w:rPr>
          <w:spacing w:val="-64"/>
        </w:rPr>
        <w:t> </w:t>
      </w:r>
      <w:r>
        <w:rPr>
          <w:spacing w:val="-64"/>
        </w:rPr>
      </w:r>
      <w:r>
        <w:rPr>
          <w:spacing w:val="-2"/>
        </w:rPr>
        <w:t>面价值减记至公允价值减去出售费用后的净额，减记的金额确认为资产减值损失，计入当期损益，同时计提持有待售资产减</w:t>
      </w:r>
      <w:r>
        <w:rPr>
          <w:spacing w:val="-63"/>
        </w:rPr>
        <w:t> </w:t>
      </w:r>
      <w:r>
        <w:rPr>
          <w:spacing w:val="-63"/>
        </w:rPr>
      </w:r>
      <w:r>
        <w:rPr/>
        <w:t>值准备。</w:t>
      </w:r>
    </w:p>
    <w:p>
      <w:pPr>
        <w:pStyle w:val="BodyText"/>
        <w:spacing w:line="309" w:lineRule="auto" w:before="142"/>
        <w:ind w:right="293" w:firstLine="360"/>
        <w:jc w:val="both"/>
      </w:pPr>
      <w:r>
        <w:rPr>
          <w:spacing w:val="-3"/>
        </w:rPr>
        <w:t>（</w:t>
      </w:r>
      <w:r>
        <w:rPr>
          <w:rFonts w:ascii="Times New Roman" w:hAnsi="Times New Roman" w:cs="Times New Roman" w:eastAsia="Times New Roman" w:hint="default"/>
          <w:spacing w:val="-3"/>
        </w:rPr>
        <w:t>2</w:t>
      </w:r>
      <w:r>
        <w:rPr>
          <w:spacing w:val="-3"/>
        </w:rPr>
        <w:t>）本集团专为转售而取得的非流动资产或处置组，在取得日满足</w:t>
      </w:r>
      <w:r>
        <w:rPr>
          <w:rFonts w:ascii="Times New Roman" w:hAnsi="Times New Roman" w:cs="Times New Roman" w:eastAsia="Times New Roman" w:hint="default"/>
          <w:spacing w:val="-3"/>
        </w:rPr>
        <w:t>“</w:t>
      </w:r>
      <w:r>
        <w:rPr>
          <w:spacing w:val="-3"/>
        </w:rPr>
        <w:t>预计出售将在一年内完成</w:t>
      </w:r>
      <w:r>
        <w:rPr>
          <w:rFonts w:ascii="Times New Roman" w:hAnsi="Times New Roman" w:cs="Times New Roman" w:eastAsia="Times New Roman" w:hint="default"/>
          <w:spacing w:val="-3"/>
        </w:rPr>
        <w:t>”</w:t>
      </w:r>
      <w:r>
        <w:rPr>
          <w:spacing w:val="-3"/>
        </w:rPr>
        <w:t>的规定条件，且短期（通</w:t>
      </w:r>
      <w:r>
        <w:rPr/>
        <w:t> 常为</w:t>
      </w:r>
      <w:r>
        <w:rPr>
          <w:rFonts w:ascii="Times New Roman" w:hAnsi="Times New Roman" w:cs="Times New Roman" w:eastAsia="Times New Roman" w:hint="default"/>
        </w:rPr>
        <w:t>3</w:t>
      </w:r>
      <w:r>
        <w:rPr/>
        <w:t>个月）内很可能满足持有待售类别的其他划分条件的，在取得日将其划分为持有待售类别。在初始计量时，比较假定</w:t>
      </w:r>
      <w:r>
        <w:rPr>
          <w:spacing w:val="-85"/>
        </w:rPr>
        <w:t> </w:t>
      </w:r>
      <w:r>
        <w:rPr>
          <w:spacing w:val="-85"/>
        </w:rPr>
      </w:r>
      <w:r>
        <w:rPr>
          <w:spacing w:val="-2"/>
        </w:rPr>
        <w:t>其不划分为持有待售类别情况下的初始计量金额和公允价值减去出售费用后的净额，以两者孰低计量。除企业合并中取得的</w:t>
      </w:r>
      <w:r>
        <w:rPr>
          <w:spacing w:val="-64"/>
        </w:rPr>
        <w:t> </w:t>
      </w:r>
      <w:r>
        <w:rPr>
          <w:spacing w:val="-64"/>
        </w:rPr>
      </w:r>
      <w:r>
        <w:rPr>
          <w:spacing w:val="-2"/>
        </w:rPr>
        <w:t>非流动资产或处置组外，由非流动资产或处置组以公允价值减去出售费用后的净额作为初始计量金额而产生的差额，计入当</w:t>
      </w:r>
      <w:r>
        <w:rPr>
          <w:spacing w:val="-64"/>
        </w:rPr>
        <w:t> </w:t>
      </w:r>
      <w:r>
        <w:rPr>
          <w:spacing w:val="-64"/>
        </w:rPr>
      </w:r>
      <w:r>
        <w:rPr/>
        <w:t>期损益。</w:t>
      </w:r>
    </w:p>
    <w:p>
      <w:pPr>
        <w:pStyle w:val="BodyText"/>
        <w:spacing w:line="309" w:lineRule="auto" w:before="144"/>
        <w:ind w:right="0" w:firstLine="360"/>
        <w:jc w:val="left"/>
      </w:pPr>
      <w:r>
        <w:rPr/>
        <w:t>（</w:t>
      </w:r>
      <w:r>
        <w:rPr>
          <w:rFonts w:ascii="Times New Roman" w:hAnsi="Times New Roman" w:cs="Times New Roman" w:eastAsia="Times New Roman" w:hint="default"/>
        </w:rPr>
        <w:t>3</w:t>
      </w:r>
      <w:r>
        <w:rPr/>
        <w:t>）本集团因出售对子公司的投资等原因导致丧失对子公司控制权的，无论出售后本集团是否保留部分权益性投资， </w:t>
      </w:r>
      <w:r>
        <w:rPr>
          <w:spacing w:val="-2"/>
        </w:rPr>
        <w:t>在拟出售的对子公司投资满足持有待售类别划分条件时，在母公司个别财务报表中将对子公司投资整体划分为持有待售类别，</w:t>
      </w:r>
      <w:r>
        <w:rPr>
          <w:spacing w:val="-61"/>
        </w:rPr>
        <w:t> </w:t>
      </w:r>
      <w:r>
        <w:rPr>
          <w:spacing w:val="-61"/>
        </w:rPr>
      </w:r>
      <w:r>
        <w:rPr/>
        <w:t>在合并财务报表中将子公司所有资产和负债划分为持有待售类别。</w:t>
      </w:r>
    </w:p>
    <w:p>
      <w:pPr>
        <w:pStyle w:val="BodyText"/>
        <w:spacing w:line="309" w:lineRule="auto" w:before="144"/>
        <w:ind w:right="292" w:firstLine="360"/>
        <w:jc w:val="both"/>
      </w:pPr>
      <w:r>
        <w:rPr>
          <w:spacing w:val="-4"/>
        </w:rPr>
        <w:t>（</w:t>
      </w:r>
      <w:r>
        <w:rPr>
          <w:rFonts w:ascii="Times New Roman" w:hAnsi="Times New Roman" w:cs="Times New Roman" w:eastAsia="Times New Roman" w:hint="default"/>
          <w:spacing w:val="-4"/>
        </w:rPr>
        <w:t>4</w:t>
      </w:r>
      <w:r>
        <w:rPr>
          <w:spacing w:val="-4"/>
        </w:rPr>
        <w:t>）后续资产负债表日持有待售的非流动资产公允价值减去出售费用后的净额增加的，以前减记的金额应当予以恢复，</w:t>
      </w:r>
      <w:r>
        <w:rPr/>
        <w:t> </w:t>
      </w:r>
      <w:r>
        <w:rPr>
          <w:spacing w:val="-2"/>
        </w:rPr>
        <w:t>并在划分为持有待售类别后确认的资产减值损失金额内转回，转回金额计入当期损益。划分为持有待售类别前确认的资产减</w:t>
      </w:r>
      <w:r>
        <w:rPr>
          <w:spacing w:val="-64"/>
        </w:rPr>
        <w:t> </w:t>
      </w:r>
      <w:r>
        <w:rPr>
          <w:spacing w:val="-64"/>
        </w:rPr>
      </w:r>
      <w:r>
        <w:rPr/>
        <w:t>值损失不得转回。</w:t>
      </w:r>
    </w:p>
    <w:p>
      <w:pPr>
        <w:pStyle w:val="BodyText"/>
        <w:spacing w:line="300" w:lineRule="auto" w:before="144"/>
        <w:ind w:right="293" w:firstLine="360"/>
        <w:jc w:val="both"/>
      </w:pPr>
      <w:r>
        <w:rPr/>
        <w:t>（</w:t>
      </w:r>
      <w:r>
        <w:rPr>
          <w:rFonts w:ascii="Times New Roman" w:hAnsi="Times New Roman" w:cs="Times New Roman" w:eastAsia="Times New Roman" w:hint="default"/>
        </w:rPr>
        <w:t>5</w:t>
      </w:r>
      <w:r>
        <w:rPr/>
        <w:t>）对于持有待售的处置组确认的资产减值损失金额，先抵减处置组中商誉的账面价值，再根据各项非流动资产账面 价值所占比重，按比例抵减其账面价值。</w:t>
      </w:r>
    </w:p>
    <w:p>
      <w:pPr>
        <w:pStyle w:val="BodyText"/>
        <w:spacing w:line="316" w:lineRule="auto" w:before="151"/>
        <w:ind w:right="292" w:firstLine="360"/>
        <w:jc w:val="both"/>
      </w:pPr>
      <w:r>
        <w:rPr>
          <w:spacing w:val="-2"/>
        </w:rPr>
        <w:t>后续资产负债表日持有待售的处置组公允价值减去出售费用后的净额增加的，以前减记的金额应当予以恢复，并在划分</w:t>
      </w:r>
      <w:r>
        <w:rPr/>
        <w:t> </w:t>
      </w:r>
      <w:r>
        <w:rPr>
          <w:spacing w:val="-2"/>
        </w:rPr>
        <w:t>为持有待售类别后适用相关计量规定的非流动资产确认的资产减值损失金额内转回，转回金额计入当期损益。已抵减的商誉</w:t>
      </w:r>
      <w:r>
        <w:rPr>
          <w:spacing w:val="-64"/>
        </w:rPr>
        <w:t> </w:t>
      </w:r>
      <w:r>
        <w:rPr>
          <w:spacing w:val="-64"/>
        </w:rPr>
      </w:r>
      <w:r>
        <w:rPr/>
        <w:t>账面价值，以及非流动资产在划分为持有待售类别前确认的资产减值损失不得转回。</w:t>
      </w:r>
    </w:p>
    <w:p>
      <w:pPr>
        <w:pStyle w:val="BodyText"/>
        <w:spacing w:line="316" w:lineRule="auto" w:before="139"/>
        <w:ind w:right="290" w:firstLine="360"/>
        <w:jc w:val="both"/>
      </w:pPr>
      <w:r>
        <w:rPr>
          <w:spacing w:val="-2"/>
        </w:rPr>
        <w:t>持有待售的处置组确认的资产减值损失后续转回金额，根据处置组中除商誉外，各项非流动资产账面价值所占比重，按</w:t>
      </w:r>
      <w:r>
        <w:rPr/>
        <w:t> 比例增加其账面价值。</w:t>
      </w:r>
    </w:p>
    <w:p>
      <w:pPr>
        <w:pStyle w:val="BodyText"/>
        <w:spacing w:line="300" w:lineRule="auto" w:before="139"/>
        <w:ind w:right="291" w:firstLine="360"/>
        <w:jc w:val="both"/>
      </w:pPr>
      <w:r>
        <w:rPr/>
        <w:t>（</w:t>
      </w:r>
      <w:r>
        <w:rPr>
          <w:rFonts w:ascii="Times New Roman" w:hAnsi="Times New Roman" w:cs="Times New Roman" w:eastAsia="Times New Roman" w:hint="default"/>
        </w:rPr>
        <w:t>6</w:t>
      </w:r>
      <w:r>
        <w:rPr/>
        <w:t>）持有待售的非流动资产或处置组中的非流动资产不计提折旧或摊销，持有待售的处置组中负债的利息和其他费用 继续予以确认。</w:t>
      </w:r>
    </w:p>
    <w:p>
      <w:pPr>
        <w:pStyle w:val="BodyText"/>
        <w:spacing w:line="300" w:lineRule="auto" w:before="151"/>
        <w:ind w:right="292" w:firstLine="360"/>
        <w:jc w:val="both"/>
      </w:pPr>
      <w:r>
        <w:rPr/>
        <w:t>（</w:t>
      </w:r>
      <w:r>
        <w:rPr>
          <w:rFonts w:ascii="Times New Roman" w:hAnsi="Times New Roman" w:cs="Times New Roman" w:eastAsia="Times New Roman" w:hint="default"/>
        </w:rPr>
        <w:t>7</w:t>
      </w:r>
      <w:r>
        <w:rPr/>
        <w:t>）持有待售的非流动资产或处置组因不再满足持有待售类别的划分条件，而不再继续划分为持有待售类别或非流动 资产从持有待售的处置组中移除时，按照以下两者孰低计量：</w:t>
      </w:r>
      <w:r>
        <w:rPr>
          <w:rFonts w:ascii="Times New Roman" w:hAnsi="Times New Roman" w:cs="Times New Roman" w:eastAsia="Times New Roman" w:hint="default"/>
        </w:rPr>
        <w:t>1</w:t>
      </w:r>
      <w:r>
        <w:rPr/>
        <w:t>）划分为持有待售类别前的账面价值，按照假定不划分为持</w:t>
      </w:r>
      <w:r>
        <w:rPr>
          <w:spacing w:val="-83"/>
        </w:rPr>
        <w:t> </w:t>
      </w:r>
      <w:r>
        <w:rPr>
          <w:spacing w:val="-83"/>
        </w:rPr>
      </w:r>
      <w:r>
        <w:rPr/>
        <w:t>有待售类别情况下本应确认的折旧、摊销或减值等进行调整后的金额；</w:t>
      </w:r>
      <w:r>
        <w:rPr>
          <w:rFonts w:ascii="Times New Roman" w:hAnsi="Times New Roman" w:cs="Times New Roman" w:eastAsia="Times New Roman" w:hint="default"/>
        </w:rPr>
        <w:t>2</w:t>
      </w:r>
      <w:r>
        <w:rPr/>
        <w:t>）</w:t>
      </w:r>
      <w:r>
        <w:rPr>
          <w:spacing w:val="-16"/>
        </w:rPr>
        <w:t> </w:t>
      </w:r>
      <w:r>
        <w:rPr/>
        <w:t>可收回金额。</w:t>
      </w:r>
    </w:p>
    <w:p>
      <w:pPr>
        <w:pStyle w:val="BodyText"/>
        <w:spacing w:line="240" w:lineRule="auto" w:before="133"/>
        <w:ind w:left="513" w:right="0"/>
        <w:jc w:val="left"/>
      </w:pPr>
      <w:r>
        <w:rPr/>
        <w:t>（</w:t>
      </w:r>
      <w:r>
        <w:rPr>
          <w:rFonts w:ascii="Times New Roman" w:hAnsi="Times New Roman" w:cs="Times New Roman" w:eastAsia="Times New Roman" w:hint="default"/>
        </w:rPr>
        <w:t>8</w:t>
      </w:r>
      <w:r>
        <w:rPr/>
        <w:t>）终止确认持有待售的非流动资产或处置组时，将尚未确认的利得或损失计入当期损益。</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14</w:t>
      </w:r>
      <w:r>
        <w:rPr/>
        <w:t>、长期股权投资</w:t>
      </w:r>
      <w:r>
        <w:rPr>
          <w:b w:val="0"/>
          <w:bCs w:val="0"/>
        </w:rPr>
      </w:r>
    </w:p>
    <w:p>
      <w:pPr>
        <w:pStyle w:val="BodyText"/>
        <w:spacing w:line="550" w:lineRule="atLeast" w:before="27"/>
        <w:ind w:left="592" w:right="294" w:firstLine="110"/>
        <w:jc w:val="left"/>
      </w:pPr>
      <w:r>
        <w:rPr/>
        <w:t>本集团长期股权投资主要是对子公司的投资、对联营企业的投资和对合营企业的投资。 本集团对共同控制的判断依据是所有参与方或参与方组合集体控制该安排，并且该安排相关活动的政策必须经过这些</w:t>
      </w:r>
    </w:p>
    <w:p>
      <w:pPr>
        <w:pStyle w:val="BodyText"/>
        <w:spacing w:line="240" w:lineRule="auto" w:before="76"/>
        <w:ind w:right="0"/>
        <w:jc w:val="left"/>
      </w:pPr>
      <w:r>
        <w:rPr/>
        <w:t>集体控制该安排的参与方一致同意。</w:t>
      </w:r>
    </w:p>
    <w:p>
      <w:pPr>
        <w:spacing w:after="0" w:line="240" w:lineRule="auto"/>
        <w:jc w:val="left"/>
        <w:sectPr>
          <w:pgSz w:w="11910" w:h="16840"/>
          <w:pgMar w:header="745" w:footer="979" w:top="1060" w:bottom="1160" w:left="980" w:right="840"/>
        </w:sectPr>
      </w:pPr>
    </w:p>
    <w:p>
      <w:pPr>
        <w:spacing w:line="240" w:lineRule="auto" w:before="9"/>
        <w:rPr>
          <w:rFonts w:ascii="宋体" w:hAnsi="宋体" w:cs="宋体" w:eastAsia="宋体" w:hint="default"/>
          <w:sz w:val="25"/>
          <w:szCs w:val="25"/>
        </w:rPr>
      </w:pPr>
    </w:p>
    <w:p>
      <w:pPr>
        <w:pStyle w:val="BodyText"/>
        <w:spacing w:line="307" w:lineRule="auto" w:before="44"/>
        <w:ind w:right="290" w:firstLine="439"/>
        <w:jc w:val="both"/>
      </w:pPr>
      <w:r>
        <w:rPr/>
        <w:t>本集团直接或通过子公司间接拥有被投资单位</w:t>
      </w:r>
      <w:r>
        <w:rPr>
          <w:rFonts w:ascii="Times New Roman" w:hAnsi="Times New Roman" w:cs="Times New Roman" w:eastAsia="Times New Roman" w:hint="default"/>
        </w:rPr>
        <w:t>20%</w:t>
      </w:r>
      <w:r>
        <w:rPr/>
        <w:t>（含）以上但低于</w:t>
      </w:r>
      <w:r>
        <w:rPr>
          <w:rFonts w:ascii="Times New Roman" w:hAnsi="Times New Roman" w:cs="Times New Roman" w:eastAsia="Times New Roman" w:hint="default"/>
        </w:rPr>
        <w:t>50%</w:t>
      </w:r>
      <w:r>
        <w:rPr/>
        <w:t>的表决权时，通常认为对被投资单位具有重 </w:t>
      </w:r>
      <w:r>
        <w:rPr>
          <w:spacing w:val="-1"/>
        </w:rPr>
        <w:t>大影响。持有被投资单位</w:t>
      </w:r>
      <w:r>
        <w:rPr>
          <w:rFonts w:ascii="Times New Roman" w:hAnsi="Times New Roman" w:cs="Times New Roman" w:eastAsia="Times New Roman" w:hint="default"/>
          <w:spacing w:val="-1"/>
        </w:rPr>
        <w:t>20%</w:t>
      </w:r>
      <w:r>
        <w:rPr>
          <w:spacing w:val="-1"/>
        </w:rPr>
        <w:t>以下表决权的，还需要综合考虑在被投资单位的董事会或类似权力机构中派有代表、或参与被</w:t>
      </w:r>
      <w:r>
        <w:rPr>
          <w:spacing w:val="-88"/>
        </w:rPr>
        <w:t> </w:t>
      </w:r>
      <w:r>
        <w:rPr>
          <w:spacing w:val="-88"/>
        </w:rPr>
      </w:r>
      <w:r>
        <w:rPr>
          <w:spacing w:val="-2"/>
        </w:rPr>
        <w:t>投资单位财务和经营政策制定过程、或与被投资单位之间发生重要交易、或向被投资单位派出管理人员、或向被投资单位提</w:t>
      </w:r>
      <w:r>
        <w:rPr>
          <w:spacing w:val="-63"/>
        </w:rPr>
        <w:t> </w:t>
      </w:r>
      <w:r>
        <w:rPr>
          <w:spacing w:val="-63"/>
        </w:rPr>
      </w:r>
      <w:r>
        <w:rPr/>
        <w:t>供关键技术资料等事实和情况判断对被投资单位具有重大影响。</w:t>
      </w:r>
    </w:p>
    <w:p>
      <w:pPr>
        <w:spacing w:line="240" w:lineRule="auto" w:before="4"/>
        <w:rPr>
          <w:rFonts w:ascii="宋体" w:hAnsi="宋体" w:cs="宋体" w:eastAsia="宋体" w:hint="default"/>
          <w:sz w:val="20"/>
          <w:szCs w:val="20"/>
        </w:rPr>
      </w:pPr>
    </w:p>
    <w:p>
      <w:pPr>
        <w:pStyle w:val="BodyText"/>
        <w:spacing w:line="316" w:lineRule="auto"/>
        <w:ind w:right="293" w:firstLine="439"/>
        <w:jc w:val="both"/>
      </w:pPr>
      <w:r>
        <w:rPr/>
        <w:t>对被投资单位形成控制的，为本集团的子公司。通过同一控制下的企业合并取得的长期股权投资，在合并日按照取得 </w:t>
      </w:r>
      <w:r>
        <w:rPr>
          <w:spacing w:val="-2"/>
        </w:rPr>
        <w:t>被合并方在最终控制方合并报表中净资产的账面价值的份额作为长期股权投资的初始投资成本。被合并方在合并日的净资产</w:t>
      </w:r>
      <w:r>
        <w:rPr>
          <w:spacing w:val="-64"/>
        </w:rPr>
        <w:t> </w:t>
      </w:r>
      <w:r>
        <w:rPr>
          <w:spacing w:val="-64"/>
        </w:rPr>
      </w:r>
      <w:r>
        <w:rPr/>
        <w:t>账面价值为负数的，长期股权投资成本按零确定。</w:t>
      </w:r>
    </w:p>
    <w:p>
      <w:pPr>
        <w:spacing w:line="240" w:lineRule="auto" w:before="10"/>
        <w:rPr>
          <w:rFonts w:ascii="宋体" w:hAnsi="宋体" w:cs="宋体" w:eastAsia="宋体" w:hint="default"/>
          <w:sz w:val="19"/>
          <w:szCs w:val="19"/>
        </w:rPr>
      </w:pPr>
    </w:p>
    <w:p>
      <w:pPr>
        <w:pStyle w:val="BodyText"/>
        <w:spacing w:line="319" w:lineRule="auto"/>
        <w:ind w:right="292" w:firstLine="439"/>
        <w:jc w:val="both"/>
      </w:pPr>
      <w:r>
        <w:rPr/>
        <w:t>通过多次交易分步取得同一控制下被投资单位的股权，最终形成企业合并的，属于一揽子交易的，本集团将各项交易 </w:t>
      </w:r>
      <w:r>
        <w:rPr>
          <w:spacing w:val="-2"/>
        </w:rPr>
        <w:t>作为一项取得控制权的交易进行会计处理。不属于一揽子交易的，在合并日，根据合并后享有被合并方净资产在最终控制方</w:t>
      </w:r>
      <w:r>
        <w:rPr>
          <w:spacing w:val="-66"/>
        </w:rPr>
        <w:t> </w:t>
      </w:r>
      <w:r>
        <w:rPr>
          <w:spacing w:val="-66"/>
        </w:rPr>
      </w:r>
      <w:r>
        <w:rPr>
          <w:spacing w:val="-2"/>
        </w:rPr>
        <w:t>合并财务报表中的账面价值的份额作为长期股权投资的初始投资成本。初始投资成本与达到合并前的长期股权投资账面价值</w:t>
      </w:r>
      <w:r>
        <w:rPr>
          <w:spacing w:val="-63"/>
        </w:rPr>
        <w:t> </w:t>
      </w:r>
      <w:r>
        <w:rPr>
          <w:spacing w:val="-63"/>
        </w:rPr>
      </w:r>
      <w:r>
        <w:rPr/>
        <w:t>加上合并日进一步取得股份新支付对价的账面价值之和的差额，调整资本公积，资本公积不足冲减的，冲减留存收益。</w:t>
      </w:r>
    </w:p>
    <w:p>
      <w:pPr>
        <w:pStyle w:val="BodyText"/>
        <w:spacing w:line="552" w:lineRule="exact" w:before="25"/>
        <w:ind w:left="592" w:right="294"/>
        <w:jc w:val="left"/>
      </w:pPr>
      <w:r>
        <w:rPr/>
        <w:t>通过非同一控制下的企业合并取得的长期股权投资，以合并成本作为初始投资成本。 通过多次交易分步取得非同一控制下被投资单位的股权，最终形成企业合并的，属于一揽子交易的，本集团将各项交</w:t>
      </w:r>
    </w:p>
    <w:p>
      <w:pPr>
        <w:pStyle w:val="BodyText"/>
        <w:spacing w:line="316" w:lineRule="auto"/>
        <w:ind w:right="0"/>
        <w:jc w:val="left"/>
      </w:pPr>
      <w:r>
        <w:rPr>
          <w:spacing w:val="-4"/>
        </w:rPr>
        <w:t>易作为一项取得控制权的交易进行会计处理。不属于一揽子交易的，按照原持有的股权投资账面价值加上新增投资成本之和，</w:t>
      </w:r>
      <w:r>
        <w:rPr>
          <w:spacing w:val="-44"/>
        </w:rPr>
        <w:t> </w:t>
      </w:r>
      <w:r>
        <w:rPr>
          <w:spacing w:val="-44"/>
        </w:rPr>
      </w:r>
      <w:r>
        <w:rPr>
          <w:spacing w:val="-2"/>
        </w:rPr>
        <w:t>作为改按成本法核算的初始投资成本。购买日之前持有的股权采用权益法核算的，原权益法核算的相关其他综合收益暂不做</w:t>
      </w:r>
      <w:r>
        <w:rPr>
          <w:spacing w:val="-63"/>
        </w:rPr>
        <w:t> </w:t>
      </w:r>
      <w:r>
        <w:rPr>
          <w:spacing w:val="-63"/>
        </w:rPr>
      </w:r>
      <w:r>
        <w:rPr>
          <w:spacing w:val="-2"/>
        </w:rPr>
        <w:t>调整，在处置该项投资时采用与被投资单位直接处置相关资产或负债相同的基础进行会计处理。购买日之前持有的股权在可</w:t>
      </w:r>
      <w:r>
        <w:rPr>
          <w:spacing w:val="-64"/>
        </w:rPr>
        <w:t> </w:t>
      </w:r>
      <w:r>
        <w:rPr>
          <w:spacing w:val="-64"/>
        </w:rPr>
      </w:r>
      <w:r>
        <w:rPr/>
        <w:t>供出售金融资产中采用公允价值核算的，原计入其他综合收益的累计公允价值变动在合并日转入当期投资损益。</w:t>
      </w:r>
    </w:p>
    <w:p>
      <w:pPr>
        <w:spacing w:line="240" w:lineRule="auto" w:before="10"/>
        <w:rPr>
          <w:rFonts w:ascii="宋体" w:hAnsi="宋体" w:cs="宋体" w:eastAsia="宋体" w:hint="default"/>
          <w:sz w:val="19"/>
          <w:szCs w:val="19"/>
        </w:rPr>
      </w:pPr>
    </w:p>
    <w:p>
      <w:pPr>
        <w:pStyle w:val="BodyText"/>
        <w:spacing w:line="319" w:lineRule="auto"/>
        <w:ind w:right="194" w:firstLine="439"/>
        <w:jc w:val="left"/>
      </w:pPr>
      <w:r>
        <w:rPr/>
        <w:t>除上述通过企业合并取得的长期股权投资外，以支付现金取得的长期股权投资，按照实际支付的购买价款作为投资成 本；以发行权益性证券取得的长期股权投资，按照发行权益性证券的公允价值作为投资成本；投资者投入的长期股权投资，</w:t>
      </w:r>
      <w:r>
        <w:rPr>
          <w:spacing w:val="-83"/>
        </w:rPr>
        <w:t> </w:t>
      </w:r>
      <w:r>
        <w:rPr>
          <w:spacing w:val="-83"/>
        </w:rPr>
      </w:r>
      <w:r>
        <w:rPr/>
        <w:t>按照投资合同或协议约定的价值作为投资成本。</w:t>
      </w:r>
    </w:p>
    <w:p>
      <w:pPr>
        <w:pStyle w:val="BodyText"/>
        <w:spacing w:line="552" w:lineRule="exact" w:before="25"/>
        <w:ind w:left="592" w:right="294"/>
        <w:jc w:val="left"/>
      </w:pPr>
      <w:r>
        <w:rPr/>
        <w:t>本集团对子公司投资采用成本法核算，对合营企业及联营企业投资采用权益法核算。 后续计量采用成本法核算的长期股权投资，在追加投资时，按照追加投资支付的成本额公允价值及发生的相关交易费</w:t>
      </w:r>
    </w:p>
    <w:p>
      <w:pPr>
        <w:pStyle w:val="BodyText"/>
        <w:spacing w:line="227" w:lineRule="exact"/>
        <w:ind w:right="0"/>
        <w:jc w:val="left"/>
      </w:pPr>
      <w:r>
        <w:rPr/>
        <w:t>用增加长期股权投资成本的账面价值。被投资单位宣告分派的现金股利或利润，按照应享有的金额确认为当期投资收益。</w:t>
      </w:r>
    </w:p>
    <w:p>
      <w:pPr>
        <w:spacing w:line="240" w:lineRule="auto" w:before="2"/>
        <w:rPr>
          <w:rFonts w:ascii="宋体" w:hAnsi="宋体" w:cs="宋体" w:eastAsia="宋体" w:hint="default"/>
          <w:sz w:val="24"/>
          <w:szCs w:val="24"/>
        </w:rPr>
      </w:pPr>
    </w:p>
    <w:p>
      <w:pPr>
        <w:pStyle w:val="BodyText"/>
        <w:spacing w:line="316" w:lineRule="auto"/>
        <w:ind w:right="194" w:firstLine="439"/>
        <w:jc w:val="left"/>
      </w:pPr>
      <w:r>
        <w:rPr/>
        <w:t>后续计量采用权益法核算的长期股权投资，随着被他投资单位所有者权益的变动相应调整增加或减少长期股权投资的 账面价值。其中在确认应享有被投资单位净损益的份额时，以取得投资时被投资单位各项可辨认资产等的公允价值为基础，</w:t>
      </w:r>
      <w:r>
        <w:rPr>
          <w:spacing w:val="-83"/>
        </w:rPr>
        <w:t> </w:t>
      </w:r>
      <w:r>
        <w:rPr>
          <w:spacing w:val="-83"/>
        </w:rPr>
      </w:r>
      <w:r>
        <w:rPr>
          <w:spacing w:val="-2"/>
        </w:rPr>
        <w:t>按照本集团的会计政策及会计期间，并抵销与联营企业及合营企业之间发生的内部交易损益按照持股比例计算归属于投资企</w:t>
      </w:r>
      <w:r>
        <w:rPr>
          <w:spacing w:val="-64"/>
        </w:rPr>
        <w:t> </w:t>
      </w:r>
      <w:r>
        <w:rPr>
          <w:spacing w:val="-64"/>
        </w:rPr>
      </w:r>
      <w:r>
        <w:rPr/>
        <w:t>业的部分，对被投资单位的净利润进行调整后确认。</w:t>
      </w:r>
    </w:p>
    <w:p>
      <w:pPr>
        <w:spacing w:line="240" w:lineRule="auto" w:before="11"/>
        <w:rPr>
          <w:rFonts w:ascii="宋体" w:hAnsi="宋体" w:cs="宋体" w:eastAsia="宋体" w:hint="default"/>
          <w:sz w:val="19"/>
          <w:szCs w:val="19"/>
        </w:rPr>
      </w:pPr>
    </w:p>
    <w:p>
      <w:pPr>
        <w:pStyle w:val="BodyText"/>
        <w:spacing w:line="316" w:lineRule="auto"/>
        <w:ind w:right="293" w:firstLine="439"/>
        <w:jc w:val="both"/>
      </w:pPr>
      <w:r>
        <w:rPr/>
        <w:t>处置长期股权投资，其账面价值与实际取得价款的差额，计入当期投资收益。采用权益法核算的长期股权投资，因被 </w:t>
      </w:r>
      <w:r>
        <w:rPr>
          <w:spacing w:val="-2"/>
        </w:rPr>
        <w:t>投资单位除净损益以外所有者权益的其他变动而计入所有者权益的，处置该项投资时将原计入所有者权益的部分按相应比例</w:t>
      </w:r>
      <w:r>
        <w:rPr>
          <w:spacing w:val="-64"/>
        </w:rPr>
        <w:t> </w:t>
      </w:r>
      <w:r>
        <w:rPr>
          <w:spacing w:val="-64"/>
        </w:rPr>
      </w:r>
      <w:r>
        <w:rPr/>
        <w:t>转入当期投资损益。</w:t>
      </w:r>
    </w:p>
    <w:p>
      <w:pPr>
        <w:spacing w:line="240" w:lineRule="auto" w:before="10"/>
        <w:rPr>
          <w:rFonts w:ascii="宋体" w:hAnsi="宋体" w:cs="宋体" w:eastAsia="宋体" w:hint="default"/>
          <w:sz w:val="19"/>
          <w:szCs w:val="19"/>
        </w:rPr>
      </w:pPr>
    </w:p>
    <w:p>
      <w:pPr>
        <w:pStyle w:val="BodyText"/>
        <w:spacing w:line="316" w:lineRule="auto"/>
        <w:ind w:right="0" w:firstLine="439"/>
        <w:jc w:val="left"/>
      </w:pPr>
      <w:r>
        <w:rPr/>
        <w:t>因处置部分股权投资等原因丧失了对被投资单位的共同控制或重大影响的，处置后的剩余股权改按可供出售金融资产 核算，剩余股权在丧失共同控制或重大影响之日的公允价值与账面价值之间的差额计入当期损益。原股权投资因采用权益法 </w:t>
      </w:r>
      <w:r>
        <w:rPr>
          <w:spacing w:val="-2"/>
        </w:rPr>
        <w:t>核算而确认的其他综合收益，在终止采用权益法核算时采用与被投资单位直接处置相关资产或负债相同的基础进行会计处理。</w:t>
      </w:r>
    </w:p>
    <w:p>
      <w:pPr>
        <w:spacing w:line="240" w:lineRule="auto" w:before="10"/>
        <w:rPr>
          <w:rFonts w:ascii="宋体" w:hAnsi="宋体" w:cs="宋体" w:eastAsia="宋体" w:hint="default"/>
          <w:sz w:val="19"/>
          <w:szCs w:val="19"/>
        </w:rPr>
      </w:pPr>
    </w:p>
    <w:p>
      <w:pPr>
        <w:pStyle w:val="BodyText"/>
        <w:spacing w:line="316" w:lineRule="auto"/>
        <w:ind w:right="293" w:firstLine="439"/>
        <w:jc w:val="both"/>
      </w:pPr>
      <w:r>
        <w:rPr/>
        <w:t>因处置部分长期股权投资丧失了对被投资单位控制的，处置后的剩余股权能够对被投资单位实施共同控制或施加重大 </w:t>
      </w:r>
      <w:r>
        <w:rPr>
          <w:spacing w:val="-2"/>
        </w:rPr>
        <w:t>影响的，改按权益法核算，处置股权账面价值和处置对价的差额计入投资收益，并对该剩余股权视同自取得时即采用权益法</w:t>
      </w:r>
      <w:r>
        <w:rPr>
          <w:spacing w:val="-66"/>
        </w:rPr>
        <w:t> </w:t>
      </w:r>
      <w:r>
        <w:rPr>
          <w:spacing w:val="-66"/>
        </w:rPr>
      </w:r>
      <w:r>
        <w:rPr>
          <w:spacing w:val="-2"/>
        </w:rPr>
        <w:t>核算进行调整；处置后的剩余股权不能对被投资单位实施共同控制或施加重大影响的，改按可供出售金融资产的有关规定进</w:t>
      </w:r>
    </w:p>
    <w:p>
      <w:pPr>
        <w:spacing w:after="0" w:line="316" w:lineRule="auto"/>
        <w:jc w:val="both"/>
        <w:sectPr>
          <w:pgSz w:w="11910" w:h="16840"/>
          <w:pgMar w:header="745" w:footer="979" w:top="1060" w:bottom="1160" w:left="980" w:right="840"/>
        </w:sectPr>
      </w:pPr>
    </w:p>
    <w:p>
      <w:pPr>
        <w:spacing w:line="240" w:lineRule="auto" w:before="9"/>
        <w:rPr>
          <w:rFonts w:ascii="宋体" w:hAnsi="宋体" w:cs="宋体" w:eastAsia="宋体" w:hint="default"/>
          <w:sz w:val="25"/>
          <w:szCs w:val="25"/>
        </w:rPr>
      </w:pPr>
    </w:p>
    <w:p>
      <w:pPr>
        <w:pStyle w:val="BodyText"/>
        <w:spacing w:line="319" w:lineRule="auto" w:before="44"/>
        <w:ind w:right="0"/>
        <w:jc w:val="left"/>
      </w:pPr>
      <w:r>
        <w:rPr>
          <w:spacing w:val="-2"/>
        </w:rPr>
        <w:t>行会计处理，处置股权账面价值和处置对价的差额计入投资收益，剩余股权在丧失控制之日的公允价值与账面价值间的差额</w:t>
      </w:r>
      <w:r>
        <w:rPr>
          <w:spacing w:val="-64"/>
        </w:rPr>
        <w:t> </w:t>
      </w:r>
      <w:r>
        <w:rPr>
          <w:spacing w:val="-64"/>
        </w:rPr>
      </w:r>
      <w:r>
        <w:rPr/>
        <w:t>计入当期投资损益。</w:t>
      </w:r>
    </w:p>
    <w:p>
      <w:pPr>
        <w:spacing w:line="240" w:lineRule="auto" w:before="8"/>
        <w:rPr>
          <w:rFonts w:ascii="宋体" w:hAnsi="宋体" w:cs="宋体" w:eastAsia="宋体" w:hint="default"/>
          <w:sz w:val="19"/>
          <w:szCs w:val="19"/>
        </w:rPr>
      </w:pPr>
    </w:p>
    <w:p>
      <w:pPr>
        <w:pStyle w:val="BodyText"/>
        <w:spacing w:line="307" w:lineRule="auto"/>
        <w:ind w:right="153" w:firstLine="439"/>
        <w:jc w:val="both"/>
      </w:pPr>
      <w:r>
        <w:rPr>
          <w:spacing w:val="-2"/>
        </w:rPr>
        <w:t>本集团对于分步处置股权至丧失控股权的各项交易不属于一揽子交易的，对每一项交易分别进行会计处理。属于</w:t>
      </w:r>
      <w:r>
        <w:rPr>
          <w:rFonts w:ascii="Times New Roman" w:hAnsi="Times New Roman" w:cs="Times New Roman" w:eastAsia="Times New Roman" w:hint="default"/>
          <w:spacing w:val="-2"/>
        </w:rPr>
        <w:t>“</w:t>
      </w:r>
      <w:r>
        <w:rPr>
          <w:spacing w:val="-2"/>
        </w:rPr>
        <w:t>一揽</w:t>
      </w:r>
      <w:r>
        <w:rPr/>
        <w:t> 子交易</w:t>
      </w:r>
      <w:r>
        <w:rPr>
          <w:rFonts w:ascii="Times New Roman" w:hAnsi="Times New Roman" w:cs="Times New Roman" w:eastAsia="Times New Roman" w:hint="default"/>
        </w:rPr>
        <w:t>”</w:t>
      </w:r>
      <w:r>
        <w:rPr/>
        <w:t>的，将各项交易作为一项处置子公司并丧失控制权的交易进行会计处理，但是，在丧失控制权之前每一次交易处置</w:t>
      </w:r>
      <w:r>
        <w:rPr>
          <w:spacing w:val="-76"/>
        </w:rPr>
        <w:t> </w:t>
      </w:r>
      <w:r>
        <w:rPr>
          <w:spacing w:val="-76"/>
        </w:rPr>
      </w:r>
      <w:r>
        <w:rPr>
          <w:spacing w:val="-2"/>
        </w:rPr>
        <w:t>价款与所处置的股权对应的长期股权投资账面价值之间的差额，确认为其他综合收益，到丧失控制权时再一并转入丧失控制</w:t>
      </w:r>
      <w:r>
        <w:rPr>
          <w:spacing w:val="-64"/>
        </w:rPr>
        <w:t> </w:t>
      </w:r>
      <w:r>
        <w:rPr>
          <w:spacing w:val="-64"/>
        </w:rPr>
      </w:r>
      <w:r>
        <w:rPr/>
        <w:t>权的当期损益。</w:t>
      </w:r>
    </w:p>
    <w:p>
      <w:pPr>
        <w:spacing w:line="240" w:lineRule="auto" w:before="4"/>
        <w:rPr>
          <w:rFonts w:ascii="宋体" w:hAnsi="宋体" w:cs="宋体" w:eastAsia="宋体" w:hint="default"/>
          <w:sz w:val="23"/>
          <w:szCs w:val="23"/>
        </w:rPr>
      </w:pPr>
    </w:p>
    <w:p>
      <w:pPr>
        <w:pStyle w:val="Heading5"/>
        <w:spacing w:line="240" w:lineRule="auto"/>
        <w:ind w:right="0"/>
        <w:jc w:val="left"/>
        <w:rPr>
          <w:b w:val="0"/>
          <w:bCs w:val="0"/>
        </w:rPr>
      </w:pPr>
      <w:r>
        <w:rPr>
          <w:rFonts w:ascii="Times New Roman" w:hAnsi="Times New Roman" w:cs="Times New Roman" w:eastAsia="Times New Roman" w:hint="default"/>
        </w:rPr>
        <w:t>15</w:t>
      </w:r>
      <w:r>
        <w:rPr/>
        <w:t>、投资性房地产</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7974"/>
        <w:jc w:val="left"/>
      </w:pPr>
      <w:r>
        <w:rPr/>
        <w:t>投资性房地产计量模式 不适用</w:t>
      </w:r>
    </w:p>
    <w:p>
      <w:pPr>
        <w:spacing w:line="240" w:lineRule="auto" w:before="6"/>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16</w:t>
      </w:r>
      <w:r>
        <w:rPr/>
        <w:t>、固定资产</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）确认条件</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50" w:firstLine="360"/>
        <w:jc w:val="both"/>
      </w:pPr>
      <w:r>
        <w:rPr>
          <w:spacing w:val="-2"/>
        </w:rPr>
        <w:t>本集团固定资产是指同时具有以下特征，即为生产商品、提供劳务、出租（不包括出租的房屋及建筑物）或经营管理而</w:t>
      </w:r>
      <w:r>
        <w:rPr/>
        <w:t> </w:t>
      </w:r>
      <w:r>
        <w:rPr>
          <w:spacing w:val="-2"/>
        </w:rPr>
        <w:t>持有的，使用年限超过一年的有形资产。固定资产在与其有关的经济利益很可能流入本集团、且其成本能够可靠计量时予以</w:t>
      </w:r>
      <w:r>
        <w:rPr>
          <w:spacing w:val="-63"/>
        </w:rPr>
        <w:t> </w:t>
      </w:r>
      <w:r>
        <w:rPr>
          <w:spacing w:val="-63"/>
        </w:rPr>
      </w:r>
      <w:r>
        <w:rPr/>
        <w:t>确认。</w:t>
      </w:r>
    </w:p>
    <w:p>
      <w:pPr>
        <w:spacing w:line="240" w:lineRule="auto" w:before="10"/>
        <w:rPr>
          <w:rFonts w:ascii="宋体" w:hAnsi="宋体" w:cs="宋体" w:eastAsia="宋体" w:hint="default"/>
          <w:sz w:val="22"/>
          <w:szCs w:val="22"/>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）折旧方法</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916"/>
        <w:gridCol w:w="1913"/>
        <w:gridCol w:w="1916"/>
        <w:gridCol w:w="1913"/>
        <w:gridCol w:w="1916"/>
      </w:tblGrid>
      <w:tr>
        <w:trPr>
          <w:trHeight w:val="401"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30-50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1.9-3.17</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楼宇设备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8-20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4.75-11.875</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w:t>
            </w:r>
          </w:p>
        </w:tc>
      </w:tr>
      <w:tr>
        <w:trPr>
          <w:trHeight w:val="401"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19-31.67</w:t>
            </w:r>
          </w:p>
        </w:tc>
      </w:tr>
      <w:tr>
        <w:trPr>
          <w:trHeight w:val="403" w:hRule="exact"/>
        </w:trPr>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19-31.67</w:t>
            </w:r>
          </w:p>
        </w:tc>
      </w:tr>
    </w:tbl>
    <w:p>
      <w:pPr>
        <w:spacing w:line="240" w:lineRule="auto" w:before="3"/>
        <w:rPr>
          <w:rFonts w:ascii="宋体" w:hAnsi="宋体" w:cs="宋体" w:eastAsia="宋体" w:hint="default"/>
          <w:b/>
          <w:bCs/>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17</w:t>
      </w:r>
      <w:r>
        <w:rPr/>
        <w:t>、在建工程</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6714"/>
        <w:jc w:val="left"/>
      </w:pPr>
      <w:r>
        <w:rPr/>
        <w:t>公司是否需要遵守特殊行业的披露要求 否</w:t>
      </w:r>
    </w:p>
    <w:p>
      <w:pPr>
        <w:pStyle w:val="BodyText"/>
        <w:spacing w:line="316" w:lineRule="auto" w:before="106"/>
        <w:ind w:right="0" w:firstLine="360"/>
        <w:jc w:val="left"/>
      </w:pPr>
      <w:r>
        <w:rPr>
          <w:spacing w:val="-2"/>
        </w:rPr>
        <w:t>在建工程在达到预定可使用状态之日起，根据工程预算、造价或工程实际成本等，按估计的价值结转固定资产，次月起</w:t>
      </w:r>
      <w:r>
        <w:rPr/>
        <w:t> 开始计提折旧，待办理了竣工决算手续后再对固定资产原值差异进行调整。</w:t>
      </w:r>
    </w:p>
    <w:p>
      <w:pPr>
        <w:spacing w:after="0" w:line="316"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94"/>
        <w:jc w:val="left"/>
        <w:rPr>
          <w:b w:val="0"/>
          <w:bCs w:val="0"/>
        </w:rPr>
      </w:pPr>
      <w:r>
        <w:rPr>
          <w:rFonts w:ascii="Times New Roman" w:hAnsi="Times New Roman" w:cs="Times New Roman" w:eastAsia="Times New Roman" w:hint="default"/>
        </w:rPr>
        <w:t>18</w:t>
      </w:r>
      <w:r>
        <w:rPr/>
        <w:t>、借款费用</w:t>
      </w:r>
      <w:r>
        <w:rPr>
          <w:b w:val="0"/>
          <w:bCs w:val="0"/>
        </w:rPr>
      </w:r>
    </w:p>
    <w:p>
      <w:pPr>
        <w:spacing w:line="240" w:lineRule="auto" w:before="5"/>
        <w:rPr>
          <w:rFonts w:ascii="宋体" w:hAnsi="宋体" w:cs="宋体" w:eastAsia="宋体" w:hint="default"/>
          <w:b/>
          <w:bCs/>
          <w:sz w:val="26"/>
          <w:szCs w:val="26"/>
        </w:rPr>
      </w:pPr>
    </w:p>
    <w:p>
      <w:pPr>
        <w:pStyle w:val="BodyText"/>
        <w:spacing w:line="314" w:lineRule="auto"/>
        <w:ind w:right="94" w:firstLine="439"/>
        <w:jc w:val="left"/>
      </w:pPr>
      <w:r>
        <w:rPr>
          <w:spacing w:val="-2"/>
        </w:rPr>
        <w:t>发生的可直接归属于需要经过</w:t>
      </w:r>
      <w:r>
        <w:rPr>
          <w:rFonts w:ascii="Times New Roman" w:hAnsi="Times New Roman" w:cs="Times New Roman" w:eastAsia="Times New Roman" w:hint="default"/>
          <w:spacing w:val="-2"/>
        </w:rPr>
        <w:t>1</w:t>
      </w:r>
      <w:r>
        <w:rPr>
          <w:spacing w:val="-2"/>
        </w:rPr>
        <w:t>年以上的购建或者生产活动才能达到预定可使用或者可销售状态的固定资产、投资性房</w:t>
      </w:r>
      <w:r>
        <w:rPr/>
        <w:t> </w:t>
      </w:r>
      <w:r>
        <w:rPr>
          <w:spacing w:val="-2"/>
        </w:rPr>
        <w:t>地产和存货等的借款费用，在资产支出已经发生、借款费用已经发生、为使资产达到预定可使用或可销售状态所必要的购建</w:t>
      </w:r>
      <w:r>
        <w:rPr>
          <w:spacing w:val="-63"/>
        </w:rPr>
        <w:t> </w:t>
      </w:r>
      <w:r>
        <w:rPr>
          <w:spacing w:val="-63"/>
        </w:rPr>
      </w:r>
      <w:r>
        <w:rPr/>
        <w:t>或生产活动已经开始时，开始资本化；当购建或生产符合资本化条件的资产达到预定可使用或可销售状态时，停止资本化，</w:t>
      </w:r>
      <w:r>
        <w:rPr>
          <w:spacing w:val="-83"/>
        </w:rPr>
        <w:t> </w:t>
      </w:r>
      <w:r>
        <w:rPr>
          <w:spacing w:val="-83"/>
        </w:rPr>
      </w:r>
      <w:r>
        <w:rPr>
          <w:spacing w:val="-2"/>
        </w:rPr>
        <w:t>其后发生的借款费用计入当期损益。如果符合资本化条件的资产在购建或者生产过程中发生非正常中断、且中断时间连续超</w:t>
      </w:r>
      <w:r>
        <w:rPr>
          <w:spacing w:val="-64"/>
        </w:rPr>
        <w:t> </w:t>
      </w:r>
      <w:r>
        <w:rPr>
          <w:spacing w:val="-64"/>
        </w:rPr>
      </w:r>
      <w:r>
        <w:rPr/>
        <w:t>过</w:t>
      </w:r>
      <w:r>
        <w:rPr>
          <w:rFonts w:ascii="Times New Roman" w:hAnsi="Times New Roman" w:cs="Times New Roman" w:eastAsia="Times New Roman" w:hint="default"/>
        </w:rPr>
        <w:t>3</w:t>
      </w:r>
      <w:r>
        <w:rPr/>
        <w:t>个月，暂停借款费用的资本化，直至资产的购建或生产活动重新开始。</w:t>
      </w:r>
    </w:p>
    <w:p>
      <w:pPr>
        <w:pStyle w:val="BodyText"/>
        <w:spacing w:line="316" w:lineRule="auto" w:before="121"/>
        <w:ind w:right="193" w:firstLine="439"/>
        <w:jc w:val="both"/>
      </w:pPr>
      <w:r>
        <w:rPr/>
        <w:t>专门借款当期实际发生的利息费用，扣除尚未动用的借款资金存入银行取得的利息收入或进行暂时性投资取得的投资 </w:t>
      </w:r>
      <w:r>
        <w:rPr>
          <w:spacing w:val="-2"/>
        </w:rPr>
        <w:t>收益后的金额予以资本化；一般借款根据累计资产支出超过专门借款部分的资产支出加权平均数乘以所占用一般借款的资本</w:t>
      </w:r>
      <w:r>
        <w:rPr>
          <w:spacing w:val="-64"/>
        </w:rPr>
        <w:t> </w:t>
      </w:r>
      <w:r>
        <w:rPr>
          <w:spacing w:val="-64"/>
        </w:rPr>
      </w:r>
      <w:r>
        <w:rPr/>
        <w:t>化率，确定资本化金额。资本化率根据一般借款加权平均利率计算确定。</w:t>
      </w:r>
    </w:p>
    <w:p>
      <w:pPr>
        <w:spacing w:line="240" w:lineRule="auto" w:before="11"/>
        <w:rPr>
          <w:rFonts w:ascii="宋体" w:hAnsi="宋体" w:cs="宋体" w:eastAsia="宋体" w:hint="default"/>
          <w:sz w:val="22"/>
          <w:szCs w:val="22"/>
        </w:rPr>
      </w:pPr>
    </w:p>
    <w:p>
      <w:pPr>
        <w:pStyle w:val="Heading5"/>
        <w:spacing w:line="240" w:lineRule="auto"/>
        <w:ind w:right="94"/>
        <w:jc w:val="left"/>
        <w:rPr>
          <w:b w:val="0"/>
          <w:bCs w:val="0"/>
        </w:rPr>
      </w:pPr>
      <w:r>
        <w:rPr>
          <w:rFonts w:ascii="Times New Roman" w:hAnsi="Times New Roman" w:cs="Times New Roman" w:eastAsia="Times New Roman" w:hint="default"/>
        </w:rPr>
        <w:t>19</w:t>
      </w:r>
      <w:r>
        <w:rPr/>
        <w:t>、生物资产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4"/>
        <w:jc w:val="left"/>
      </w:pPr>
      <w:r>
        <w:rPr/>
        <w:t>不适用</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rFonts w:ascii="Times New Roman" w:hAnsi="Times New Roman" w:cs="Times New Roman" w:eastAsia="Times New Roman" w:hint="default"/>
        </w:rPr>
        <w:t>20</w:t>
      </w:r>
      <w:r>
        <w:rPr/>
        <w:t>、油气资产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不适用</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rFonts w:ascii="Times New Roman" w:hAnsi="Times New Roman" w:cs="Times New Roman" w:eastAsia="Times New Roman" w:hint="default"/>
        </w:rPr>
        <w:t>21</w:t>
      </w:r>
      <w:r>
        <w:rPr/>
        <w:t>、无形资产</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94"/>
        <w:jc w:val="left"/>
        <w:rPr>
          <w:b w:val="0"/>
          <w:bCs w:val="0"/>
        </w:rPr>
      </w:pP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5"/>
        <w:rPr>
          <w:rFonts w:ascii="宋体" w:hAnsi="宋体" w:cs="宋体" w:eastAsia="宋体" w:hint="default"/>
          <w:b/>
          <w:bCs/>
          <w:sz w:val="26"/>
          <w:szCs w:val="26"/>
        </w:rPr>
      </w:pPr>
    </w:p>
    <w:p>
      <w:pPr>
        <w:pStyle w:val="BodyText"/>
        <w:spacing w:line="316" w:lineRule="auto"/>
        <w:ind w:right="189" w:firstLine="439"/>
        <w:jc w:val="both"/>
      </w:pPr>
      <w:r>
        <w:rPr/>
        <w:t>本集团无形资产包括土地使用权、软件、非专利技术、特许权、数据使用权等。按取得时的实际成本计量，其中，购 </w:t>
      </w:r>
      <w:r>
        <w:rPr>
          <w:spacing w:val="-2"/>
        </w:rPr>
        <w:t>入的无形资产，按实际支付的价款和相关的其他支出作为实际成本；投资者投入的无形资产，按投资合同或协议约定的价值</w:t>
      </w:r>
      <w:r>
        <w:rPr>
          <w:spacing w:val="-62"/>
        </w:rPr>
        <w:t> </w:t>
      </w:r>
      <w:r>
        <w:rPr>
          <w:spacing w:val="-62"/>
        </w:rPr>
      </w:r>
      <w:r>
        <w:rPr>
          <w:spacing w:val="-2"/>
        </w:rPr>
        <w:t>确定实际成本，但合同或协议约定价值不公允的，按公允价值确定实际成本；对非同一控制下合并中取得被购买方拥有的但</w:t>
      </w:r>
      <w:r>
        <w:rPr>
          <w:spacing w:val="-63"/>
        </w:rPr>
        <w:t> </w:t>
      </w:r>
      <w:r>
        <w:rPr>
          <w:spacing w:val="-63"/>
        </w:rPr>
      </w:r>
      <w:r>
        <w:rPr/>
        <w:t>在其财务报表中未确认的无形资产，在对被购买方资产进行初始确认时，按公允价值确认为无形资产。</w:t>
      </w:r>
    </w:p>
    <w:p>
      <w:pPr>
        <w:pStyle w:val="BodyText"/>
        <w:spacing w:line="309" w:lineRule="auto" w:before="139"/>
        <w:ind w:right="189" w:firstLine="439"/>
        <w:jc w:val="both"/>
      </w:pPr>
      <w:r>
        <w:rPr/>
        <w:t>本公司自行开发的导航基础数据库，于开发完成后在受益期内进行摊销。导航基础数据库使用寿命和摊销期限的确认 </w:t>
      </w:r>
      <w:r>
        <w:rPr>
          <w:spacing w:val="-2"/>
        </w:rPr>
        <w:t>依据：本公司各版本数据产品的销售周期一般分布主要在</w:t>
      </w:r>
      <w:r>
        <w:rPr>
          <w:rFonts w:ascii="Times New Roman" w:hAnsi="Times New Roman" w:cs="Times New Roman" w:eastAsia="Times New Roman" w:hint="default"/>
          <w:spacing w:val="-2"/>
        </w:rPr>
        <w:t>14</w:t>
      </w:r>
      <w:r>
        <w:rPr>
          <w:spacing w:val="-2"/>
        </w:rPr>
        <w:t>个月至</w:t>
      </w:r>
      <w:r>
        <w:rPr>
          <w:rFonts w:ascii="Times New Roman" w:hAnsi="Times New Roman" w:cs="Times New Roman" w:eastAsia="Times New Roman" w:hint="default"/>
          <w:spacing w:val="-2"/>
        </w:rPr>
        <w:t>20</w:t>
      </w:r>
      <w:r>
        <w:rPr>
          <w:spacing w:val="-2"/>
        </w:rPr>
        <w:t>个月不等。在每个版本推出前，管理层将根据市场情况</w:t>
      </w:r>
      <w:r>
        <w:rPr>
          <w:spacing w:val="-60"/>
        </w:rPr>
        <w:t> </w:t>
      </w:r>
      <w:r>
        <w:rPr>
          <w:spacing w:val="-60"/>
        </w:rPr>
      </w:r>
      <w:r>
        <w:rPr/>
        <w:t>对各版本的销售情况进行评估，以确定其集中达到主要销售量的期限，据此确定导航基础数据库的摊销期限。</w:t>
      </w:r>
    </w:p>
    <w:p>
      <w:pPr>
        <w:pStyle w:val="BodyText"/>
        <w:spacing w:line="316" w:lineRule="auto" w:before="144"/>
        <w:ind w:right="193" w:firstLine="439"/>
        <w:jc w:val="both"/>
      </w:pPr>
      <w:r>
        <w:rPr/>
        <w:t>对其他使用寿命有限的无形资产，按预计使用年限、合同规定的受益年限和法律规定的有效年限三者中最短者分期平 </w:t>
      </w:r>
      <w:r>
        <w:rPr>
          <w:spacing w:val="-2"/>
        </w:rPr>
        <w:t>均摊销。摊销金额按其受益对象计入相关资产成本和当期损益。对使用寿命有限的无形资产的预计使用寿命及摊销方法于每</w:t>
      </w:r>
      <w:r>
        <w:rPr>
          <w:spacing w:val="-64"/>
        </w:rPr>
        <w:t> </w:t>
      </w:r>
      <w:r>
        <w:rPr>
          <w:spacing w:val="-64"/>
        </w:rPr>
      </w:r>
      <w:r>
        <w:rPr/>
        <w:t>年年度终了进行复核，如发生改变，则作为会计估计变更处理。</w:t>
      </w:r>
    </w:p>
    <w:p>
      <w:pPr>
        <w:pStyle w:val="BodyText"/>
        <w:spacing w:line="316" w:lineRule="auto" w:before="139"/>
        <w:ind w:right="196" w:firstLine="439"/>
        <w:jc w:val="both"/>
      </w:pPr>
      <w:r>
        <w:rPr/>
        <w:t>在每个会计期间，本集团对使用寿命不确定的无形资产的预计使用寿命进行复核，如有证据表明无形资产的使用寿命 是有限的，则估计其使用寿命并在预计使用寿命内摊销。</w:t>
      </w:r>
    </w:p>
    <w:p>
      <w:pPr>
        <w:spacing w:line="240" w:lineRule="auto" w:before="10"/>
        <w:rPr>
          <w:rFonts w:ascii="宋体" w:hAnsi="宋体" w:cs="宋体" w:eastAsia="宋体" w:hint="default"/>
          <w:sz w:val="22"/>
          <w:szCs w:val="22"/>
        </w:rPr>
      </w:pPr>
    </w:p>
    <w:p>
      <w:pPr>
        <w:pStyle w:val="Heading5"/>
        <w:spacing w:line="240" w:lineRule="auto"/>
        <w:ind w:right="94"/>
        <w:jc w:val="left"/>
        <w:rPr>
          <w:b w:val="0"/>
          <w:bCs w:val="0"/>
        </w:rPr>
      </w:pP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01" w:firstLine="458"/>
        <w:jc w:val="both"/>
      </w:pPr>
      <w:r>
        <w:rPr>
          <w:spacing w:val="-2"/>
        </w:rPr>
        <w:t>研究开发支出根据其性质以及研发活动最终形成无形资产是否具有较大不确定性，分为研究阶段支出和开发阶段支出。</w:t>
      </w:r>
      <w:r>
        <w:rPr/>
        <w:t> 研究阶段的支出，于发生时计入当期损益；开发阶段的支出，同时满足下列条件的，确认为无形资产：</w:t>
      </w:r>
    </w:p>
    <w:p>
      <w:pPr>
        <w:pStyle w:val="BodyText"/>
        <w:spacing w:line="240" w:lineRule="auto" w:before="139"/>
        <w:ind w:left="592" w:right="94"/>
        <w:jc w:val="left"/>
      </w:pPr>
      <w:r>
        <w:rPr>
          <w:rFonts w:ascii="Times New Roman" w:hAnsi="Times New Roman" w:cs="Times New Roman" w:eastAsia="Times New Roman" w:hint="default"/>
        </w:rPr>
        <w:t>1</w:t>
      </w:r>
      <w:r>
        <w:rPr/>
        <w:t>）完成该无形资产以使其能够使用或出售在技术上具有可行性；</w:t>
      </w:r>
    </w:p>
    <w:p>
      <w:pPr>
        <w:spacing w:line="240" w:lineRule="auto" w:before="13"/>
        <w:rPr>
          <w:rFonts w:ascii="宋体" w:hAnsi="宋体" w:cs="宋体" w:eastAsia="宋体" w:hint="default"/>
          <w:sz w:val="13"/>
          <w:szCs w:val="13"/>
        </w:rPr>
      </w:pPr>
    </w:p>
    <w:p>
      <w:pPr>
        <w:pStyle w:val="BodyText"/>
        <w:spacing w:line="240" w:lineRule="auto"/>
        <w:ind w:left="592" w:right="94"/>
        <w:jc w:val="left"/>
      </w:pPr>
      <w:r>
        <w:rPr>
          <w:rFonts w:ascii="Times New Roman" w:hAnsi="Times New Roman" w:cs="Times New Roman" w:eastAsia="Times New Roman" w:hint="default"/>
        </w:rPr>
        <w:t>2</w:t>
      </w:r>
      <w:r>
        <w:rPr/>
        <w:t>）具有完成该无形资产并使用或出售的意图；</w:t>
      </w:r>
    </w:p>
    <w:p>
      <w:pPr>
        <w:spacing w:after="0" w:line="240" w:lineRule="auto"/>
        <w:jc w:val="left"/>
        <w:sectPr>
          <w:pgSz w:w="11910" w:h="16840"/>
          <w:pgMar w:header="745" w:footer="979" w:top="1060" w:bottom="1160" w:left="980" w:right="940"/>
        </w:sectPr>
      </w:pPr>
    </w:p>
    <w:p>
      <w:pPr>
        <w:spacing w:line="240" w:lineRule="auto" w:before="9"/>
        <w:rPr>
          <w:rFonts w:ascii="宋体" w:hAnsi="宋体" w:cs="宋体" w:eastAsia="宋体" w:hint="default"/>
          <w:sz w:val="25"/>
          <w:szCs w:val="25"/>
        </w:rPr>
      </w:pPr>
    </w:p>
    <w:p>
      <w:pPr>
        <w:pStyle w:val="BodyText"/>
        <w:spacing w:line="240" w:lineRule="auto" w:before="44"/>
        <w:ind w:left="592" w:right="94"/>
        <w:jc w:val="left"/>
      </w:pPr>
      <w:r>
        <w:rPr>
          <w:rFonts w:ascii="Times New Roman" w:hAnsi="Times New Roman" w:cs="Times New Roman" w:eastAsia="Times New Roman" w:hint="default"/>
        </w:rPr>
        <w:t>3</w:t>
      </w:r>
      <w:r>
        <w:rPr/>
        <w:t>）运用该无形资产生产的产品存在市场或无形资产自身存在市场；</w:t>
      </w:r>
    </w:p>
    <w:p>
      <w:pPr>
        <w:spacing w:line="240" w:lineRule="auto" w:before="0"/>
        <w:rPr>
          <w:rFonts w:ascii="宋体" w:hAnsi="宋体" w:cs="宋体" w:eastAsia="宋体" w:hint="default"/>
          <w:sz w:val="14"/>
          <w:szCs w:val="14"/>
        </w:rPr>
      </w:pPr>
    </w:p>
    <w:p>
      <w:pPr>
        <w:pStyle w:val="BodyText"/>
        <w:spacing w:line="240" w:lineRule="auto"/>
        <w:ind w:left="592" w:right="94"/>
        <w:jc w:val="left"/>
      </w:pPr>
      <w:r>
        <w:rPr>
          <w:rFonts w:ascii="Times New Roman" w:hAnsi="Times New Roman" w:cs="Times New Roman" w:eastAsia="Times New Roman" w:hint="default"/>
        </w:rPr>
        <w:t>4</w:t>
      </w:r>
      <w:r>
        <w:rPr/>
        <w:t>）有足够的技术、财务资源和其他资源支持，以完成该无形资产的开发，并有能力使用或出售该无形资产；</w:t>
      </w:r>
    </w:p>
    <w:p>
      <w:pPr>
        <w:pStyle w:val="BodyText"/>
        <w:spacing w:line="420" w:lineRule="atLeast" w:before="12"/>
        <w:ind w:left="594" w:right="94" w:firstLine="9"/>
        <w:jc w:val="left"/>
      </w:pPr>
      <w:r>
        <w:rPr>
          <w:rFonts w:ascii="Times New Roman" w:hAnsi="Times New Roman" w:cs="Times New Roman" w:eastAsia="Times New Roman" w:hint="default"/>
        </w:rPr>
        <w:t>5</w:t>
      </w:r>
      <w:r>
        <w:rPr/>
        <w:t>）归属于该无形资产开发阶段的支出能够可靠地计量。 </w:t>
      </w:r>
      <w:r>
        <w:rPr>
          <w:spacing w:val="-4"/>
        </w:rPr>
        <w:t>本集团的主要研究开发项目为导航电子地图数据库，其研究及开发主要分为三个阶段，第一阶段为取得基础情报信息，</w:t>
      </w:r>
    </w:p>
    <w:p>
      <w:pPr>
        <w:pStyle w:val="BodyText"/>
        <w:spacing w:line="316" w:lineRule="auto" w:before="76"/>
        <w:ind w:right="190"/>
        <w:jc w:val="both"/>
      </w:pPr>
      <w:r>
        <w:rPr>
          <w:spacing w:val="-5"/>
        </w:rPr>
        <w:t>第二阶段为前期预处理阶段，第三阶段为外业的实地调查和数据信息采集、内业的数据信息录入、外业的数据信息实地验证、</w:t>
      </w:r>
      <w:r>
        <w:rPr>
          <w:spacing w:val="-76"/>
        </w:rPr>
        <w:t> </w:t>
      </w:r>
      <w:r>
        <w:rPr>
          <w:spacing w:val="-76"/>
        </w:rPr>
      </w:r>
      <w:r>
        <w:rPr>
          <w:spacing w:val="-2"/>
        </w:rPr>
        <w:t>内业的数据信息修正、封库判定并形成最终的导航电子地图数据库。其中第一及第二阶段为导航电子数据库的研究阶段，主</w:t>
      </w:r>
      <w:r>
        <w:rPr>
          <w:spacing w:val="-63"/>
        </w:rPr>
        <w:t> </w:t>
      </w:r>
      <w:r>
        <w:rPr>
          <w:spacing w:val="-63"/>
        </w:rPr>
      </w:r>
      <w:r>
        <w:rPr>
          <w:spacing w:val="-2"/>
        </w:rPr>
        <w:t>要完成数据库前期计划于探索工作，其相关成本于发生时计入所属期间损益；第三阶段是最终形成导航电子数据库的作业活</w:t>
      </w:r>
      <w:r>
        <w:rPr>
          <w:spacing w:val="-64"/>
        </w:rPr>
        <w:t> </w:t>
      </w:r>
      <w:r>
        <w:rPr>
          <w:spacing w:val="-64"/>
        </w:rPr>
      </w:r>
      <w:r>
        <w:rPr/>
        <w:t>动，确定为开发阶段，其相关成本在开发支出中归集核算。</w:t>
      </w:r>
    </w:p>
    <w:p>
      <w:pPr>
        <w:pStyle w:val="BodyText"/>
        <w:spacing w:line="309" w:lineRule="auto" w:before="139"/>
        <w:ind w:right="190" w:firstLine="442"/>
        <w:jc w:val="both"/>
      </w:pPr>
      <w:r>
        <w:rPr>
          <w:spacing w:val="-2"/>
        </w:rPr>
        <w:t>本集团每年会制定详细的产品开发计划，一年完成</w:t>
      </w:r>
      <w:r>
        <w:rPr>
          <w:rFonts w:ascii="Times New Roman" w:hAnsi="Times New Roman" w:cs="Times New Roman" w:eastAsia="Times New Roman" w:hint="default"/>
          <w:spacing w:val="-2"/>
        </w:rPr>
        <w:t>4</w:t>
      </w:r>
      <w:r>
        <w:rPr>
          <w:spacing w:val="-2"/>
        </w:rPr>
        <w:t>个版本的数据库开发。开发成本在各版本之间的划分以各版本的开</w:t>
      </w:r>
      <w:r>
        <w:rPr/>
        <w:t> </w:t>
      </w:r>
      <w:r>
        <w:rPr>
          <w:spacing w:val="-2"/>
        </w:rPr>
        <w:t>发时间为依据，即对于属于某一版本开发期间发生的开发成本，将其归集为该版本的开发成本。本集团于开发成本发生时将</w:t>
      </w:r>
      <w:r>
        <w:rPr>
          <w:spacing w:val="-63"/>
        </w:rPr>
        <w:t> </w:t>
      </w:r>
      <w:r>
        <w:rPr>
          <w:spacing w:val="-63"/>
        </w:rPr>
      </w:r>
      <w:r>
        <w:rPr/>
        <w:t>应归属于该版本的开发成本在该版本的科目下进行归集，待开发完成后停止归集。</w:t>
      </w:r>
    </w:p>
    <w:p>
      <w:pPr>
        <w:pStyle w:val="BodyText"/>
        <w:spacing w:line="316" w:lineRule="auto" w:before="144"/>
        <w:ind w:right="192" w:firstLine="442"/>
        <w:jc w:val="left"/>
      </w:pPr>
      <w:r>
        <w:rPr/>
        <w:t>不满足上述条件的开发阶段的支出，于发生时计入当期损益。前期已计入损益的开发支出不在以后期间确认为资产。 已资本化的开发阶段的支出在资产负债表上列示为开发支出，自该项目达到预定可使用状态之日起开始摊销。</w:t>
      </w:r>
    </w:p>
    <w:p>
      <w:pPr>
        <w:spacing w:line="240" w:lineRule="auto" w:before="10"/>
        <w:rPr>
          <w:rFonts w:ascii="宋体" w:hAnsi="宋体" w:cs="宋体" w:eastAsia="宋体" w:hint="default"/>
          <w:sz w:val="22"/>
          <w:szCs w:val="22"/>
        </w:rPr>
      </w:pPr>
    </w:p>
    <w:p>
      <w:pPr>
        <w:pStyle w:val="Heading5"/>
        <w:spacing w:line="240" w:lineRule="auto"/>
        <w:ind w:right="0"/>
        <w:jc w:val="both"/>
        <w:rPr>
          <w:b w:val="0"/>
          <w:bCs w:val="0"/>
        </w:rPr>
      </w:pPr>
      <w:r>
        <w:rPr>
          <w:rFonts w:ascii="Times New Roman" w:hAnsi="Times New Roman" w:cs="Times New Roman" w:eastAsia="Times New Roman" w:hint="default"/>
        </w:rPr>
        <w:t>22</w:t>
      </w:r>
      <w:r>
        <w:rPr/>
        <w:t>、长期资产减值</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94" w:firstLine="439"/>
        <w:jc w:val="left"/>
      </w:pPr>
      <w:r>
        <w:rPr/>
        <w:t>本集团于每一资产负债表日对长期股权投资、采用成本模式计量的固定资产、在建工程、使用寿命有限的无形资产等 项目进行检查，当存在下列迹象时，本集团进行减值测试。对商誉和使用寿命不确定的无形资产，无论是否存在减值迹象，</w:t>
      </w:r>
      <w:r>
        <w:rPr>
          <w:spacing w:val="-83"/>
        </w:rPr>
        <w:t> </w:t>
      </w:r>
      <w:r>
        <w:rPr>
          <w:spacing w:val="-83"/>
        </w:rPr>
      </w:r>
      <w:r>
        <w:rPr/>
        <w:t>每期末均进行减值测试。</w:t>
      </w:r>
    </w:p>
    <w:p>
      <w:pPr>
        <w:pStyle w:val="BodyText"/>
        <w:spacing w:line="316" w:lineRule="auto" w:before="139"/>
        <w:ind w:right="195" w:firstLine="439"/>
        <w:jc w:val="left"/>
      </w:pPr>
      <w:r>
        <w:rPr/>
        <w:t>减值测试后，若该资产的账面价值超过其可收回金额，其差额确认为减值损失，上述资产的减值损失一经确认，在以 后会计期间不予转回。</w:t>
      </w:r>
    </w:p>
    <w:p>
      <w:pPr>
        <w:pStyle w:val="BodyText"/>
        <w:spacing w:line="240" w:lineRule="auto" w:before="139"/>
        <w:ind w:left="592" w:right="94"/>
        <w:jc w:val="left"/>
      </w:pPr>
      <w:r>
        <w:rPr/>
        <w:t>出现减值的迹象如下：</w:t>
      </w:r>
    </w:p>
    <w:p>
      <w:pPr>
        <w:spacing w:line="240" w:lineRule="auto" w:before="0"/>
        <w:rPr>
          <w:rFonts w:ascii="宋体" w:hAnsi="宋体" w:cs="宋体" w:eastAsia="宋体" w:hint="default"/>
          <w:sz w:val="15"/>
          <w:szCs w:val="15"/>
        </w:rPr>
      </w:pPr>
    </w:p>
    <w:p>
      <w:pPr>
        <w:pStyle w:val="BodyText"/>
        <w:spacing w:line="240" w:lineRule="auto"/>
        <w:ind w:left="611" w:right="94"/>
        <w:jc w:val="left"/>
      </w:pPr>
      <w:r>
        <w:rPr/>
        <w:t>（</w:t>
      </w:r>
      <w:r>
        <w:rPr>
          <w:rFonts w:ascii="Times New Roman" w:hAnsi="Times New Roman" w:cs="Times New Roman" w:eastAsia="Times New Roman" w:hint="default"/>
        </w:rPr>
        <w:t>1</w:t>
      </w:r>
      <w:r>
        <w:rPr/>
        <w:t>）资产的市价当期大幅度下跌，其跌幅明显高于因时间的推移或者正常使用而预计的下跌；</w:t>
      </w:r>
    </w:p>
    <w:p>
      <w:pPr>
        <w:spacing w:line="240" w:lineRule="auto" w:before="13"/>
        <w:rPr>
          <w:rFonts w:ascii="宋体" w:hAnsi="宋体" w:cs="宋体" w:eastAsia="宋体" w:hint="default"/>
          <w:sz w:val="13"/>
          <w:szCs w:val="13"/>
        </w:rPr>
      </w:pPr>
    </w:p>
    <w:p>
      <w:pPr>
        <w:pStyle w:val="BodyText"/>
        <w:spacing w:line="300" w:lineRule="auto"/>
        <w:ind w:right="190" w:firstLine="458"/>
        <w:jc w:val="left"/>
      </w:pPr>
      <w:r>
        <w:rPr>
          <w:spacing w:val="-2"/>
        </w:rPr>
        <w:t>（</w:t>
      </w:r>
      <w:r>
        <w:rPr>
          <w:rFonts w:ascii="Times New Roman" w:hAnsi="Times New Roman" w:cs="Times New Roman" w:eastAsia="Times New Roman" w:hint="default"/>
          <w:spacing w:val="-2"/>
        </w:rPr>
        <w:t>2</w:t>
      </w:r>
      <w:r>
        <w:rPr>
          <w:spacing w:val="-2"/>
        </w:rPr>
        <w:t>）公司经营所处的经济、技术或者法律等环境以及资产所处的市场在当期或者将在近期发生重大变化，从而对公司</w:t>
      </w:r>
      <w:r>
        <w:rPr/>
        <w:t> 产生不利影响；</w:t>
      </w:r>
    </w:p>
    <w:p>
      <w:pPr>
        <w:pStyle w:val="BodyText"/>
        <w:spacing w:line="300" w:lineRule="auto" w:before="151"/>
        <w:ind w:right="190" w:firstLine="458"/>
        <w:jc w:val="left"/>
      </w:pPr>
      <w:r>
        <w:rPr>
          <w:spacing w:val="-2"/>
        </w:rPr>
        <w:t>（</w:t>
      </w:r>
      <w:r>
        <w:rPr>
          <w:rFonts w:ascii="Times New Roman" w:hAnsi="Times New Roman" w:cs="Times New Roman" w:eastAsia="Times New Roman" w:hint="default"/>
          <w:spacing w:val="-2"/>
        </w:rPr>
        <w:t>3</w:t>
      </w:r>
      <w:r>
        <w:rPr>
          <w:spacing w:val="-2"/>
        </w:rPr>
        <w:t>）市场利率或者其他市场投资报酬率在当期已经提高，从而影响公司计算资产预计未来现金流量现值的折现率，导</w:t>
      </w:r>
      <w:r>
        <w:rPr/>
        <w:t> 致资产可收回金额大幅度降低；</w:t>
      </w:r>
    </w:p>
    <w:p>
      <w:pPr>
        <w:pStyle w:val="BodyText"/>
        <w:spacing w:line="240" w:lineRule="auto" w:before="151"/>
        <w:ind w:left="611" w:right="94"/>
        <w:jc w:val="left"/>
      </w:pPr>
      <w:r>
        <w:rPr/>
        <w:t>（</w:t>
      </w:r>
      <w:r>
        <w:rPr>
          <w:rFonts w:ascii="Times New Roman" w:hAnsi="Times New Roman" w:cs="Times New Roman" w:eastAsia="Times New Roman" w:hint="default"/>
        </w:rPr>
        <w:t>4</w:t>
      </w:r>
      <w:r>
        <w:rPr/>
        <w:t>）有证据表明资产已经陈旧过时或者其实体已经损坏；</w:t>
      </w:r>
    </w:p>
    <w:p>
      <w:pPr>
        <w:spacing w:line="240" w:lineRule="auto" w:before="13"/>
        <w:rPr>
          <w:rFonts w:ascii="宋体" w:hAnsi="宋体" w:cs="宋体" w:eastAsia="宋体" w:hint="default"/>
          <w:sz w:val="13"/>
          <w:szCs w:val="13"/>
        </w:rPr>
      </w:pPr>
    </w:p>
    <w:p>
      <w:pPr>
        <w:pStyle w:val="BodyText"/>
        <w:spacing w:line="240" w:lineRule="auto"/>
        <w:ind w:left="611" w:right="94"/>
        <w:jc w:val="left"/>
      </w:pPr>
      <w:r>
        <w:rPr/>
        <w:t>（</w:t>
      </w:r>
      <w:r>
        <w:rPr>
          <w:rFonts w:ascii="Times New Roman" w:hAnsi="Times New Roman" w:cs="Times New Roman" w:eastAsia="Times New Roman" w:hint="default"/>
        </w:rPr>
        <w:t>5</w:t>
      </w:r>
      <w:r>
        <w:rPr/>
        <w:t>）资产已经或者将被闲置、终止使用或者计划提前处置；</w:t>
      </w:r>
    </w:p>
    <w:p>
      <w:pPr>
        <w:spacing w:line="240" w:lineRule="auto" w:before="0"/>
        <w:rPr>
          <w:rFonts w:ascii="宋体" w:hAnsi="宋体" w:cs="宋体" w:eastAsia="宋体" w:hint="default"/>
          <w:sz w:val="14"/>
          <w:szCs w:val="14"/>
        </w:rPr>
      </w:pPr>
    </w:p>
    <w:p>
      <w:pPr>
        <w:pStyle w:val="BodyText"/>
        <w:spacing w:line="300" w:lineRule="auto"/>
        <w:ind w:right="190" w:firstLine="458"/>
        <w:jc w:val="left"/>
      </w:pPr>
      <w:r>
        <w:rPr>
          <w:spacing w:val="-2"/>
        </w:rPr>
        <w:t>（</w:t>
      </w:r>
      <w:r>
        <w:rPr>
          <w:rFonts w:ascii="Times New Roman" w:hAnsi="Times New Roman" w:cs="Times New Roman" w:eastAsia="Times New Roman" w:hint="default"/>
          <w:spacing w:val="-2"/>
        </w:rPr>
        <w:t>6</w:t>
      </w:r>
      <w:r>
        <w:rPr>
          <w:spacing w:val="-2"/>
        </w:rPr>
        <w:t>）公司内部报告的证据表明资产的经济绩效已经低于或者将低于预期，如资产所创造的净现金流量或者实现的营业</w:t>
      </w:r>
      <w:r>
        <w:rPr/>
        <w:t> 利润（或者亏损）远远低于（或者高于）预计金额等；</w:t>
      </w:r>
    </w:p>
    <w:p>
      <w:pPr>
        <w:pStyle w:val="BodyText"/>
        <w:spacing w:line="240" w:lineRule="auto" w:before="151"/>
        <w:ind w:left="611" w:right="94"/>
        <w:jc w:val="left"/>
      </w:pPr>
      <w:r>
        <w:rPr/>
        <w:t>（</w:t>
      </w:r>
      <w:r>
        <w:rPr>
          <w:rFonts w:ascii="Times New Roman" w:hAnsi="Times New Roman" w:cs="Times New Roman" w:eastAsia="Times New Roman" w:hint="default"/>
        </w:rPr>
        <w:t>7</w:t>
      </w:r>
      <w:r>
        <w:rPr/>
        <w:t>）其他表明资产可能已经发生减值的迹象。</w:t>
      </w:r>
    </w:p>
    <w:p>
      <w:pPr>
        <w:spacing w:line="240" w:lineRule="auto" w:before="2"/>
        <w:rPr>
          <w:rFonts w:ascii="宋体" w:hAnsi="宋体" w:cs="宋体" w:eastAsia="宋体" w:hint="default"/>
          <w:sz w:val="26"/>
          <w:szCs w:val="26"/>
        </w:rPr>
      </w:pPr>
    </w:p>
    <w:p>
      <w:pPr>
        <w:pStyle w:val="Heading5"/>
        <w:spacing w:line="240" w:lineRule="auto"/>
        <w:ind w:right="0"/>
        <w:jc w:val="both"/>
        <w:rPr>
          <w:b w:val="0"/>
          <w:bCs w:val="0"/>
        </w:rPr>
      </w:pPr>
      <w:r>
        <w:rPr>
          <w:rFonts w:ascii="Times New Roman" w:hAnsi="Times New Roman" w:cs="Times New Roman" w:eastAsia="Times New Roman" w:hint="default"/>
        </w:rPr>
        <w:t>23</w:t>
      </w:r>
      <w:r>
        <w:rPr/>
        <w:t>、长期待摊费用</w:t>
      </w:r>
      <w:r>
        <w:rPr>
          <w:b w:val="0"/>
          <w:bCs w:val="0"/>
        </w:rPr>
      </w:r>
    </w:p>
    <w:p>
      <w:pPr>
        <w:spacing w:line="240" w:lineRule="auto" w:before="2"/>
        <w:rPr>
          <w:rFonts w:ascii="宋体" w:hAnsi="宋体" w:cs="宋体" w:eastAsia="宋体" w:hint="default"/>
          <w:b/>
          <w:bCs/>
          <w:sz w:val="26"/>
          <w:szCs w:val="26"/>
        </w:rPr>
      </w:pPr>
    </w:p>
    <w:p>
      <w:pPr>
        <w:pStyle w:val="BodyText"/>
        <w:spacing w:line="300" w:lineRule="auto"/>
        <w:ind w:right="190" w:firstLine="439"/>
        <w:jc w:val="both"/>
      </w:pPr>
      <w:r>
        <w:rPr/>
        <w:t>本集团的长期待摊费用包括经营租入固定资产改良支出及其他已经支出，但应由当期及以后各期承担的摊销期限在</w:t>
      </w:r>
      <w:r>
        <w:rPr>
          <w:rFonts w:ascii="Times New Roman" w:hAnsi="Times New Roman" w:cs="Times New Roman" w:eastAsia="Times New Roman" w:hint="default"/>
        </w:rPr>
        <w:t>1 </w:t>
      </w:r>
      <w:r>
        <w:rPr/>
        <w:t>年以上（不含</w:t>
      </w:r>
      <w:r>
        <w:rPr>
          <w:rFonts w:ascii="Times New Roman" w:hAnsi="Times New Roman" w:cs="Times New Roman" w:eastAsia="Times New Roman" w:hint="default"/>
        </w:rPr>
        <w:t>1</w:t>
      </w:r>
      <w:r>
        <w:rPr/>
        <w:t>年）的各项费用，该等费用在受益期内平均摊销。如果长期待摊费用项目不能使以后会计期间受益，则将尚</w:t>
      </w:r>
      <w:r>
        <w:rPr>
          <w:spacing w:val="-84"/>
        </w:rPr>
        <w:t> </w:t>
      </w:r>
      <w:r>
        <w:rPr>
          <w:spacing w:val="-84"/>
        </w:rPr>
      </w:r>
      <w:r>
        <w:rPr/>
        <w:t>未摊销的该项目的摊余价值全部转入当期损益。</w:t>
      </w:r>
    </w:p>
    <w:p>
      <w:pPr>
        <w:spacing w:after="0" w:line="300" w:lineRule="auto"/>
        <w:jc w:val="both"/>
        <w:sectPr>
          <w:pgSz w:w="11910" w:h="16840"/>
          <w:pgMar w:header="745" w:footer="979" w:top="1060" w:bottom="1160" w:left="980" w:right="940"/>
        </w:sectPr>
      </w:pPr>
    </w:p>
    <w:p>
      <w:pPr>
        <w:spacing w:line="240" w:lineRule="auto" w:before="10"/>
        <w:rPr>
          <w:rFonts w:ascii="宋体" w:hAnsi="宋体" w:cs="宋体" w:eastAsia="宋体" w:hint="default"/>
          <w:sz w:val="24"/>
          <w:szCs w:val="24"/>
        </w:rPr>
      </w:pPr>
    </w:p>
    <w:p>
      <w:pPr>
        <w:pStyle w:val="Heading5"/>
        <w:spacing w:line="240" w:lineRule="auto" w:before="36"/>
        <w:ind w:right="0"/>
        <w:jc w:val="both"/>
        <w:rPr>
          <w:b w:val="0"/>
          <w:bCs w:val="0"/>
        </w:rPr>
      </w:pPr>
      <w:r>
        <w:rPr>
          <w:rFonts w:ascii="Times New Roman" w:hAnsi="Times New Roman" w:cs="Times New Roman" w:eastAsia="Times New Roman" w:hint="default"/>
        </w:rPr>
        <w:t>24</w:t>
      </w:r>
      <w:r>
        <w:rPr/>
        <w:t>、职工薪酬</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both"/>
        <w:rPr>
          <w:b w:val="0"/>
          <w:bCs w:val="0"/>
        </w:rPr>
      </w:pP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55" w:firstLine="439"/>
        <w:jc w:val="both"/>
      </w:pPr>
      <w:r>
        <w:rPr/>
        <w:t>短期薪酬具体包括：职工工资、奖金、津贴和补贴，职工福利费，医疗保险费、工伤保险费和生育保险费等社会保险 </w:t>
      </w:r>
      <w:r>
        <w:rPr>
          <w:spacing w:val="-2"/>
        </w:rPr>
        <w:t>费，住房公积金，工会经费和职工教育经费，短期带薪缺勤及其他短期薪酬等。本集团在职工提供服务的会计期间，将应付</w:t>
      </w:r>
      <w:r>
        <w:rPr>
          <w:spacing w:val="-67"/>
        </w:rPr>
        <w:t> </w:t>
      </w:r>
      <w:r>
        <w:rPr>
          <w:spacing w:val="-67"/>
        </w:rPr>
      </w:r>
      <w:r>
        <w:rPr/>
        <w:t>的短期薪酬确认为负债，并根据职工提供服务的受益对象计入相关资产成本和费用。</w:t>
      </w:r>
    </w:p>
    <w:p>
      <w:pPr>
        <w:spacing w:line="240" w:lineRule="auto" w:before="10"/>
        <w:rPr>
          <w:rFonts w:ascii="宋体" w:hAnsi="宋体" w:cs="宋体" w:eastAsia="宋体" w:hint="default"/>
          <w:sz w:val="22"/>
          <w:szCs w:val="22"/>
        </w:rPr>
      </w:pPr>
    </w:p>
    <w:p>
      <w:pPr>
        <w:pStyle w:val="Heading5"/>
        <w:spacing w:line="240" w:lineRule="auto"/>
        <w:ind w:right="0"/>
        <w:jc w:val="both"/>
        <w:rPr>
          <w:b w:val="0"/>
          <w:bCs w:val="0"/>
        </w:rPr>
      </w:pP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319" w:lineRule="auto"/>
        <w:ind w:right="153" w:firstLine="72"/>
        <w:jc w:val="both"/>
      </w:pPr>
      <w:r>
        <w:rPr/>
        <w:t>离职后福利包括养老保险、年金、失业保险以及其他离职后福利。按照公司承担的风险和义务，分类为设定提存计划、设 </w:t>
      </w:r>
      <w:r>
        <w:rPr>
          <w:spacing w:val="-2"/>
        </w:rPr>
        <w:t>定受益计划。对于设定提存计划在根据在资产负债表日为换取职工在会计期间提供的服务而向单独主体缴存的提存金确认为</w:t>
      </w:r>
      <w:r>
        <w:rPr>
          <w:spacing w:val="-64"/>
        </w:rPr>
        <w:t> </w:t>
      </w:r>
      <w:r>
        <w:rPr>
          <w:spacing w:val="-64"/>
        </w:rPr>
      </w:r>
      <w:r>
        <w:rPr/>
        <w:t>负债，并按照受益对象计入当期损益或相关资产成本。</w:t>
      </w:r>
    </w:p>
    <w:p>
      <w:pPr>
        <w:spacing w:line="240" w:lineRule="auto" w:before="9"/>
        <w:rPr>
          <w:rFonts w:ascii="宋体" w:hAnsi="宋体" w:cs="宋体" w:eastAsia="宋体" w:hint="default"/>
          <w:sz w:val="22"/>
          <w:szCs w:val="22"/>
        </w:rPr>
      </w:pPr>
    </w:p>
    <w:p>
      <w:pPr>
        <w:pStyle w:val="Heading5"/>
        <w:spacing w:line="240" w:lineRule="auto"/>
        <w:ind w:right="0"/>
        <w:jc w:val="both"/>
        <w:rPr>
          <w:b w:val="0"/>
          <w:bCs w:val="0"/>
        </w:rPr>
      </w:pP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53" w:firstLine="439"/>
        <w:jc w:val="both"/>
      </w:pPr>
      <w:r>
        <w:rPr/>
        <w:t>辞退福利是指在职工劳动合同到期之前决定解除与职工的劳动关系，或为鼓励职工自愿接受裁减而提出给予补偿的建 </w:t>
      </w:r>
      <w:r>
        <w:rPr>
          <w:spacing w:val="-2"/>
        </w:rPr>
        <w:t>议，如果本集团已经制定正式的解除劳动关系计划或提出自愿裁减建议，并即将实施，同时本集团不能单方面撤回解除劳动</w:t>
      </w:r>
      <w:r>
        <w:rPr>
          <w:spacing w:val="-66"/>
        </w:rPr>
        <w:t> </w:t>
      </w:r>
      <w:r>
        <w:rPr>
          <w:spacing w:val="-66"/>
        </w:rPr>
      </w:r>
      <w:r>
        <w:rPr/>
        <w:t>关系计划或裁减建议的，确认因解除与职工劳动关系给予补偿产生的预计负债，计入当期损益。</w:t>
      </w:r>
    </w:p>
    <w:p>
      <w:pPr>
        <w:spacing w:line="240" w:lineRule="auto" w:before="10"/>
        <w:rPr>
          <w:rFonts w:ascii="宋体" w:hAnsi="宋体" w:cs="宋体" w:eastAsia="宋体" w:hint="default"/>
          <w:sz w:val="22"/>
          <w:szCs w:val="22"/>
        </w:rPr>
      </w:pPr>
    </w:p>
    <w:p>
      <w:pPr>
        <w:pStyle w:val="Heading5"/>
        <w:spacing w:line="240" w:lineRule="auto"/>
        <w:ind w:right="0"/>
        <w:jc w:val="both"/>
        <w:rPr>
          <w:b w:val="0"/>
          <w:bCs w:val="0"/>
        </w:rPr>
      </w:pP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224" w:right="0"/>
        <w:jc w:val="both"/>
      </w:pPr>
      <w:r>
        <w:rPr/>
        <w:t>其他长期职工福利，是指除短期薪酬、离职后福利、辞退福利之外所有的职工薪酬。</w:t>
      </w:r>
    </w:p>
    <w:p>
      <w:pPr>
        <w:spacing w:line="240" w:lineRule="auto" w:before="0"/>
        <w:rPr>
          <w:rFonts w:ascii="宋体" w:hAnsi="宋体" w:cs="宋体" w:eastAsia="宋体" w:hint="default"/>
          <w:sz w:val="18"/>
          <w:szCs w:val="18"/>
        </w:rPr>
      </w:pPr>
    </w:p>
    <w:p>
      <w:pPr>
        <w:pStyle w:val="Heading5"/>
        <w:spacing w:line="240" w:lineRule="auto" w:before="120"/>
        <w:ind w:right="0"/>
        <w:jc w:val="both"/>
        <w:rPr>
          <w:b w:val="0"/>
          <w:bCs w:val="0"/>
        </w:rPr>
      </w:pPr>
      <w:r>
        <w:rPr>
          <w:rFonts w:ascii="Times New Roman" w:hAnsi="Times New Roman" w:cs="Times New Roman" w:eastAsia="Times New Roman" w:hint="default"/>
        </w:rPr>
        <w:t>25</w:t>
      </w:r>
      <w:r>
        <w:rPr/>
        <w:t>、预计负债</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150" w:firstLine="439"/>
        <w:jc w:val="both"/>
      </w:pPr>
      <w:r>
        <w:rPr/>
        <w:t>当与对外担保、商业承兑汇票贴现、未决诉讼或仲裁、产品质量保证等或有事项相关的业务同时符合以下条件时，本 </w:t>
      </w:r>
      <w:r>
        <w:rPr>
          <w:spacing w:val="-2"/>
        </w:rPr>
        <w:t>集团将其确认为负债：该义务是本集团承担的现时义务；该义务的履行很可能导致经济利益流出企业；该义务的金额能够可</w:t>
      </w:r>
      <w:r>
        <w:rPr>
          <w:spacing w:val="-63"/>
        </w:rPr>
        <w:t> </w:t>
      </w:r>
      <w:r>
        <w:rPr>
          <w:spacing w:val="-63"/>
        </w:rPr>
      </w:r>
      <w:r>
        <w:rPr/>
        <w:t>靠地计量。</w:t>
      </w:r>
    </w:p>
    <w:p>
      <w:pPr>
        <w:pStyle w:val="BodyText"/>
        <w:spacing w:line="316" w:lineRule="auto" w:before="139"/>
        <w:ind w:right="150" w:firstLine="439"/>
        <w:jc w:val="both"/>
      </w:pPr>
      <w:r>
        <w:rPr/>
        <w:t>预计负债按照履行相关现时义务所需支出的最佳估计数进行初始计量，并综合考虑与或有事项有关的风险、不确定性 </w:t>
      </w:r>
      <w:r>
        <w:rPr>
          <w:spacing w:val="-2"/>
        </w:rPr>
        <w:t>和货币时间价值等因素。货币时间价值影响重大的，通过对相关未来现金流出进行折现后确定最佳估计数。每个资产负债表</w:t>
      </w:r>
      <w:r>
        <w:rPr>
          <w:spacing w:val="-63"/>
        </w:rPr>
        <w:t> </w:t>
      </w:r>
      <w:r>
        <w:rPr>
          <w:spacing w:val="-63"/>
        </w:rPr>
      </w:r>
      <w:r>
        <w:rPr/>
        <w:t>日对预计负债的账面价值进行复核，如有改变则对账面价值进行调整以反映当前最佳估计数。</w:t>
      </w:r>
    </w:p>
    <w:p>
      <w:pPr>
        <w:spacing w:line="240" w:lineRule="auto" w:before="10"/>
        <w:rPr>
          <w:rFonts w:ascii="宋体" w:hAnsi="宋体" w:cs="宋体" w:eastAsia="宋体" w:hint="default"/>
          <w:sz w:val="22"/>
          <w:szCs w:val="22"/>
        </w:rPr>
      </w:pPr>
    </w:p>
    <w:p>
      <w:pPr>
        <w:pStyle w:val="Heading5"/>
        <w:spacing w:line="240" w:lineRule="auto"/>
        <w:ind w:right="0"/>
        <w:jc w:val="both"/>
        <w:rPr>
          <w:b w:val="0"/>
          <w:bCs w:val="0"/>
        </w:rPr>
      </w:pPr>
      <w:r>
        <w:rPr>
          <w:rFonts w:ascii="Times New Roman" w:hAnsi="Times New Roman" w:cs="Times New Roman" w:eastAsia="Times New Roman" w:hint="default"/>
        </w:rPr>
        <w:t>26</w:t>
      </w:r>
      <w:r>
        <w:rPr/>
        <w:t>、股份支付</w:t>
      </w:r>
      <w:r>
        <w:rPr>
          <w:b w:val="0"/>
          <w:bCs w:val="0"/>
        </w:rPr>
      </w:r>
    </w:p>
    <w:p>
      <w:pPr>
        <w:spacing w:line="240" w:lineRule="auto" w:before="5"/>
        <w:rPr>
          <w:rFonts w:ascii="宋体" w:hAnsi="宋体" w:cs="宋体" w:eastAsia="宋体" w:hint="default"/>
          <w:b/>
          <w:bCs/>
          <w:sz w:val="26"/>
          <w:szCs w:val="26"/>
        </w:rPr>
      </w:pPr>
    </w:p>
    <w:p>
      <w:pPr>
        <w:pStyle w:val="BodyText"/>
        <w:spacing w:line="316" w:lineRule="auto"/>
        <w:ind w:right="153" w:firstLine="439"/>
        <w:jc w:val="both"/>
      </w:pPr>
      <w:r>
        <w:rPr/>
        <w:t>用以换取职工提供服务的以权益结算的股份支付，以授予职工权益工具在授予日的公允价值计量。该公允价值的金额 </w:t>
      </w:r>
      <w:r>
        <w:rPr>
          <w:spacing w:val="-2"/>
        </w:rPr>
        <w:t>在完成等待期内的服务或达到规定业绩条件才可行权的情况下，在等待期内以对可行权权益工具数量的最佳估计为基础，按</w:t>
      </w:r>
      <w:r>
        <w:rPr>
          <w:spacing w:val="-64"/>
        </w:rPr>
        <w:t> </w:t>
      </w:r>
      <w:r>
        <w:rPr>
          <w:spacing w:val="-64"/>
        </w:rPr>
      </w:r>
      <w:r>
        <w:rPr/>
        <w:t>直线法计算计入相关成本或费用，相应增加资本公积。</w:t>
      </w:r>
    </w:p>
    <w:p>
      <w:pPr>
        <w:pStyle w:val="BodyText"/>
        <w:spacing w:line="316" w:lineRule="auto" w:before="139"/>
        <w:ind w:right="152" w:firstLine="439"/>
        <w:jc w:val="both"/>
      </w:pPr>
      <w:r>
        <w:rPr/>
        <w:t>以限制性股票方式计算的股份支付，职工出资认购的股票在达到解锁条件并解锁前不得上市流通或转让；如果最终股 </w:t>
      </w:r>
      <w:r>
        <w:rPr>
          <w:spacing w:val="-2"/>
        </w:rPr>
        <w:t>权激励计划规定的解锁条件未能达到，则本集团按照事先约定的价格回购股票。本集团取得职工认购限制性股票支付的款项</w:t>
      </w:r>
      <w:r>
        <w:rPr>
          <w:spacing w:val="-64"/>
        </w:rPr>
        <w:t> </w:t>
      </w:r>
      <w:r>
        <w:rPr>
          <w:spacing w:val="-64"/>
        </w:rPr>
      </w:r>
      <w:r>
        <w:rPr>
          <w:spacing w:val="-2"/>
        </w:rPr>
        <w:t>时，按照取得的认股款确认股本和资本公积（股本溢价），同时就回购义务全额确认一项负债并确认库存股。本集团未达到</w:t>
      </w:r>
      <w:r>
        <w:rPr>
          <w:spacing w:val="-65"/>
        </w:rPr>
        <w:t> </w:t>
      </w:r>
      <w:r>
        <w:rPr>
          <w:spacing w:val="-65"/>
        </w:rPr>
      </w:r>
      <w:r>
        <w:rPr/>
        <w:t>限制性股票解锁条件而需回购股票时，根据回购股票所需支付的金额减少货币资金并冲减已确认的负债，同时根据本附注</w:t>
      </w:r>
      <w:r>
        <w:rPr>
          <w:spacing w:val="-11"/>
        </w:rPr>
        <w:t> </w:t>
      </w:r>
      <w:r>
        <w:rPr>
          <w:spacing w:val="-11"/>
        </w:rPr>
      </w:r>
      <w:r>
        <w:rPr>
          <w:rFonts w:ascii="Times New Roman" w:hAnsi="Times New Roman" w:cs="Times New Roman" w:eastAsia="Times New Roman" w:hint="default"/>
        </w:rPr>
        <w:t>“</w:t>
      </w:r>
      <w:r>
        <w:rPr/>
        <w:t>五</w:t>
      </w:r>
      <w:r>
        <w:rPr>
          <w:rFonts w:ascii="Times New Roman" w:hAnsi="Times New Roman" w:cs="Times New Roman" w:eastAsia="Times New Roman" w:hint="default"/>
        </w:rPr>
        <w:t>.32”</w:t>
      </w:r>
      <w:r>
        <w:rPr/>
        <w:t>所述，对需注销的限制性股票进行相应的会计处理。</w:t>
      </w:r>
    </w:p>
    <w:p>
      <w:pPr>
        <w:pStyle w:val="BodyText"/>
        <w:spacing w:line="240" w:lineRule="auto" w:before="119"/>
        <w:ind w:left="592" w:right="0"/>
        <w:jc w:val="left"/>
      </w:pPr>
      <w:r>
        <w:rPr/>
        <w:t>以现金结算的股份支付，按照本集团承担的以股份或其他权益工具为基础确定的负债的公允价值计量。如授予后立即</w:t>
      </w:r>
    </w:p>
    <w:p>
      <w:pPr>
        <w:spacing w:after="0" w:line="240" w:lineRule="auto"/>
        <w:jc w:val="left"/>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319" w:lineRule="auto" w:before="44"/>
        <w:ind w:right="189"/>
        <w:jc w:val="both"/>
      </w:pPr>
      <w:r>
        <w:rPr>
          <w:spacing w:val="-2"/>
        </w:rPr>
        <w:t>可行权，在授予日以承担负债的公允价值计入相关成本或费用，相应增加负债；如需完成等待期内的服务或达到规定业绩条</w:t>
      </w:r>
      <w:r>
        <w:rPr>
          <w:spacing w:val="-66"/>
        </w:rPr>
        <w:t> </w:t>
      </w:r>
      <w:r>
        <w:rPr>
          <w:spacing w:val="-66"/>
        </w:rPr>
      </w:r>
      <w:r>
        <w:rPr>
          <w:spacing w:val="-5"/>
        </w:rPr>
        <w:t>件以后才可行权，在等待期的每个资产负债表日，以对可行权情况的最佳估计为基础，按照本集团承担负债的公允价值金额，</w:t>
      </w:r>
      <w:r>
        <w:rPr>
          <w:spacing w:val="-75"/>
        </w:rPr>
        <w:t> </w:t>
      </w:r>
      <w:r>
        <w:rPr>
          <w:spacing w:val="-75"/>
        </w:rPr>
      </w:r>
      <w:r>
        <w:rPr/>
        <w:t>将当期取得的服务计入成本或费用，相应调整负债。</w:t>
      </w:r>
    </w:p>
    <w:p>
      <w:pPr>
        <w:pStyle w:val="BodyText"/>
        <w:spacing w:line="432" w:lineRule="exact" w:before="1"/>
        <w:ind w:left="592" w:right="194"/>
        <w:jc w:val="left"/>
      </w:pPr>
      <w:r>
        <w:rPr/>
        <w:t>在相关负债结算前的每个资产负债表日以及结算日，对负债的公允价值重新计量，其变动计入当期损益。 本集团在等待期内取消所授予权益工具的（因未满足可行权条件而被取消的除外），作为加速行权处理，即视同剩余</w:t>
      </w:r>
    </w:p>
    <w:p>
      <w:pPr>
        <w:pStyle w:val="BodyText"/>
        <w:spacing w:line="240" w:lineRule="auto" w:before="15"/>
        <w:ind w:right="0"/>
        <w:jc w:val="both"/>
      </w:pPr>
      <w:r>
        <w:rPr/>
        <w:t>等待期内的股权支付计划已经全部满足可行权条件，在取消所授予权益工具的当期确认剩余等待期内的所有费用。</w:t>
      </w:r>
    </w:p>
    <w:p>
      <w:pPr>
        <w:spacing w:line="240" w:lineRule="auto" w:before="0"/>
        <w:rPr>
          <w:rFonts w:ascii="宋体" w:hAnsi="宋体" w:cs="宋体" w:eastAsia="宋体" w:hint="default"/>
          <w:sz w:val="18"/>
          <w:szCs w:val="18"/>
        </w:rPr>
      </w:pPr>
    </w:p>
    <w:p>
      <w:pPr>
        <w:pStyle w:val="Heading5"/>
        <w:spacing w:line="240" w:lineRule="auto" w:before="120"/>
        <w:ind w:right="0"/>
        <w:jc w:val="both"/>
        <w:rPr>
          <w:b w:val="0"/>
          <w:bCs w:val="0"/>
        </w:rPr>
      </w:pPr>
      <w:r>
        <w:rPr>
          <w:rFonts w:ascii="Times New Roman" w:hAnsi="Times New Roman" w:cs="Times New Roman" w:eastAsia="Times New Roman" w:hint="default"/>
        </w:rPr>
        <w:t>27</w:t>
      </w:r>
      <w:r>
        <w:rPr/>
        <w:t>、优先股、永续债等其他金融工具</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t>不适用</w:t>
      </w:r>
    </w:p>
    <w:p>
      <w:pPr>
        <w:spacing w:line="240" w:lineRule="auto" w:before="0"/>
        <w:rPr>
          <w:rFonts w:ascii="宋体" w:hAnsi="宋体" w:cs="宋体" w:eastAsia="宋体" w:hint="default"/>
          <w:sz w:val="18"/>
          <w:szCs w:val="18"/>
        </w:rPr>
      </w:pPr>
    </w:p>
    <w:p>
      <w:pPr>
        <w:pStyle w:val="Heading5"/>
        <w:spacing w:line="240" w:lineRule="auto" w:before="121"/>
        <w:ind w:right="0"/>
        <w:jc w:val="both"/>
        <w:rPr>
          <w:b w:val="0"/>
          <w:bCs w:val="0"/>
        </w:rPr>
      </w:pPr>
      <w:r>
        <w:rPr>
          <w:rFonts w:ascii="Times New Roman" w:hAnsi="Times New Roman" w:cs="Times New Roman" w:eastAsia="Times New Roman" w:hint="default"/>
        </w:rPr>
        <w:t>28</w:t>
      </w:r>
      <w:r>
        <w:rPr/>
        <w:t>、收入</w:t>
      </w:r>
      <w:r>
        <w:rPr>
          <w:b w:val="0"/>
          <w:bCs w:val="0"/>
        </w:rPr>
      </w:r>
    </w:p>
    <w:p>
      <w:pPr>
        <w:spacing w:line="240" w:lineRule="auto" w:before="2"/>
        <w:rPr>
          <w:rFonts w:ascii="宋体" w:hAnsi="宋体" w:cs="宋体" w:eastAsia="宋体" w:hint="default"/>
          <w:b/>
          <w:bCs/>
          <w:sz w:val="26"/>
          <w:szCs w:val="26"/>
        </w:rPr>
      </w:pPr>
    </w:p>
    <w:p>
      <w:pPr>
        <w:pStyle w:val="BodyText"/>
        <w:spacing w:line="360" w:lineRule="auto"/>
        <w:ind w:right="6754"/>
        <w:jc w:val="left"/>
      </w:pPr>
      <w:r>
        <w:rPr/>
        <w:t>公司是否需要遵守特殊行业的披露要求 否</w:t>
      </w:r>
    </w:p>
    <w:p>
      <w:pPr>
        <w:pStyle w:val="BodyText"/>
        <w:spacing w:line="240" w:lineRule="auto" w:before="106"/>
        <w:ind w:left="592" w:right="94"/>
        <w:jc w:val="left"/>
      </w:pPr>
      <w:r>
        <w:rPr/>
        <w:t>本集团的营业收入主要包括销售商品收入、提供劳务收入和让渡资产使用权收入。</w:t>
      </w:r>
    </w:p>
    <w:p>
      <w:pPr>
        <w:pStyle w:val="BodyText"/>
        <w:spacing w:line="420" w:lineRule="atLeast" w:before="25"/>
        <w:ind w:left="592" w:right="194"/>
        <w:jc w:val="left"/>
      </w:pPr>
      <w:r>
        <w:rPr/>
        <w:t>（</w:t>
      </w:r>
      <w:r>
        <w:rPr>
          <w:rFonts w:ascii="Times New Roman" w:hAnsi="Times New Roman" w:cs="Times New Roman" w:eastAsia="Times New Roman" w:hint="default"/>
        </w:rPr>
        <w:t>1</w:t>
      </w:r>
      <w:r>
        <w:rPr/>
        <w:t>）销售商品收入的确认原则： 本集团在已将商品所有权上的主要风险和报酬转移给购货方、本集团既没有保留通常与所有权相联系的继续管理权、</w:t>
      </w:r>
    </w:p>
    <w:p>
      <w:pPr>
        <w:pStyle w:val="BodyText"/>
        <w:spacing w:line="316" w:lineRule="auto" w:before="76"/>
        <w:ind w:right="94"/>
        <w:jc w:val="left"/>
      </w:pPr>
      <w:r>
        <w:rPr>
          <w:spacing w:val="-2"/>
        </w:rPr>
        <w:t>也没有对已售出的商品实施有效控制、收入的金额能够可靠地计量、相关的经济利益很可能流入本集团、相关的已发生或将</w:t>
      </w:r>
      <w:r>
        <w:rPr>
          <w:spacing w:val="-63"/>
        </w:rPr>
        <w:t> </w:t>
      </w:r>
      <w:r>
        <w:rPr>
          <w:spacing w:val="-63"/>
        </w:rPr>
      </w:r>
      <w:r>
        <w:rPr/>
        <w:t>发生的成本能够可靠地计量时，确认销售商品收入的实现。</w:t>
      </w:r>
    </w:p>
    <w:p>
      <w:pPr>
        <w:pStyle w:val="BodyText"/>
        <w:spacing w:line="240" w:lineRule="auto" w:before="139"/>
        <w:ind w:left="592" w:right="94"/>
        <w:jc w:val="left"/>
      </w:pPr>
      <w:r>
        <w:rPr/>
        <w:t>本集团销售商品收入主要为导航电子地图及导航软件销售收入，于产品交付客户所有权转移时确认。</w:t>
      </w:r>
    </w:p>
    <w:p>
      <w:pPr>
        <w:pStyle w:val="BodyText"/>
        <w:spacing w:line="420" w:lineRule="atLeast" w:before="26"/>
        <w:ind w:left="592" w:right="94"/>
        <w:jc w:val="left"/>
      </w:pPr>
      <w:r>
        <w:rPr/>
        <w:t>（</w:t>
      </w:r>
      <w:r>
        <w:rPr>
          <w:rFonts w:ascii="Times New Roman" w:hAnsi="Times New Roman" w:cs="Times New Roman" w:eastAsia="Times New Roman" w:hint="default"/>
        </w:rPr>
        <w:t>2</w:t>
      </w:r>
      <w:r>
        <w:rPr/>
        <w:t>）提供劳务收入的确认原则： </w:t>
      </w:r>
      <w:r>
        <w:rPr>
          <w:spacing w:val="-4"/>
        </w:rPr>
        <w:t>以劳务总收入和总成本能够可靠地计量，与交易相关的经济利益能够流入本集团，劳务的完成程度能够可靠地确定时，</w:t>
      </w:r>
    </w:p>
    <w:p>
      <w:pPr>
        <w:pStyle w:val="BodyText"/>
        <w:spacing w:line="240" w:lineRule="auto" w:before="76"/>
        <w:ind w:right="0"/>
        <w:jc w:val="both"/>
      </w:pPr>
      <w:r>
        <w:rPr/>
        <w:t>确认劳务收入的实现。</w:t>
      </w:r>
    </w:p>
    <w:p>
      <w:pPr>
        <w:spacing w:line="240" w:lineRule="auto" w:before="0"/>
        <w:rPr>
          <w:rFonts w:ascii="宋体" w:hAnsi="宋体" w:cs="宋体" w:eastAsia="宋体" w:hint="default"/>
          <w:sz w:val="15"/>
          <w:szCs w:val="15"/>
        </w:rPr>
      </w:pPr>
    </w:p>
    <w:p>
      <w:pPr>
        <w:pStyle w:val="BodyText"/>
        <w:spacing w:line="316" w:lineRule="auto"/>
        <w:ind w:right="94" w:firstLine="439"/>
        <w:jc w:val="left"/>
      </w:pPr>
      <w:r>
        <w:rPr/>
        <w:t>在同一年度内开始并完成的劳务，在完成劳务时确认收入；劳务的开始和完成分属不同的会计年度，在提供劳务交易 的结果能够可靠估计的情况下，于资产负债表日按完工百分比法确认相关的劳务收入，完工百分比按已完工作的测量确认。</w:t>
      </w:r>
    </w:p>
    <w:p>
      <w:pPr>
        <w:pStyle w:val="BodyText"/>
        <w:spacing w:line="439" w:lineRule="auto" w:before="139"/>
        <w:ind w:left="592" w:right="2354"/>
        <w:jc w:val="left"/>
      </w:pPr>
      <w:r>
        <w:rPr/>
        <w:t>本集团提供劳务收入主要包括交通信息服务、车联网及编译服务、在线和行业应用服务。 劳务收入于提供服务期间确认。</w:t>
      </w:r>
    </w:p>
    <w:p>
      <w:pPr>
        <w:pStyle w:val="BodyText"/>
        <w:spacing w:line="417" w:lineRule="auto" w:before="47"/>
        <w:ind w:left="592" w:right="734"/>
        <w:jc w:val="left"/>
      </w:pPr>
      <w:r>
        <w:rPr/>
        <w:t>（</w:t>
      </w:r>
      <w:r>
        <w:rPr>
          <w:rFonts w:ascii="Times New Roman" w:hAnsi="Times New Roman" w:cs="Times New Roman" w:eastAsia="Times New Roman" w:hint="default"/>
        </w:rPr>
        <w:t>3</w:t>
      </w:r>
      <w:r>
        <w:rPr/>
        <w:t>）让渡资产使用权收入的确认原则： 以与交易相关的经济利益能够流入本集团，收入的金额能够可靠地计量时，确认让渡资产使用权收入的实现。</w:t>
      </w:r>
    </w:p>
    <w:p>
      <w:pPr>
        <w:spacing w:line="240" w:lineRule="auto" w:before="0"/>
        <w:rPr>
          <w:rFonts w:ascii="宋体" w:hAnsi="宋体" w:cs="宋体" w:eastAsia="宋体" w:hint="default"/>
          <w:sz w:val="17"/>
          <w:szCs w:val="17"/>
        </w:rPr>
      </w:pPr>
    </w:p>
    <w:p>
      <w:pPr>
        <w:pStyle w:val="Heading5"/>
        <w:spacing w:line="240" w:lineRule="auto"/>
        <w:ind w:right="0"/>
        <w:jc w:val="both"/>
        <w:rPr>
          <w:b w:val="0"/>
          <w:bCs w:val="0"/>
        </w:rPr>
      </w:pPr>
      <w:r>
        <w:rPr>
          <w:rFonts w:ascii="Times New Roman" w:hAnsi="Times New Roman" w:cs="Times New Roman" w:eastAsia="Times New Roman" w:hint="default"/>
        </w:rPr>
        <w:t>29</w:t>
      </w:r>
      <w:r>
        <w:rPr/>
        <w:t>、政府补助</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both"/>
        <w:rPr>
          <w:b w:val="0"/>
          <w:bCs w:val="0"/>
        </w:rPr>
      </w:pPr>
      <w:r>
        <w:rPr/>
        <w:t>（</w:t>
      </w:r>
      <w:r>
        <w:rPr>
          <w:rFonts w:ascii="Times New Roman" w:hAnsi="Times New Roman" w:cs="Times New Roman" w:eastAsia="Times New Roman" w:hint="default"/>
        </w:rPr>
        <w:t>1</w:t>
      </w:r>
      <w:r>
        <w:rPr/>
        <w:t>）与资产相关的政府补助判断依据及会计处理方法</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195" w:firstLine="439"/>
        <w:jc w:val="left"/>
      </w:pPr>
      <w:r>
        <w:rPr/>
        <w:t>与资产相关的政府补助，是指本集团取得的、用于购建或以其他方式形成长期资产的政府补助。与资产相关的政府补 助确认为递延收益，并在相关资产使用寿命内平均分配计入当期损益。</w:t>
      </w:r>
    </w:p>
    <w:p>
      <w:pPr>
        <w:spacing w:after="0" w:line="316" w:lineRule="auto"/>
        <w:jc w:val="left"/>
        <w:sectPr>
          <w:pgSz w:w="11910" w:h="16840"/>
          <w:pgMar w:header="745" w:footer="979" w:top="1060" w:bottom="1160" w:left="980" w:right="94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）与收益相关的政府补助判断依据及会计处理方法</w:t>
      </w:r>
      <w:r>
        <w:rPr>
          <w:b w:val="0"/>
          <w:bCs w:val="0"/>
        </w:rPr>
      </w:r>
    </w:p>
    <w:p>
      <w:pPr>
        <w:spacing w:line="240" w:lineRule="auto" w:before="5"/>
        <w:rPr>
          <w:rFonts w:ascii="宋体" w:hAnsi="宋体" w:cs="宋体" w:eastAsia="宋体" w:hint="default"/>
          <w:b/>
          <w:bCs/>
          <w:sz w:val="26"/>
          <w:szCs w:val="26"/>
        </w:rPr>
      </w:pPr>
    </w:p>
    <w:p>
      <w:pPr>
        <w:pStyle w:val="BodyText"/>
        <w:spacing w:line="316" w:lineRule="auto"/>
        <w:ind w:right="150" w:firstLine="360"/>
        <w:jc w:val="both"/>
      </w:pPr>
      <w:r>
        <w:rPr>
          <w:spacing w:val="-2"/>
        </w:rPr>
        <w:t>与收益相关的政府补助，是指除与资产相关的政府补助之外的政府补助。与收益相关的政府补助，用于补偿以后期间的</w:t>
      </w:r>
      <w:r>
        <w:rPr/>
        <w:t> </w:t>
      </w:r>
      <w:r>
        <w:rPr>
          <w:spacing w:val="-2"/>
        </w:rPr>
        <w:t>相关费用或损失的，确认为递延收益，并在确认相关费用的期间计入当期损益；用于补偿已发生的相关费用或损失的，直接</w:t>
      </w:r>
      <w:r>
        <w:rPr>
          <w:spacing w:val="-64"/>
        </w:rPr>
        <w:t> </w:t>
      </w:r>
      <w:r>
        <w:rPr>
          <w:spacing w:val="-64"/>
        </w:rPr>
      </w:r>
      <w:r>
        <w:rPr/>
        <w:t>计入当期损益。</w:t>
      </w:r>
    </w:p>
    <w:p>
      <w:pPr>
        <w:spacing w:line="240" w:lineRule="auto" w:before="10"/>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2"/>
        <w:rPr>
          <w:rFonts w:ascii="宋体" w:hAnsi="宋体" w:cs="宋体" w:eastAsia="宋体" w:hint="default"/>
          <w:b/>
          <w:bCs/>
          <w:sz w:val="26"/>
          <w:szCs w:val="26"/>
        </w:rPr>
      </w:pPr>
    </w:p>
    <w:p>
      <w:pPr>
        <w:pStyle w:val="BodyText"/>
        <w:spacing w:line="319" w:lineRule="auto"/>
        <w:ind w:right="151" w:firstLine="439"/>
        <w:jc w:val="both"/>
      </w:pPr>
      <w:r>
        <w:rPr/>
        <w:t>本集团递延所得税资产和递延所得税负债根据资产和负债的计税基础与其账面价值的差额（暂时性差异）计算确认。 </w:t>
      </w:r>
      <w:r>
        <w:rPr>
          <w:spacing w:val="-2"/>
        </w:rPr>
        <w:t>对于按照税法规定能够于以后年度抵减应纳税所得额的可抵扣亏损，确认相应的递延所得税资产。对于商誉的初始确认产生</w:t>
      </w:r>
      <w:r>
        <w:rPr>
          <w:spacing w:val="-64"/>
        </w:rPr>
        <w:t> </w:t>
      </w:r>
      <w:r>
        <w:rPr>
          <w:spacing w:val="-64"/>
        </w:rPr>
      </w:r>
      <w:r>
        <w:rPr>
          <w:spacing w:val="-2"/>
        </w:rPr>
        <w:t>的暂时性差异，不确认相应的递延所得税负债。对于既不影响会计利润也不影响应纳税所得额（或可抵扣亏损）的非企业合</w:t>
      </w:r>
      <w:r>
        <w:rPr>
          <w:spacing w:val="-64"/>
        </w:rPr>
        <w:t> </w:t>
      </w:r>
      <w:r>
        <w:rPr>
          <w:spacing w:val="-64"/>
        </w:rPr>
      </w:r>
      <w:r>
        <w:rPr>
          <w:spacing w:val="-2"/>
        </w:rPr>
        <w:t>并的交易中产生的资产或负债的初始确认形成的暂时性差异，不确认相应的递延所得税资产和递延所得税负债。于资产负债</w:t>
      </w:r>
      <w:r>
        <w:rPr>
          <w:spacing w:val="-63"/>
        </w:rPr>
        <w:t> </w:t>
      </w:r>
      <w:r>
        <w:rPr>
          <w:spacing w:val="-63"/>
        </w:rPr>
      </w:r>
      <w:r>
        <w:rPr/>
        <w:t>表日，递延所得税资产和递延所得税负债，按照预期收回该资产或清偿该负债期间的适用税率计量。</w:t>
      </w:r>
    </w:p>
    <w:p>
      <w:pPr>
        <w:pStyle w:val="BodyText"/>
        <w:spacing w:line="316" w:lineRule="auto" w:before="137"/>
        <w:ind w:right="156" w:firstLine="439"/>
        <w:jc w:val="both"/>
      </w:pPr>
      <w:r>
        <w:rPr/>
        <w:t>本集团以很可能取得用来抵扣可抵扣暂时性差异、可抵扣亏损和税款抵减的未来应纳税所得额为限，确认递延所得税 资产。</w:t>
      </w:r>
    </w:p>
    <w:p>
      <w:pPr>
        <w:spacing w:line="240" w:lineRule="auto" w:before="10"/>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31</w:t>
      </w:r>
      <w:r>
        <w:rPr/>
        <w:t>、租赁</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）经营租赁的会计处理方法</w:t>
      </w:r>
      <w:r>
        <w:rPr>
          <w:b w:val="0"/>
          <w:bCs w:val="0"/>
        </w:rPr>
      </w:r>
    </w:p>
    <w:p>
      <w:pPr>
        <w:pStyle w:val="BodyText"/>
        <w:spacing w:line="430" w:lineRule="atLeast" w:before="147"/>
        <w:ind w:left="592" w:right="154" w:firstLine="40"/>
        <w:jc w:val="left"/>
      </w:pPr>
      <w:r>
        <w:rPr/>
        <w:t>本集团租赁业务为经营租赁。 本集团作为承租方的租金在租赁期内的各个期间按直线法计入相关资产成本或当期损益，本集团作为出租方的租金在</w:t>
      </w:r>
    </w:p>
    <w:p>
      <w:pPr>
        <w:pStyle w:val="BodyText"/>
        <w:spacing w:line="240" w:lineRule="auto" w:before="77"/>
        <w:ind w:right="0"/>
        <w:jc w:val="left"/>
      </w:pPr>
      <w:r>
        <w:rPr/>
        <w:t>租赁期内的各个期间按直线法确认为收</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不适用</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32</w:t>
      </w:r>
      <w:r>
        <w:rPr/>
        <w:t>、其他重要的会计政策和会计估计</w:t>
      </w:r>
      <w:r>
        <w:rPr>
          <w:b w:val="0"/>
          <w:bCs w:val="0"/>
        </w:rPr>
      </w:r>
    </w:p>
    <w:p>
      <w:pPr>
        <w:pStyle w:val="BodyText"/>
        <w:spacing w:line="420" w:lineRule="atLeast" w:before="171"/>
        <w:ind w:left="592" w:right="154" w:hanging="8"/>
        <w:jc w:val="left"/>
      </w:pPr>
      <w:r>
        <w:rPr/>
        <w:t>（</w:t>
      </w:r>
      <w:r>
        <w:rPr>
          <w:rFonts w:ascii="Times New Roman" w:hAnsi="Times New Roman" w:cs="Times New Roman" w:eastAsia="Times New Roman" w:hint="default"/>
        </w:rPr>
        <w:t>1</w:t>
      </w:r>
      <w:r>
        <w:rPr/>
        <w:t>）商誉 商誉为股权投资成本或非同一控制下企业合并成本超过应享有的或企业合并中取得的被投资单位或被购买方可辨认净</w:t>
      </w:r>
    </w:p>
    <w:p>
      <w:pPr>
        <w:pStyle w:val="BodyText"/>
        <w:spacing w:line="240" w:lineRule="auto" w:before="76"/>
        <w:ind w:right="0"/>
        <w:jc w:val="left"/>
      </w:pPr>
      <w:r>
        <w:rPr/>
        <w:t>资产于取得日或购买日的公允价值份额的差额。</w:t>
      </w:r>
    </w:p>
    <w:p>
      <w:pPr>
        <w:spacing w:line="240" w:lineRule="auto" w:before="1"/>
        <w:rPr>
          <w:rFonts w:ascii="宋体" w:hAnsi="宋体" w:cs="宋体" w:eastAsia="宋体" w:hint="default"/>
          <w:sz w:val="15"/>
          <w:szCs w:val="15"/>
        </w:rPr>
      </w:pPr>
    </w:p>
    <w:p>
      <w:pPr>
        <w:pStyle w:val="BodyText"/>
        <w:spacing w:line="316" w:lineRule="auto"/>
        <w:ind w:right="156" w:firstLine="439"/>
        <w:jc w:val="both"/>
      </w:pPr>
      <w:r>
        <w:rPr/>
        <w:t>与子公司有关的商誉在合并财务报表上单独列示，与联营企业和合营企业有关的商誉，包含在长期股权投资的账面价 值中。</w:t>
      </w:r>
    </w:p>
    <w:p>
      <w:pPr>
        <w:pStyle w:val="BodyText"/>
        <w:spacing w:line="432" w:lineRule="exact" w:before="3"/>
        <w:ind w:left="592" w:right="0"/>
        <w:jc w:val="left"/>
      </w:pPr>
      <w:r>
        <w:rPr/>
        <w:t>（</w:t>
      </w:r>
      <w:r>
        <w:rPr>
          <w:rFonts w:ascii="Times New Roman" w:hAnsi="Times New Roman" w:cs="Times New Roman" w:eastAsia="Times New Roman" w:hint="default"/>
        </w:rPr>
        <w:t>2</w:t>
      </w:r>
      <w:r>
        <w:rPr/>
        <w:t>）回购股份 </w:t>
      </w:r>
      <w:r>
        <w:rPr>
          <w:spacing w:val="-4"/>
        </w:rPr>
        <w:t>本集团按法定程序报经批准采用收购本集团股票方式减资的，按注销股票面值总额减少股本，购回股票支付的价款（含</w:t>
      </w:r>
    </w:p>
    <w:p>
      <w:pPr>
        <w:pStyle w:val="BodyText"/>
        <w:spacing w:line="316" w:lineRule="auto" w:before="15"/>
        <w:ind w:right="0"/>
        <w:jc w:val="left"/>
      </w:pPr>
      <w:r>
        <w:rPr>
          <w:spacing w:val="-2"/>
        </w:rPr>
        <w:t>交易费用）与股票面值的差额调整所有者权益，超过面值总额的部分，应依次冲减资本公积（股本溢价）、盈余公积和未分</w:t>
      </w:r>
      <w:r>
        <w:rPr>
          <w:spacing w:val="-70"/>
        </w:rPr>
        <w:t> </w:t>
      </w:r>
      <w:r>
        <w:rPr>
          <w:spacing w:val="-70"/>
        </w:rPr>
      </w:r>
      <w:r>
        <w:rPr/>
        <w:t>配利润；低于面值总额的，低于面值总额的部分增加资本公积（股本溢价）。</w:t>
      </w:r>
    </w:p>
    <w:p>
      <w:pPr>
        <w:pStyle w:val="BodyText"/>
        <w:spacing w:line="432" w:lineRule="exact" w:before="3"/>
        <w:ind w:left="592" w:right="154"/>
        <w:jc w:val="left"/>
      </w:pPr>
      <w:r>
        <w:rPr/>
        <w:t>本集团回购的股份在注销或者转让之前，作为库存股管理，回购股份的全部支出转作库存股成本。 库存股转让时，转让收入高于库存股成本的部分，增加资本公积（股本溢价）；低于库存股成本的部分，依次冲减资</w:t>
      </w:r>
    </w:p>
    <w:p>
      <w:pPr>
        <w:pStyle w:val="BodyText"/>
        <w:spacing w:line="240" w:lineRule="auto" w:before="15"/>
        <w:ind w:right="0"/>
        <w:jc w:val="left"/>
      </w:pPr>
      <w:r>
        <w:rPr/>
        <w:t>本公积（股本溢价）、盈余公积、未分配利润。因实行股权激励回购本公司股份的，在回购时，按照回购股份的全部支出作</w:t>
      </w:r>
    </w:p>
    <w:p>
      <w:pPr>
        <w:spacing w:after="0" w:line="240" w:lineRule="auto"/>
        <w:jc w:val="left"/>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240" w:lineRule="auto" w:before="44"/>
        <w:ind w:right="0"/>
        <w:jc w:val="both"/>
      </w:pPr>
      <w:r>
        <w:rPr/>
        <w:t>为库存股处理，同时进行备查登记。</w:t>
      </w:r>
    </w:p>
    <w:p>
      <w:pPr>
        <w:pStyle w:val="BodyText"/>
        <w:spacing w:line="420" w:lineRule="atLeast" w:before="26"/>
        <w:ind w:left="570" w:right="0" w:firstLine="21"/>
        <w:jc w:val="left"/>
      </w:pPr>
      <w:r>
        <w:rPr/>
        <w:t>（</w:t>
      </w:r>
      <w:r>
        <w:rPr>
          <w:rFonts w:ascii="Times New Roman" w:hAnsi="Times New Roman" w:cs="Times New Roman" w:eastAsia="Times New Roman" w:hint="default"/>
        </w:rPr>
        <w:t>3</w:t>
      </w:r>
      <w:r>
        <w:rPr/>
        <w:t>）所得税的会计核算 所得税的会计核算采用资产负债表债务法。所得税费用包括当期所得税和递延所得税。除将与直接计入股东权益的交</w:t>
      </w:r>
    </w:p>
    <w:p>
      <w:pPr>
        <w:pStyle w:val="BodyText"/>
        <w:spacing w:line="316" w:lineRule="auto" w:before="76"/>
        <w:ind w:right="0"/>
        <w:jc w:val="left"/>
      </w:pPr>
      <w:r>
        <w:rPr>
          <w:spacing w:val="-2"/>
        </w:rPr>
        <w:t>易和事项相关的当期所得税和递延所得税计入股东权益，以及企业合并产生的递延所得税调整商誉的账面价值外，其余的当</w:t>
      </w:r>
      <w:r>
        <w:rPr>
          <w:spacing w:val="-64"/>
        </w:rPr>
        <w:t> </w:t>
      </w:r>
      <w:r>
        <w:rPr>
          <w:spacing w:val="-64"/>
        </w:rPr>
      </w:r>
      <w:r>
        <w:rPr/>
        <w:t>期所得税和递延所得税费用或收益计入当期损益。</w:t>
      </w:r>
    </w:p>
    <w:p>
      <w:pPr>
        <w:pStyle w:val="BodyText"/>
        <w:spacing w:line="316" w:lineRule="auto" w:before="139"/>
        <w:ind w:right="156" w:firstLine="439"/>
        <w:jc w:val="both"/>
      </w:pPr>
      <w:r>
        <w:rPr/>
        <w:t>当期所得税是指公司按照税务规定计算确定的针对当年发生的交易和事项，应纳给税务部门的金额，即应交所得税； 递延所得税是指按照资产负债表债务法应予确认的递延所得税资产和递延所得税负债在年末应有的金额相对于原已确认金</w:t>
      </w:r>
      <w:r>
        <w:rPr>
          <w:spacing w:val="-11"/>
        </w:rPr>
        <w:t> </w:t>
      </w:r>
      <w:r>
        <w:rPr>
          <w:spacing w:val="-11"/>
        </w:rPr>
      </w:r>
      <w:r>
        <w:rPr/>
        <w:t>额之间的差额。</w:t>
      </w:r>
    </w:p>
    <w:p>
      <w:pPr>
        <w:pStyle w:val="BodyText"/>
        <w:spacing w:line="432" w:lineRule="exact" w:before="3"/>
        <w:ind w:left="592" w:right="0"/>
        <w:jc w:val="left"/>
      </w:pPr>
      <w:r>
        <w:rPr/>
        <w:t>（</w:t>
      </w:r>
      <w:r>
        <w:rPr>
          <w:rFonts w:ascii="Times New Roman" w:hAnsi="Times New Roman" w:cs="Times New Roman" w:eastAsia="Times New Roman" w:hint="default"/>
        </w:rPr>
        <w:t>4</w:t>
      </w:r>
      <w:r>
        <w:rPr/>
        <w:t>）分部信息 </w:t>
      </w:r>
      <w:r>
        <w:rPr>
          <w:spacing w:val="-4"/>
        </w:rPr>
        <w:t>本集团以内部组织结构、管理要求、内部报告制度为依据确定经营分部，以经营分部为基础确定报告分部。经营分部，</w:t>
      </w:r>
    </w:p>
    <w:p>
      <w:pPr>
        <w:pStyle w:val="BodyText"/>
        <w:spacing w:line="316" w:lineRule="auto" w:before="16"/>
        <w:ind w:right="150"/>
        <w:jc w:val="both"/>
      </w:pPr>
      <w:r>
        <w:rPr>
          <w:spacing w:val="-2"/>
        </w:rPr>
        <w:t>是指集团内同时满足下列条件的组成部分：该组成部分能够在日常活动中产生收入、发生费用；公司管理层能够定期评价该</w:t>
      </w:r>
      <w:r>
        <w:rPr>
          <w:spacing w:val="-63"/>
        </w:rPr>
        <w:t> </w:t>
      </w:r>
      <w:r>
        <w:rPr>
          <w:spacing w:val="-63"/>
        </w:rPr>
      </w:r>
      <w:r>
        <w:rPr>
          <w:spacing w:val="-2"/>
        </w:rPr>
        <w:t>组成部分的经营成果，以决定向其配置资源、评价其业绩；公司能够取得该组成部分的财务状况、经营成果和现金流量等有</w:t>
      </w:r>
      <w:r>
        <w:rPr>
          <w:spacing w:val="-64"/>
        </w:rPr>
        <w:t> </w:t>
      </w:r>
      <w:r>
        <w:rPr>
          <w:spacing w:val="-64"/>
        </w:rPr>
      </w:r>
      <w:r>
        <w:rPr/>
        <w:t>关会计信息。</w:t>
      </w:r>
    </w:p>
    <w:p>
      <w:pPr>
        <w:pStyle w:val="BodyText"/>
        <w:spacing w:line="432" w:lineRule="exact" w:before="3"/>
        <w:ind w:left="592" w:right="154"/>
        <w:jc w:val="left"/>
      </w:pPr>
      <w:r>
        <w:rPr/>
        <w:t>公司存在相似经济特征的两个或多个经营分部，合并为一个经营分部。 由于目前本公司及子公司的业务均为以导航电子地图为主的相关销售及服务，整体性质相同，生产、定价、销售、使</w:t>
      </w:r>
    </w:p>
    <w:p>
      <w:pPr>
        <w:pStyle w:val="BodyText"/>
        <w:spacing w:line="240" w:lineRule="auto" w:before="15"/>
        <w:ind w:right="0"/>
        <w:jc w:val="both"/>
      </w:pPr>
      <w:r>
        <w:rPr/>
        <w:t>用等环节均密不可分，因此，本公司及子公司为一个经营分部。</w:t>
      </w:r>
    </w:p>
    <w:p>
      <w:pPr>
        <w:spacing w:line="240" w:lineRule="auto" w:before="0"/>
        <w:rPr>
          <w:rFonts w:ascii="宋体" w:hAnsi="宋体" w:cs="宋体" w:eastAsia="宋体" w:hint="default"/>
          <w:sz w:val="15"/>
          <w:szCs w:val="15"/>
        </w:rPr>
      </w:pPr>
    </w:p>
    <w:p>
      <w:pPr>
        <w:pStyle w:val="BodyText"/>
        <w:spacing w:line="415" w:lineRule="auto"/>
        <w:ind w:left="513" w:right="138"/>
        <w:jc w:val="left"/>
      </w:pPr>
      <w:r>
        <w:rPr/>
        <w:t>（</w:t>
      </w:r>
      <w:r>
        <w:rPr>
          <w:rFonts w:ascii="Times New Roman" w:hAnsi="Times New Roman" w:cs="Times New Roman" w:eastAsia="Times New Roman" w:hint="default"/>
        </w:rPr>
        <w:t>5</w:t>
      </w:r>
      <w:r>
        <w:rPr/>
        <w:t>）终止经营 </w:t>
      </w:r>
      <w:r>
        <w:rPr>
          <w:spacing w:val="-5"/>
        </w:rPr>
        <w:t>终止经营，是指本集团满足下列条件之一的、能够单独区分的组成部分，且该组成部分已经处置或划分为持有待售类别：</w:t>
      </w:r>
    </w:p>
    <w:p>
      <w:pPr>
        <w:pStyle w:val="BodyText"/>
        <w:spacing w:line="194" w:lineRule="exact"/>
        <w:ind w:right="0"/>
        <w:jc w:val="both"/>
      </w:pPr>
      <w:r>
        <w:rPr>
          <w:rFonts w:ascii="Times New Roman" w:hAnsi="Times New Roman" w:cs="Times New Roman" w:eastAsia="Times New Roman" w:hint="default"/>
        </w:rPr>
        <w:t>1</w:t>
      </w:r>
      <w:r>
        <w:rPr/>
        <w:t>）该组成部分代表一项独立的主要业务或一个单独的主要经营地区；</w:t>
      </w:r>
      <w:r>
        <w:rPr>
          <w:rFonts w:ascii="Times New Roman" w:hAnsi="Times New Roman" w:cs="Times New Roman" w:eastAsia="Times New Roman" w:hint="default"/>
        </w:rPr>
        <w:t>2</w:t>
      </w:r>
      <w:r>
        <w:rPr/>
        <w:t>）该组成部分是拟对一项独立的主要业务或一个单独</w:t>
      </w:r>
    </w:p>
    <w:p>
      <w:pPr>
        <w:pStyle w:val="BodyText"/>
        <w:spacing w:line="240" w:lineRule="auto" w:before="63"/>
        <w:ind w:right="0"/>
        <w:jc w:val="both"/>
        <w:rPr>
          <w:rFonts w:ascii="宋体" w:hAnsi="宋体" w:cs="宋体" w:eastAsia="宋体" w:hint="default"/>
        </w:rPr>
      </w:pPr>
      <w:r>
        <w:rPr/>
        <w:t>的主要经营地区进行处置的一项相关联计划的一部分；</w:t>
      </w:r>
      <w:r>
        <w:rPr>
          <w:rFonts w:ascii="Times New Roman" w:hAnsi="Times New Roman" w:cs="Times New Roman" w:eastAsia="Times New Roman" w:hint="default"/>
        </w:rPr>
        <w:t>3</w:t>
      </w:r>
      <w:r>
        <w:rPr/>
        <w:t>）该组成部分是专为转售而取得的子公司。</w:t>
      </w:r>
      <w:r>
        <w:rPr>
          <w:rFonts w:ascii="宋体" w:hAnsi="宋体" w:cs="宋体" w:eastAsia="宋体" w:hint="default"/>
        </w:rPr>
        <w:t> </w:t>
      </w:r>
    </w:p>
    <w:p>
      <w:pPr>
        <w:spacing w:line="240" w:lineRule="auto" w:before="2"/>
        <w:rPr>
          <w:rFonts w:ascii="宋体" w:hAnsi="宋体" w:cs="宋体" w:eastAsia="宋体" w:hint="default"/>
          <w:sz w:val="26"/>
          <w:szCs w:val="26"/>
        </w:rPr>
      </w:pPr>
    </w:p>
    <w:p>
      <w:pPr>
        <w:pStyle w:val="Heading5"/>
        <w:spacing w:line="240" w:lineRule="auto"/>
        <w:ind w:right="0"/>
        <w:jc w:val="both"/>
        <w:rPr>
          <w:b w:val="0"/>
          <w:bCs w:val="0"/>
        </w:rPr>
      </w:pPr>
      <w:r>
        <w:rPr>
          <w:rFonts w:ascii="Times New Roman" w:hAnsi="Times New Roman" w:cs="Times New Roman" w:eastAsia="Times New Roman" w:hint="default"/>
        </w:rPr>
        <w:t>33</w:t>
      </w:r>
      <w:r>
        <w:rPr/>
        <w:t>、重要会计政策和会计估计变更</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both"/>
        <w:rPr>
          <w:b w:val="0"/>
          <w:bCs w:val="0"/>
        </w:rPr>
      </w:pPr>
      <w:r>
        <w:rPr/>
        <w:t>（</w:t>
      </w:r>
      <w:r>
        <w:rPr>
          <w:rFonts w:ascii="Times New Roman" w:hAnsi="Times New Roman" w:cs="Times New Roman" w:eastAsia="Times New Roman" w:hint="default"/>
        </w:rPr>
        <w:t>1</w:t>
      </w:r>
      <w:r>
        <w:rPr/>
        <w:t>）重要会计政策变更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4"/>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4254"/>
        <w:gridCol w:w="2268"/>
        <w:gridCol w:w="3049"/>
      </w:tblGrid>
      <w:tr>
        <w:trPr>
          <w:trHeight w:val="401"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42"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360" w:hRule="exact"/>
        </w:trPr>
        <w:tc>
          <w:tcPr>
            <w:tcW w:w="42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《企业会计准则第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42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持有待售的非流动资产、处</w:t>
            </w:r>
          </w:p>
        </w:tc>
        <w:tc>
          <w:tcPr>
            <w:tcW w:w="2268" w:type="dxa"/>
            <w:tcBorders>
              <w:top w:val="single" w:sz="4" w:space="0" w:color="000000"/>
              <w:left w:val="single" w:sz="4" w:space="0" w:color="000000"/>
              <w:bottom w:val="nil" w:sz="6" w:space="0" w:color="auto"/>
              <w:right w:val="single" w:sz="4" w:space="0" w:color="000000"/>
            </w:tcBorders>
          </w:tcPr>
          <w:p>
            <w:pPr/>
          </w:p>
        </w:tc>
        <w:tc>
          <w:tcPr>
            <w:tcW w:w="3049"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4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置组和终止经营》对于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日之后持有待</w:t>
            </w:r>
          </w:p>
        </w:tc>
        <w:tc>
          <w:tcPr>
            <w:tcW w:w="2268"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
        </w:tc>
      </w:tr>
      <w:tr>
        <w:trPr>
          <w:trHeight w:val="307" w:hRule="exact"/>
        </w:trPr>
        <w:tc>
          <w:tcPr>
            <w:tcW w:w="4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售的非流动资产或处置组的分类、计量和列报，以及</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四维图新第四届第七次董事</w:t>
            </w: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受影响的报表项目：持续经营净利润</w:t>
            </w:r>
          </w:p>
        </w:tc>
      </w:tr>
      <w:tr>
        <w:trPr>
          <w:trHeight w:val="317" w:hRule="exact"/>
        </w:trPr>
        <w:tc>
          <w:tcPr>
            <w:tcW w:w="42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终止经营的列报等进行了规定，并采用未来适用法进</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会审批通过</w:t>
            </w: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年度影响金额：</w:t>
            </w:r>
            <w:r>
              <w:rPr>
                <w:rFonts w:ascii="Times New Roman" w:hAnsi="Times New Roman" w:cs="Times New Roman" w:eastAsia="Times New Roman" w:hint="default"/>
                <w:sz w:val="18"/>
                <w:szCs w:val="18"/>
              </w:rPr>
              <w:t>116,258,904.80</w:t>
            </w:r>
            <w:r>
              <w:rPr>
                <w:rFonts w:ascii="Times New Roman" w:hAnsi="Times New Roman" w:cs="Times New Roman" w:eastAsia="Times New Roman" w:hint="default"/>
                <w:spacing w:val="-26"/>
                <w:sz w:val="18"/>
                <w:szCs w:val="18"/>
              </w:rPr>
              <w:t> </w:t>
            </w:r>
            <w:r>
              <w:rPr>
                <w:rFonts w:ascii="宋体" w:hAnsi="宋体" w:cs="宋体" w:eastAsia="宋体" w:hint="default"/>
                <w:sz w:val="18"/>
                <w:szCs w:val="18"/>
              </w:rPr>
              <w:t>元</w:t>
            </w:r>
          </w:p>
        </w:tc>
      </w:tr>
      <w:tr>
        <w:trPr>
          <w:trHeight w:val="307" w:hRule="exact"/>
        </w:trPr>
        <w:tc>
          <w:tcPr>
            <w:tcW w:w="4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行处理；修改了财务报表的列报，在合并利润表和利</w:t>
            </w:r>
          </w:p>
        </w:tc>
        <w:tc>
          <w:tcPr>
            <w:tcW w:w="2268"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42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润表中分别列示持续经营损益和终止经营损益等。</w:t>
            </w:r>
          </w:p>
        </w:tc>
        <w:tc>
          <w:tcPr>
            <w:tcW w:w="2268" w:type="dxa"/>
            <w:tcBorders>
              <w:top w:val="nil" w:sz="6" w:space="0" w:color="auto"/>
              <w:left w:val="single" w:sz="4" w:space="0" w:color="000000"/>
              <w:bottom w:val="single" w:sz="4" w:space="0" w:color="000000"/>
              <w:right w:val="single" w:sz="4" w:space="0" w:color="000000"/>
            </w:tcBorders>
          </w:tcPr>
          <w:p>
            <w:pPr/>
          </w:p>
        </w:tc>
        <w:tc>
          <w:tcPr>
            <w:tcW w:w="3049"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425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《企业会计准则第</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z w:val="18"/>
                <w:szCs w:val="18"/>
              </w:rPr>
              <w:t>政</w:t>
            </w:r>
            <w:r>
              <w:rPr>
                <w:rFonts w:ascii="宋体" w:hAnsi="宋体" w:cs="宋体" w:eastAsia="宋体" w:hint="default"/>
                <w:spacing w:val="-3"/>
                <w:sz w:val="18"/>
                <w:szCs w:val="18"/>
              </w:rPr>
              <w:t>府</w:t>
            </w:r>
            <w:r>
              <w:rPr>
                <w:rFonts w:ascii="宋体" w:hAnsi="宋体" w:cs="宋体" w:eastAsia="宋体" w:hint="default"/>
                <w:sz w:val="18"/>
                <w:szCs w:val="18"/>
              </w:rPr>
              <w:t>补助</w:t>
            </w:r>
            <w:r>
              <w:rPr>
                <w:rFonts w:ascii="宋体" w:hAnsi="宋体" w:cs="宋体" w:eastAsia="宋体" w:hint="default"/>
                <w:spacing w:val="-92"/>
                <w:sz w:val="18"/>
                <w:szCs w:val="18"/>
              </w:rPr>
              <w:t>》</w:t>
            </w:r>
            <w:r>
              <w:rPr>
                <w:rFonts w:ascii="宋体" w:hAnsi="宋体" w:cs="宋体" w:eastAsia="宋体" w:hint="default"/>
                <w:sz w:val="18"/>
                <w:szCs w:val="18"/>
              </w:rPr>
              <w:t>（</w:t>
            </w:r>
            <w:r>
              <w:rPr>
                <w:rFonts w:ascii="Times New Roman" w:hAnsi="Times New Roman" w:cs="Times New Roman" w:eastAsia="Times New Roman" w:hint="default"/>
                <w:spacing w:val="1"/>
                <w:sz w:val="18"/>
                <w:szCs w:val="18"/>
              </w:rPr>
              <w:t>2017</w:t>
            </w:r>
            <w:r>
              <w:rPr>
                <w:rFonts w:ascii="宋体" w:hAnsi="宋体" w:cs="宋体" w:eastAsia="宋体" w:hint="default"/>
                <w:spacing w:val="-3"/>
                <w:sz w:val="18"/>
                <w:szCs w:val="18"/>
              </w:rPr>
              <w:t>）</w:t>
            </w: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7</w:t>
            </w:r>
          </w:p>
        </w:tc>
        <w:tc>
          <w:tcPr>
            <w:tcW w:w="2268" w:type="dxa"/>
            <w:tcBorders>
              <w:top w:val="single" w:sz="4" w:space="0" w:color="000000"/>
              <w:left w:val="single" w:sz="4" w:space="0" w:color="000000"/>
              <w:bottom w:val="nil" w:sz="6" w:space="0" w:color="auto"/>
              <w:right w:val="single" w:sz="4" w:space="0" w:color="000000"/>
            </w:tcBorders>
          </w:tcPr>
          <w:p>
            <w:pPr/>
          </w:p>
        </w:tc>
        <w:tc>
          <w:tcPr>
            <w:tcW w:w="3049"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4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日起施行</w:t>
            </w:r>
            <w:r>
              <w:rPr>
                <w:rFonts w:ascii="宋体" w:hAnsi="宋体" w:cs="宋体" w:eastAsia="宋体" w:hint="default"/>
                <w:spacing w:val="-80"/>
                <w:sz w:val="18"/>
                <w:szCs w:val="18"/>
              </w:rPr>
              <w:t>，</w:t>
            </w:r>
            <w:r>
              <w:rPr>
                <w:rFonts w:ascii="Times New Roman" w:hAnsi="Times New Roman" w:cs="Times New Roman" w:eastAsia="Times New Roman" w:hint="default"/>
                <w:spacing w:val="-2"/>
                <w:sz w:val="18"/>
                <w:szCs w:val="18"/>
              </w:rPr>
              <w:t>2</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日存在的政府补助</w:t>
            </w:r>
          </w:p>
        </w:tc>
        <w:tc>
          <w:tcPr>
            <w:tcW w:w="2268"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
        </w:tc>
      </w:tr>
      <w:tr>
        <w:trPr>
          <w:trHeight w:val="931" w:hRule="exact"/>
        </w:trPr>
        <w:tc>
          <w:tcPr>
            <w:tcW w:w="4254" w:type="dxa"/>
            <w:tcBorders>
              <w:top w:val="nil" w:sz="6" w:space="0" w:color="auto"/>
              <w:left w:val="single" w:sz="4" w:space="0" w:color="000000"/>
              <w:bottom w:val="nil" w:sz="6" w:space="0" w:color="auto"/>
              <w:right w:val="single" w:sz="4" w:space="0" w:color="000000"/>
            </w:tcBorders>
          </w:tcPr>
          <w:p>
            <w:pPr>
              <w:pStyle w:val="TableParagraph"/>
              <w:spacing w:line="309" w:lineRule="auto" w:before="5"/>
              <w:ind w:left="24" w:right="-12"/>
              <w:jc w:val="left"/>
              <w:rPr>
                <w:rFonts w:ascii="宋体" w:hAnsi="宋体" w:cs="宋体" w:eastAsia="宋体" w:hint="default"/>
                <w:sz w:val="18"/>
                <w:szCs w:val="18"/>
              </w:rPr>
            </w:pPr>
            <w:r>
              <w:rPr>
                <w:rFonts w:ascii="宋体" w:hAnsi="宋体" w:cs="宋体" w:eastAsia="宋体" w:hint="default"/>
                <w:sz w:val="18"/>
                <w:szCs w:val="18"/>
              </w:rPr>
              <w:t>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年新增的政府补助适用该准则。根据该准则， 对于与日常活动相关的政府补助，在计入利润表时， 按照经济业务实质，由原计入营业外收入改为计入其</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316" w:lineRule="auto"/>
              <w:ind w:left="24" w:right="72"/>
              <w:jc w:val="left"/>
              <w:rPr>
                <w:rFonts w:ascii="宋体" w:hAnsi="宋体" w:cs="宋体" w:eastAsia="宋体" w:hint="default"/>
                <w:sz w:val="18"/>
                <w:szCs w:val="18"/>
              </w:rPr>
            </w:pPr>
            <w:r>
              <w:rPr>
                <w:rFonts w:ascii="宋体" w:hAnsi="宋体" w:cs="宋体" w:eastAsia="宋体" w:hint="default"/>
                <w:sz w:val="18"/>
                <w:szCs w:val="18"/>
              </w:rPr>
              <w:t>四维图新第四届第七次董事 会审批通过</w:t>
            </w:r>
          </w:p>
        </w:tc>
        <w:tc>
          <w:tcPr>
            <w:tcW w:w="304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受影响的报表项目及影响金额：无</w:t>
            </w:r>
          </w:p>
        </w:tc>
      </w:tr>
      <w:tr>
        <w:trPr>
          <w:trHeight w:val="331" w:hRule="exact"/>
        </w:trPr>
        <w:tc>
          <w:tcPr>
            <w:tcW w:w="42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他收益。</w:t>
            </w:r>
          </w:p>
        </w:tc>
        <w:tc>
          <w:tcPr>
            <w:tcW w:w="2268" w:type="dxa"/>
            <w:tcBorders>
              <w:top w:val="nil" w:sz="6" w:space="0" w:color="auto"/>
              <w:left w:val="single" w:sz="4" w:space="0" w:color="000000"/>
              <w:bottom w:val="nil" w:sz="6" w:space="0" w:color="auto"/>
              <w:right w:val="single" w:sz="4" w:space="0" w:color="000000"/>
            </w:tcBorders>
          </w:tcPr>
          <w:p>
            <w:pPr/>
          </w:p>
        </w:tc>
        <w:tc>
          <w:tcPr>
            <w:tcW w:w="3049" w:type="dxa"/>
            <w:tcBorders>
              <w:top w:val="nil" w:sz="6" w:space="0" w:color="auto"/>
              <w:left w:val="single" w:sz="4" w:space="0" w:color="000000"/>
              <w:bottom w:val="nil" w:sz="6" w:space="0" w:color="auto"/>
              <w:right w:val="single" w:sz="4" w:space="0" w:color="000000"/>
            </w:tcBorders>
          </w:tcPr>
          <w:p>
            <w:pPr/>
          </w:p>
        </w:tc>
      </w:tr>
      <w:tr>
        <w:trPr>
          <w:trHeight w:val="379" w:hRule="exact"/>
        </w:trPr>
        <w:tc>
          <w:tcPr>
            <w:tcW w:w="42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9"/>
              <w:ind w:left="24" w:right="0"/>
              <w:jc w:val="left"/>
              <w:rPr>
                <w:rFonts w:ascii="宋体" w:hAnsi="宋体" w:cs="宋体" w:eastAsia="宋体" w:hint="default"/>
                <w:sz w:val="18"/>
                <w:szCs w:val="18"/>
              </w:rPr>
            </w:pPr>
            <w:r>
              <w:rPr>
                <w:rFonts w:ascii="宋体" w:hAnsi="宋体" w:cs="宋体" w:eastAsia="宋体" w:hint="default"/>
                <w:sz w:val="18"/>
                <w:szCs w:val="18"/>
              </w:rPr>
              <w:t>对新的披露要求不需提供比较信息。</w:t>
            </w:r>
          </w:p>
        </w:tc>
        <w:tc>
          <w:tcPr>
            <w:tcW w:w="2268" w:type="dxa"/>
            <w:tcBorders>
              <w:top w:val="nil" w:sz="6" w:space="0" w:color="auto"/>
              <w:left w:val="single" w:sz="4" w:space="0" w:color="000000"/>
              <w:bottom w:val="single" w:sz="4" w:space="0" w:color="000000"/>
              <w:right w:val="single" w:sz="4" w:space="0" w:color="000000"/>
            </w:tcBorders>
          </w:tcPr>
          <w:p>
            <w:pPr/>
          </w:p>
        </w:tc>
        <w:tc>
          <w:tcPr>
            <w:tcW w:w="3049"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r>
        <w:rPr/>
        <w:pict>
          <v:shape style="position:absolute;margin-left:243.714005pt;margin-top:706.295959pt;width:291.25pt;height:48.85pt;mso-position-horizontal-relative:page;mso-position-vertical-relative:page;z-index:-1264888" type="#_x0000_t202" filled="false" stroked="false">
            <v:textbox inset="0,0,0,0">
              <w:txbxContent>
                <w:p>
                  <w:pPr>
                    <w:spacing w:line="240" w:lineRule="auto" w:before="0"/>
                    <w:rPr>
                      <w:rFonts w:ascii="宋体" w:hAnsi="宋体" w:cs="宋体" w:eastAsia="宋体" w:hint="default"/>
                      <w:sz w:val="18"/>
                      <w:szCs w:val="18"/>
                    </w:rPr>
                  </w:pPr>
                </w:p>
                <w:p>
                  <w:pPr>
                    <w:pStyle w:val="BodyText"/>
                    <w:spacing w:line="240" w:lineRule="auto" w:before="125"/>
                    <w:ind w:left="0" w:right="0"/>
                    <w:jc w:val="left"/>
                  </w:pPr>
                  <w:r>
                    <w:rPr/>
                    <w:t>山西中寰卫星导航通信有限公司、</w:t>
                  </w:r>
                </w:p>
              </w:txbxContent>
            </v:textbox>
            <w10:wrap type="none"/>
          </v:shape>
        </w:pict>
      </w:r>
      <w:r>
        <w:rPr/>
        <w:pict>
          <v:group style="position:absolute;margin-left:375.910004pt;margin-top:626.619995pt;width:159.050pt;height:39pt;mso-position-horizontal-relative:page;mso-position-vertical-relative:page;z-index:-1264840" coordorigin="7518,12532" coordsize="3181,780">
            <v:shape style="position:absolute;left:7518;top:12532;width:3181;height:780" coordorigin="7518,12532" coordsize="3181,780" path="m7518,13312l10699,13312,10699,12532,7518,12532,7518,13312xe" filled="true" fillcolor="#ffffff" stroked="false">
              <v:path arrowok="t"/>
              <v:fill type="solid"/>
            </v:shape>
            <w10:wrap type="none"/>
          </v:group>
        </w:pict>
      </w:r>
    </w:p>
    <w:tbl>
      <w:tblPr>
        <w:tblW w:w="0" w:type="auto"/>
        <w:jc w:val="left"/>
        <w:tblInd w:w="148" w:type="dxa"/>
        <w:tblLayout w:type="fixed"/>
        <w:tblCellMar>
          <w:top w:w="0" w:type="dxa"/>
          <w:left w:w="0" w:type="dxa"/>
          <w:bottom w:w="0" w:type="dxa"/>
          <w:right w:w="0" w:type="dxa"/>
        </w:tblCellMar>
        <w:tblLook w:val="01E0"/>
      </w:tblPr>
      <w:tblGrid>
        <w:gridCol w:w="4254"/>
        <w:gridCol w:w="2268"/>
        <w:gridCol w:w="3049"/>
      </w:tblGrid>
      <w:tr>
        <w:trPr>
          <w:trHeight w:val="1340" w:hRule="exact"/>
        </w:trPr>
        <w:tc>
          <w:tcPr>
            <w:tcW w:w="4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09" w:lineRule="auto"/>
              <w:ind w:left="24" w:right="23"/>
              <w:jc w:val="both"/>
              <w:rPr>
                <w:rFonts w:ascii="宋体" w:hAnsi="宋体" w:cs="宋体" w:eastAsia="宋体" w:hint="default"/>
                <w:sz w:val="18"/>
                <w:szCs w:val="18"/>
              </w:rPr>
            </w:pPr>
            <w:r>
              <w:rPr>
                <w:rFonts w:ascii="宋体" w:hAnsi="宋体" w:cs="宋体" w:eastAsia="宋体" w:hint="default"/>
                <w:sz w:val="18"/>
                <w:szCs w:val="18"/>
              </w:rPr>
              <w:t>根据《财政部关于修订印发一般企业财务报表格式的 </w:t>
            </w:r>
            <w:r>
              <w:rPr>
                <w:rFonts w:ascii="宋体" w:hAnsi="宋体" w:cs="宋体" w:eastAsia="宋体" w:hint="default"/>
                <w:spacing w:val="-10"/>
                <w:sz w:val="18"/>
                <w:szCs w:val="18"/>
              </w:rPr>
              <w:t>通知》（财会〔</w:t>
            </w:r>
            <w:r>
              <w:rPr>
                <w:rFonts w:ascii="Times New Roman" w:hAnsi="Times New Roman" w:cs="Times New Roman" w:eastAsia="Times New Roman" w:hint="default"/>
                <w:spacing w:val="-10"/>
                <w:sz w:val="18"/>
                <w:szCs w:val="18"/>
              </w:rPr>
              <w:t>2017</w:t>
            </w:r>
            <w:r>
              <w:rPr>
                <w:rFonts w:ascii="宋体" w:hAnsi="宋体" w:cs="宋体" w:eastAsia="宋体" w:hint="default"/>
                <w:spacing w:val="-10"/>
                <w:sz w:val="18"/>
                <w:szCs w:val="18"/>
              </w:rPr>
              <w:t>〕</w:t>
            </w:r>
            <w:r>
              <w:rPr>
                <w:rFonts w:ascii="Times New Roman" w:hAnsi="Times New Roman" w:cs="Times New Roman" w:eastAsia="Times New Roman" w:hint="default"/>
                <w:spacing w:val="-10"/>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pacing w:val="-8"/>
                <w:w w:val="99"/>
                <w:sz w:val="18"/>
                <w:szCs w:val="18"/>
              </w:rPr>
              <w:t>号），利润表增加</w:t>
            </w:r>
            <w:r>
              <w:rPr>
                <w:rFonts w:ascii="Times New Roman" w:hAnsi="Times New Roman" w:cs="Times New Roman" w:eastAsia="Times New Roman" w:hint="default"/>
                <w:spacing w:val="-8"/>
                <w:w w:val="99"/>
                <w:sz w:val="18"/>
                <w:szCs w:val="18"/>
              </w:rPr>
              <w:t>"</w:t>
            </w:r>
            <w:r>
              <w:rPr>
                <w:rFonts w:ascii="宋体" w:hAnsi="宋体" w:cs="宋体" w:eastAsia="宋体" w:hint="default"/>
                <w:spacing w:val="-8"/>
                <w:w w:val="99"/>
                <w:sz w:val="18"/>
                <w:szCs w:val="18"/>
              </w:rPr>
              <w:t>资产处置收</w:t>
            </w:r>
            <w:r>
              <w:rPr>
                <w:rFonts w:ascii="宋体" w:hAnsi="宋体" w:cs="宋体" w:eastAsia="宋体" w:hint="default"/>
                <w:sz w:val="18"/>
                <w:szCs w:val="18"/>
              </w:rPr>
              <w:t> 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项目，相应调整比较报表。</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6"/>
              <w:ind w:left="24" w:right="72"/>
              <w:jc w:val="left"/>
              <w:rPr>
                <w:rFonts w:ascii="宋体" w:hAnsi="宋体" w:cs="宋体" w:eastAsia="宋体" w:hint="default"/>
                <w:sz w:val="18"/>
                <w:szCs w:val="18"/>
              </w:rPr>
            </w:pPr>
            <w:r>
              <w:rPr>
                <w:rFonts w:ascii="宋体" w:hAnsi="宋体" w:cs="宋体" w:eastAsia="宋体" w:hint="default"/>
                <w:sz w:val="18"/>
                <w:szCs w:val="18"/>
              </w:rPr>
              <w:t>四维图新第四届第七次董事 会审批通过</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0"/>
              <w:jc w:val="left"/>
              <w:rPr>
                <w:rFonts w:ascii="宋体" w:hAnsi="宋体" w:cs="宋体" w:eastAsia="宋体" w:hint="default"/>
                <w:sz w:val="18"/>
                <w:szCs w:val="18"/>
              </w:rPr>
            </w:pPr>
            <w:r>
              <w:rPr>
                <w:rFonts w:ascii="宋体" w:hAnsi="宋体" w:cs="宋体" w:eastAsia="宋体" w:hint="default"/>
                <w:spacing w:val="-4"/>
                <w:sz w:val="18"/>
                <w:szCs w:val="18"/>
              </w:rPr>
              <w:t>受影响的报表项目：资产处置收益、营</w:t>
            </w:r>
            <w:r>
              <w:rPr>
                <w:rFonts w:ascii="宋体" w:hAnsi="宋体" w:cs="宋体" w:eastAsia="宋体" w:hint="default"/>
                <w:sz w:val="18"/>
                <w:szCs w:val="18"/>
              </w:rPr>
              <w:t> 业外收入、营业外支出</w:t>
            </w:r>
          </w:p>
          <w:p>
            <w:pPr>
              <w:pStyle w:val="TableParagraph"/>
              <w:spacing w:line="240" w:lineRule="auto" w:before="17"/>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年度影响金额：</w:t>
            </w:r>
            <w:r>
              <w:rPr>
                <w:rFonts w:ascii="Times New Roman" w:hAnsi="Times New Roman" w:cs="Times New Roman" w:eastAsia="Times New Roman" w:hint="default"/>
                <w:sz w:val="18"/>
                <w:szCs w:val="18"/>
              </w:rPr>
              <w:t>-440,829.71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p>
            <w:pPr>
              <w:pStyle w:val="TableParagraph"/>
              <w:spacing w:line="240" w:lineRule="auto" w:before="6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-261,824.14 </w:t>
            </w:r>
            <w:r>
              <w:rPr>
                <w:rFonts w:ascii="宋体" w:hAnsi="宋体" w:cs="宋体" w:eastAsia="宋体" w:hint="default"/>
                <w:sz w:val="18"/>
                <w:szCs w:val="18"/>
              </w:rPr>
              <w:t>元、</w:t>
            </w:r>
            <w:r>
              <w:rPr>
                <w:rFonts w:ascii="Times New Roman" w:hAnsi="Times New Roman" w:cs="Times New Roman" w:eastAsia="Times New Roman" w:hint="default"/>
                <w:sz w:val="18"/>
                <w:szCs w:val="18"/>
              </w:rPr>
              <w:t>-702,653.85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元</w:t>
            </w:r>
          </w:p>
        </w:tc>
      </w:tr>
    </w:tbl>
    <w:p>
      <w:pPr>
        <w:spacing w:line="240" w:lineRule="auto" w:before="5"/>
        <w:rPr>
          <w:rFonts w:ascii="宋体" w:hAnsi="宋体" w:cs="宋体" w:eastAsia="宋体" w:hint="default"/>
          <w:sz w:val="6"/>
          <w:szCs w:val="6"/>
        </w:rPr>
      </w:pPr>
    </w:p>
    <w:p>
      <w:pPr>
        <w:pStyle w:val="BodyText"/>
        <w:spacing w:line="300" w:lineRule="auto" w:before="44"/>
        <w:ind w:right="149" w:firstLine="360"/>
        <w:jc w:val="both"/>
      </w:pPr>
      <w:r>
        <w:rPr/>
        <w:t>财政部于</w:t>
      </w:r>
      <w:r>
        <w:rPr>
          <w:rFonts w:ascii="Times New Roman" w:hAnsi="Times New Roman" w:cs="Times New Roman" w:eastAsia="Times New Roman" w:hint="default"/>
        </w:rPr>
        <w:t>2017</w:t>
      </w:r>
      <w:r>
        <w:rPr/>
        <w:t>年修订了《企业会计准则第</w:t>
      </w:r>
      <w:r>
        <w:rPr>
          <w:rFonts w:ascii="Times New Roman" w:hAnsi="Times New Roman" w:cs="Times New Roman" w:eastAsia="Times New Roman" w:hint="default"/>
        </w:rPr>
        <w:t>16</w:t>
      </w:r>
      <w:r>
        <w:rPr/>
        <w:t>号</w:t>
      </w:r>
      <w:r>
        <w:rPr>
          <w:rFonts w:ascii="Times New Roman" w:hAnsi="Times New Roman" w:cs="Times New Roman" w:eastAsia="Times New Roman" w:hint="default"/>
        </w:rPr>
        <w:t>——</w:t>
      </w:r>
      <w:r>
        <w:rPr/>
        <w:t>政府补助》（修订），自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12</w:t>
      </w:r>
      <w:r>
        <w:rPr/>
        <w:t>日起施行；颁布了《企业会计 准则第</w:t>
      </w:r>
      <w:r>
        <w:rPr>
          <w:rFonts w:ascii="Times New Roman" w:hAnsi="Times New Roman" w:cs="Times New Roman" w:eastAsia="Times New Roman" w:hint="default"/>
        </w:rPr>
        <w:t>42</w:t>
      </w:r>
      <w:r>
        <w:rPr/>
        <w:t>号</w:t>
      </w:r>
      <w:r>
        <w:rPr>
          <w:rFonts w:ascii="Times New Roman" w:hAnsi="Times New Roman" w:cs="Times New Roman" w:eastAsia="Times New Roman" w:hint="default"/>
        </w:rPr>
        <w:t>——</w:t>
      </w:r>
      <w:r>
        <w:rPr/>
        <w:t>持有待售的非流动资产、处置组和终止经营》，自</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5 </w:t>
      </w:r>
      <w:r>
        <w:rPr/>
        <w:t>月 </w:t>
      </w:r>
      <w:r>
        <w:rPr>
          <w:rFonts w:ascii="Times New Roman" w:hAnsi="Times New Roman" w:cs="Times New Roman" w:eastAsia="Times New Roman" w:hint="default"/>
        </w:rPr>
        <w:t>28</w:t>
      </w:r>
      <w:r>
        <w:rPr>
          <w:rFonts w:ascii="Times New Roman" w:hAnsi="Times New Roman" w:cs="Times New Roman" w:eastAsia="Times New Roman" w:hint="default"/>
          <w:spacing w:val="5"/>
        </w:rPr>
        <w:t> </w:t>
      </w:r>
      <w:r>
        <w:rPr/>
        <w:t>日起施行。根据《财政部关于修订印发 </w:t>
      </w:r>
      <w:r>
        <w:rPr>
          <w:spacing w:val="-2"/>
        </w:rPr>
        <w:t>一般企业财务报表格式的通知》（财会〔</w:t>
      </w:r>
      <w:r>
        <w:rPr>
          <w:rFonts w:ascii="Times New Roman" w:hAnsi="Times New Roman" w:cs="Times New Roman" w:eastAsia="Times New Roman" w:hint="default"/>
          <w:spacing w:val="-2"/>
        </w:rPr>
        <w:t>2017</w:t>
      </w:r>
      <w:r>
        <w:rPr>
          <w:spacing w:val="-2"/>
        </w:rPr>
        <w:t>〕</w:t>
      </w:r>
      <w:r>
        <w:rPr>
          <w:rFonts w:ascii="Times New Roman" w:hAnsi="Times New Roman" w:cs="Times New Roman" w:eastAsia="Times New Roman" w:hint="default"/>
          <w:spacing w:val="-2"/>
        </w:rPr>
        <w:t>30</w:t>
      </w:r>
      <w:r>
        <w:rPr>
          <w:spacing w:val="-2"/>
        </w:rPr>
        <w:t>号），对一般企业财务报表格式进行了相应修订。本公司已按要求执行新</w:t>
      </w:r>
      <w:r>
        <w:rPr>
          <w:spacing w:val="-63"/>
        </w:rPr>
        <w:t> </w:t>
      </w:r>
      <w:r>
        <w:rPr>
          <w:spacing w:val="-63"/>
        </w:rPr>
      </w:r>
      <w:r>
        <w:rPr/>
        <w:t>的该等企业会计准则，并按照新准则的衔接规定对比较财务报表进行调整。</w:t>
      </w:r>
    </w:p>
    <w:p>
      <w:pPr>
        <w:spacing w:line="240" w:lineRule="auto" w:before="10"/>
        <w:rPr>
          <w:rFonts w:ascii="宋体" w:hAnsi="宋体" w:cs="宋体" w:eastAsia="宋体" w:hint="default"/>
          <w:sz w:val="23"/>
          <w:szCs w:val="23"/>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）重要会计估计变更</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34</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六、税项</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应税销售（劳务）收入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21%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应纳增值税、营业税额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16.5%</w:t>
            </w:r>
            <w:r>
              <w:rPr>
                <w:rFonts w:ascii="宋体" w:hAnsi="宋体" w:cs="宋体" w:eastAsia="宋体" w:hint="default"/>
                <w:sz w:val="18"/>
                <w:szCs w:val="18"/>
              </w:rPr>
              <w:t>、</w:t>
            </w: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bl>
    <w:p>
      <w:pPr>
        <w:pStyle w:val="BodyText"/>
        <w:spacing w:line="240" w:lineRule="auto" w:before="49"/>
        <w:ind w:right="0"/>
        <w:jc w:val="left"/>
      </w:pPr>
      <w:r>
        <w:rPr/>
        <w:pict>
          <v:shape style="position:absolute;margin-left:243.714005pt;margin-top:80.407707pt;width:291.25pt;height:97.6pt;mso-position-horizontal-relative:page;mso-position-vertical-relative:paragraph;z-index:-1264912"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5"/>
                      <w:szCs w:val="15"/>
                    </w:rPr>
                  </w:pPr>
                </w:p>
                <w:p>
                  <w:pPr>
                    <w:pStyle w:val="BodyText"/>
                    <w:spacing w:line="240" w:lineRule="auto"/>
                    <w:ind w:left="0" w:right="0"/>
                    <w:jc w:val="left"/>
                  </w:pPr>
                  <w:r>
                    <w:rPr/>
                    <w:t>甘肃中寰卫星导航通信有限公司、</w:t>
                  </w:r>
                </w:p>
              </w:txbxContent>
            </v:textbox>
            <w10:wrap type="none"/>
          </v:shape>
        </w:pict>
      </w:r>
      <w:r>
        <w:rPr/>
        <w:pict>
          <v:group style="position:absolute;margin-left:375.910004pt;margin-top:80.407707pt;width:159.050pt;height:39.050pt;mso-position-horizontal-relative:page;mso-position-vertical-relative:paragraph;z-index:-1264864" coordorigin="7518,1608" coordsize="3181,781">
            <v:shape style="position:absolute;left:7518;top:1608;width:3181;height:781" coordorigin="7518,1608" coordsize="3181,781" path="m7518,2389l10699,2389,10699,1608,7518,1608,7518,2389xe" filled="true" fillcolor="#ffffff" stroked="false">
              <v:path arrowok="t"/>
              <v:fill type="solid"/>
            </v:shape>
            <w10:wrap type="none"/>
          </v:group>
        </w:pict>
      </w:r>
      <w:r>
        <w:rPr/>
        <w:t>存在不同企业所得税税率纳税主体的，披露情况说明</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6381"/>
        <w:gridCol w:w="3190"/>
      </w:tblGrid>
      <w:tr>
        <w:trPr>
          <w:trHeight w:val="403" w:hRule="exact"/>
        </w:trPr>
        <w:tc>
          <w:tcPr>
            <w:tcW w:w="6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1"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10%</w:t>
            </w:r>
          </w:p>
        </w:tc>
      </w:tr>
      <w:tr>
        <w:trPr>
          <w:trHeight w:val="403"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pacing w:val="-3"/>
                <w:sz w:val="18"/>
              </w:rPr>
              <w:t>MapscapeB.V.</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13%</w:t>
            </w:r>
          </w:p>
        </w:tc>
      </w:tr>
      <w:tr>
        <w:trPr>
          <w:trHeight w:val="355" w:hRule="exact"/>
        </w:trPr>
        <w:tc>
          <w:tcPr>
            <w:tcW w:w="638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北京四维图新科技股份有限公司、北京世纪高通科技有限公司、北京图新经纬导</w:t>
            </w:r>
          </w:p>
        </w:tc>
        <w:tc>
          <w:tcPr>
            <w:tcW w:w="319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63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航系统有限公司、中交宇科（北京）空间信息技术有限公司、中寰卫星导航通信</w:t>
            </w:r>
          </w:p>
        </w:tc>
        <w:tc>
          <w:tcPr>
            <w:tcW w:w="3190"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6381"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46"/>
              <w:jc w:val="left"/>
              <w:rPr>
                <w:rFonts w:ascii="宋体" w:hAnsi="宋体" w:cs="宋体" w:eastAsia="宋体" w:hint="default"/>
                <w:sz w:val="18"/>
                <w:szCs w:val="18"/>
              </w:rPr>
            </w:pPr>
            <w:r>
              <w:rPr>
                <w:rFonts w:ascii="宋体" w:hAnsi="宋体" w:cs="宋体" w:eastAsia="宋体" w:hint="default"/>
                <w:sz w:val="18"/>
                <w:szCs w:val="18"/>
              </w:rPr>
              <w:t>有限公司、内蒙古中寰卫星导航通信有限公司、 长沙市海图科技有限公司、北京图为先科技有限公司、广州博瞻恒腾信息技术有</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15%</w:t>
            </w:r>
          </w:p>
        </w:tc>
      </w:tr>
      <w:tr>
        <w:trPr>
          <w:trHeight w:val="312" w:hRule="exact"/>
        </w:trPr>
        <w:tc>
          <w:tcPr>
            <w:tcW w:w="63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限公司、上海炬宏信息技术有限公司、沈阳世纪高通科技有限公司、西安四维图</w:t>
            </w:r>
          </w:p>
        </w:tc>
        <w:tc>
          <w:tcPr>
            <w:tcW w:w="3190"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63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新信息技术有限公司、</w:t>
            </w:r>
            <w:r>
              <w:rPr>
                <w:rFonts w:ascii="Times New Roman" w:hAnsi="Times New Roman" w:cs="Times New Roman" w:eastAsia="Times New Roman" w:hint="default"/>
                <w:sz w:val="18"/>
                <w:szCs w:val="18"/>
              </w:rPr>
              <w:t>Navinfo North America</w:t>
            </w:r>
            <w:r>
              <w:rPr>
                <w:rFonts w:ascii="Times New Roman" w:hAnsi="Times New Roman" w:cs="Times New Roman" w:eastAsia="Times New Roman" w:hint="default"/>
                <w:spacing w:val="-17"/>
                <w:sz w:val="18"/>
                <w:szCs w:val="18"/>
              </w:rPr>
              <w:t> </w:t>
            </w:r>
            <w:r>
              <w:rPr>
                <w:rFonts w:ascii="Times New Roman" w:hAnsi="Times New Roman" w:cs="Times New Roman" w:eastAsia="Times New Roman" w:hint="default"/>
                <w:sz w:val="18"/>
                <w:szCs w:val="18"/>
              </w:rPr>
              <w:t>Corp.</w:t>
            </w:r>
          </w:p>
        </w:tc>
        <w:tc>
          <w:tcPr>
            <w:tcW w:w="3190"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四维图新（香港）有限公司、图新投资（香港）科技有限公司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16.5%</w:t>
            </w:r>
          </w:p>
        </w:tc>
      </w:tr>
      <w:tr>
        <w:trPr>
          <w:trHeight w:val="401"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四维图新新加坡有限公司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17%</w:t>
            </w:r>
          </w:p>
        </w:tc>
      </w:tr>
      <w:tr>
        <w:trPr>
          <w:trHeight w:val="351" w:hRule="exact"/>
        </w:trPr>
        <w:tc>
          <w:tcPr>
            <w:tcW w:w="638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上海纳维信息技术有限公司、北京四维图新科技有限公司、上海四维图新信息技</w:t>
            </w:r>
          </w:p>
        </w:tc>
        <w:tc>
          <w:tcPr>
            <w:tcW w:w="3190" w:type="dxa"/>
            <w:tcBorders>
              <w:top w:val="single" w:sz="4" w:space="0" w:color="000000"/>
              <w:left w:val="single" w:sz="4" w:space="0" w:color="000000"/>
              <w:bottom w:val="nil" w:sz="6" w:space="0" w:color="auto"/>
              <w:right w:val="single" w:sz="4" w:space="0" w:color="000000"/>
            </w:tcBorders>
          </w:tcPr>
          <w:p>
            <w:pPr>
              <w:pStyle w:val="TableParagraph"/>
              <w:spacing w:line="292" w:lineRule="exact"/>
              <w:ind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159.050pt;height:14.65pt;mso-position-horizontal-relative:char;mso-position-vertical-relative:line" coordorigin="0,0" coordsize="3181,293">
                  <v:group style="position:absolute;left:0;top:0;width:3181;height:293" coordorigin="0,0" coordsize="3181,293">
                    <v:shape style="position:absolute;left:0;top:0;width:3181;height:293" coordorigin="0,0" coordsize="3181,293" path="m0,293l3180,293,3180,0,0,0,0,293xe" filled="true" fillcolor="#ffffff" stroked="false">
                      <v:path arrowok="t"/>
                      <v:fill type="solid"/>
                    </v:shape>
                  </v:group>
                </v:group>
              </w:pict>
            </w:r>
            <w:r>
              <w:rPr>
                <w:rFonts w:ascii="宋体" w:hAnsi="宋体" w:cs="宋体" w:eastAsia="宋体" w:hint="default"/>
                <w:position w:val="-5"/>
                <w:sz w:val="20"/>
                <w:szCs w:val="20"/>
              </w:rPr>
            </w:r>
          </w:p>
        </w:tc>
      </w:tr>
      <w:tr>
        <w:trPr>
          <w:trHeight w:val="317" w:hRule="exact"/>
        </w:trPr>
        <w:tc>
          <w:tcPr>
            <w:tcW w:w="6381"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术有限公司、江苏中寰卫星导航通信有限公司、</w:t>
            </w:r>
          </w:p>
        </w:tc>
        <w:tc>
          <w:tcPr>
            <w:tcW w:w="319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23" w:right="0"/>
              <w:jc w:val="left"/>
              <w:rPr>
                <w:rFonts w:ascii="Times New Roman" w:hAnsi="Times New Roman" w:cs="Times New Roman" w:eastAsia="Times New Roman" w:hint="default"/>
                <w:sz w:val="18"/>
                <w:szCs w:val="18"/>
              </w:rPr>
            </w:pPr>
            <w:r>
              <w:rPr>
                <w:rFonts w:ascii="Times New Roman"/>
                <w:sz w:val="18"/>
              </w:rPr>
              <w:t>25%</w:t>
            </w:r>
          </w:p>
        </w:tc>
      </w:tr>
      <w:tr>
        <w:trPr>
          <w:trHeight w:val="319" w:hRule="exact"/>
        </w:trPr>
        <w:tc>
          <w:tcPr>
            <w:tcW w:w="638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湖北中寰卫星导航通信有限公司、辽宁中寰卫星导航通信有限公司、山东中寰网</w:t>
            </w:r>
          </w:p>
        </w:tc>
        <w:tc>
          <w:tcPr>
            <w:tcW w:w="3190" w:type="dxa"/>
            <w:tcBorders>
              <w:top w:val="nil" w:sz="6" w:space="0" w:color="auto"/>
              <w:left w:val="single" w:sz="4" w:space="0" w:color="000000"/>
              <w:bottom w:val="single" w:sz="4" w:space="0" w:color="000000"/>
              <w:right w:val="single" w:sz="4" w:space="0" w:color="000000"/>
            </w:tcBorders>
          </w:tcPr>
          <w:p>
            <w:pPr>
              <w:pStyle w:val="TableParagraph"/>
              <w:spacing w:line="292" w:lineRule="exact"/>
              <w:ind w:right="-51"/>
              <w:jc w:val="left"/>
              <w:rPr>
                <w:rFonts w:ascii="宋体" w:hAnsi="宋体" w:cs="宋体" w:eastAsia="宋体" w:hint="default"/>
                <w:sz w:val="20"/>
                <w:szCs w:val="20"/>
              </w:rPr>
            </w:pPr>
            <w:r>
              <w:rPr>
                <w:rFonts w:ascii="宋体" w:hAnsi="宋体" w:cs="宋体" w:eastAsia="宋体" w:hint="default"/>
                <w:position w:val="-5"/>
                <w:sz w:val="20"/>
                <w:szCs w:val="20"/>
              </w:rPr>
              <w:pict>
                <v:group style="width:159.050pt;height:14.65pt;mso-position-horizontal-relative:char;mso-position-vertical-relative:line" coordorigin="0,0" coordsize="3181,293">
                  <v:group style="position:absolute;left:0;top:0;width:3181;height:293" coordorigin="0,0" coordsize="3181,293">
                    <v:shape style="position:absolute;left:0;top:0;width:3181;height:293" coordorigin="0,0" coordsize="3181,293" path="m0,293l3180,293,3180,0,0,0,0,293xe" filled="true" fillcolor="#ffffff" stroked="false">
                      <v:path arrowok="t"/>
                      <v:fill type="solid"/>
                    </v:shape>
                  </v:group>
                </v:group>
              </w:pict>
            </w:r>
            <w:r>
              <w:rPr>
                <w:rFonts w:ascii="宋体" w:hAnsi="宋体" w:cs="宋体" w:eastAsia="宋体" w:hint="default"/>
                <w:position w:val="-5"/>
                <w:sz w:val="20"/>
                <w:szCs w:val="20"/>
              </w:rPr>
            </w:r>
          </w:p>
        </w:tc>
      </w:tr>
    </w:tbl>
    <w:p>
      <w:pPr>
        <w:spacing w:after="0" w:line="292" w:lineRule="exact"/>
        <w:jc w:val="left"/>
        <w:rPr>
          <w:rFonts w:ascii="宋体" w:hAnsi="宋体" w:cs="宋体" w:eastAsia="宋体" w:hint="default"/>
          <w:sz w:val="20"/>
          <w:szCs w:val="20"/>
        </w:rPr>
        <w:sectPr>
          <w:pgSz w:w="11910" w:h="16840"/>
          <w:pgMar w:header="745" w:footer="979" w:top="1060" w:bottom="1160" w:left="980" w:right="980"/>
        </w:sectPr>
      </w:pPr>
    </w:p>
    <w:p>
      <w:pPr>
        <w:spacing w:line="240" w:lineRule="auto" w:before="2"/>
        <w:rPr>
          <w:rFonts w:ascii="宋体" w:hAnsi="宋体" w:cs="宋体" w:eastAsia="宋体" w:hint="default"/>
          <w:sz w:val="28"/>
          <w:szCs w:val="28"/>
        </w:rPr>
      </w:pPr>
    </w:p>
    <w:p>
      <w:pPr>
        <w:spacing w:line="1942" w:lineRule="exact"/>
        <w:ind w:left="148" w:right="0" w:firstLine="0"/>
        <w:rPr>
          <w:rFonts w:ascii="宋体" w:hAnsi="宋体" w:cs="宋体" w:eastAsia="宋体" w:hint="default"/>
          <w:sz w:val="20"/>
          <w:szCs w:val="20"/>
        </w:rPr>
      </w:pPr>
      <w:r>
        <w:rPr>
          <w:rFonts w:ascii="宋体" w:hAnsi="宋体" w:cs="宋体" w:eastAsia="宋体" w:hint="default"/>
          <w:position w:val="-38"/>
          <w:sz w:val="20"/>
          <w:szCs w:val="20"/>
        </w:rPr>
        <w:pict>
          <v:group style="width:479.05pt;height:97.1pt;mso-position-horizontal-relative:char;mso-position-vertical-relative:line" coordorigin="0,0" coordsize="9581,1942">
            <v:group style="position:absolute;left:10;top:10;width:6371;height:2" coordorigin="10,10" coordsize="6371,2">
              <v:shape style="position:absolute;left:10;top:10;width:6371;height:2" coordorigin="10,10" coordsize="6371,0" path="m10,10l6381,10e" filled="false" stroked="true" strokeweight=".48pt" strokecolor="#000000">
                <v:path arrowok="t"/>
              </v:shape>
            </v:group>
            <v:group style="position:absolute;left:6390;top:10;width:3181;height:2" coordorigin="6390,10" coordsize="3181,2">
              <v:shape style="position:absolute;left:6390;top:10;width:3181;height:2" coordorigin="6390,10" coordsize="3181,0" path="m6390,10l9571,10e" filled="false" stroked="true" strokeweight=".48pt" strokecolor="#000000">
                <v:path arrowok="t"/>
              </v:shape>
            </v:group>
            <v:group style="position:absolute;left:5;top:5;width:2;height:1933" coordorigin="5,5" coordsize="2,1933">
              <v:shape style="position:absolute;left:5;top:5;width:2;height:1933" coordorigin="5,5" coordsize="0,1933" path="m5,5l5,1937e" filled="false" stroked="true" strokeweight=".48pt" strokecolor="#000000">
                <v:path arrowok="t"/>
              </v:shape>
            </v:group>
            <v:group style="position:absolute;left:10;top:1932;width:6371;height:2" coordorigin="10,1932" coordsize="6371,2">
              <v:shape style="position:absolute;left:10;top:1932;width:6371;height:2" coordorigin="10,1932" coordsize="6371,0" path="m10,1932l6381,1932e" filled="false" stroked="true" strokeweight=".48001pt" strokecolor="#000000">
                <v:path arrowok="t"/>
              </v:shape>
            </v:group>
            <v:group style="position:absolute;left:6385;top:5;width:2;height:1933" coordorigin="6385,5" coordsize="2,1933">
              <v:shape style="position:absolute;left:6385;top:5;width:2;height:1933" coordorigin="6385,5" coordsize="0,1933" path="m6385,5l6385,1937e" filled="false" stroked="true" strokeweight=".48001pt" strokecolor="#000000">
                <v:path arrowok="t"/>
              </v:shape>
            </v:group>
            <v:group style="position:absolute;left:6390;top:1932;width:3181;height:2" coordorigin="6390,1932" coordsize="3181,2">
              <v:shape style="position:absolute;left:6390;top:1932;width:3181;height:2" coordorigin="6390,1932" coordsize="3181,0" path="m6390,1932l9571,1932e" filled="false" stroked="true" strokeweight=".48001pt" strokecolor="#000000">
                <v:path arrowok="t"/>
              </v:shape>
            </v:group>
            <v:group style="position:absolute;left:9576;top:5;width:2;height:1933" coordorigin="9576,5" coordsize="2,1933">
              <v:shape style="position:absolute;left:9576;top:5;width:2;height:1933" coordorigin="9576,5" coordsize="0,1933" path="m9576,5l9576,1937e" filled="false" stroked="true" strokeweight=".47998pt" strokecolor="#000000">
                <v:path arrowok="t"/>
              </v:shape>
              <v:shape style="position:absolute;left:5;top:10;width:6381;height:1923" type="#_x0000_t202" filled="false" stroked="false">
                <v:textbox inset="0,0,0,0">
                  <w:txbxContent>
                    <w:p>
                      <w:pPr>
                        <w:spacing w:line="312" w:lineRule="auto" w:before="13"/>
                        <w:ind w:left="28" w:right="27" w:firstLine="0"/>
                        <w:jc w:val="both"/>
                        <w:rPr>
                          <w:rFonts w:ascii="宋体" w:hAnsi="宋体" w:cs="宋体" w:eastAsia="宋体" w:hint="default"/>
                          <w:sz w:val="18"/>
                          <w:szCs w:val="18"/>
                        </w:rPr>
                      </w:pPr>
                      <w:r>
                        <w:rPr>
                          <w:rFonts w:ascii="宋体" w:hAnsi="宋体" w:cs="宋体" w:eastAsia="宋体" w:hint="default"/>
                          <w:sz w:val="18"/>
                          <w:szCs w:val="18"/>
                        </w:rPr>
                        <w:t>络科技有限公司、北京图迅丰达信息技术有限公司、北京图新智盛信息技术有限 公司、西安四维图新实业有限公司、上海趣驾信息科技有限公司、广州中交宇科 空间信息技术有限公司、和骊安（中国）汽车信息系统有限公司、北京腾瑞万里 科技有限公司、北京腾瑞万里信息技术有限公司、</w:t>
                      </w:r>
                      <w:r>
                        <w:rPr>
                          <w:rFonts w:ascii="Times New Roman" w:hAnsi="Times New Roman" w:cs="Times New Roman" w:eastAsia="Times New Roman" w:hint="default"/>
                          <w:sz w:val="18"/>
                          <w:szCs w:val="18"/>
                        </w:rPr>
                        <w:t>Mapbar</w:t>
                      </w:r>
                      <w:r>
                        <w:rPr>
                          <w:rFonts w:ascii="Times New Roman" w:hAnsi="Times New Roman" w:cs="Times New Roman" w:eastAsia="Times New Roman" w:hint="default"/>
                          <w:spacing w:val="-24"/>
                          <w:sz w:val="18"/>
                          <w:szCs w:val="18"/>
                        </w:rPr>
                        <w:t> </w:t>
                      </w:r>
                      <w:r>
                        <w:rPr>
                          <w:rFonts w:ascii="Times New Roman" w:hAnsi="Times New Roman" w:cs="Times New Roman" w:eastAsia="Times New Roman" w:hint="default"/>
                          <w:sz w:val="18"/>
                          <w:szCs w:val="18"/>
                        </w:rPr>
                        <w:t>Technology</w:t>
                      </w:r>
                      <w:r>
                        <w:rPr>
                          <w:rFonts w:ascii="Times New Roman" w:hAnsi="Times New Roman" w:cs="Times New Roman" w:eastAsia="Times New Roman" w:hint="default"/>
                          <w:spacing w:val="-22"/>
                          <w:sz w:val="18"/>
                          <w:szCs w:val="18"/>
                        </w:rPr>
                        <w:t> </w:t>
                      </w:r>
                      <w:r>
                        <w:rPr>
                          <w:rFonts w:ascii="Times New Roman" w:hAnsi="Times New Roman" w:cs="Times New Roman" w:eastAsia="Times New Roman" w:hint="default"/>
                          <w:spacing w:val="-5"/>
                          <w:sz w:val="18"/>
                          <w:szCs w:val="18"/>
                        </w:rPr>
                        <w:t>Limited</w:t>
                      </w:r>
                      <w:r>
                        <w:rPr>
                          <w:rFonts w:ascii="宋体" w:hAnsi="宋体" w:cs="宋体" w:eastAsia="宋体" w:hint="default"/>
                          <w:spacing w:val="-5"/>
                          <w:sz w:val="18"/>
                          <w:szCs w:val="18"/>
                        </w:rPr>
                        <w:t>、武</w:t>
                      </w:r>
                      <w:r>
                        <w:rPr>
                          <w:rFonts w:ascii="宋体" w:hAnsi="宋体" w:cs="宋体" w:eastAsia="宋体" w:hint="default"/>
                          <w:spacing w:val="-20"/>
                          <w:sz w:val="18"/>
                          <w:szCs w:val="18"/>
                        </w:rPr>
                        <w:t> </w:t>
                      </w:r>
                      <w:r>
                        <w:rPr>
                          <w:rFonts w:ascii="宋体" w:hAnsi="宋体" w:cs="宋体" w:eastAsia="宋体" w:hint="default"/>
                          <w:sz w:val="18"/>
                          <w:szCs w:val="18"/>
                        </w:rPr>
                        <w:t>汉四维图新科技有限公司、</w:t>
                      </w:r>
                      <w:r>
                        <w:rPr>
                          <w:rFonts w:ascii="Times New Roman" w:hAnsi="Times New Roman" w:cs="Times New Roman" w:eastAsia="Times New Roman" w:hint="default"/>
                          <w:sz w:val="18"/>
                          <w:szCs w:val="18"/>
                        </w:rPr>
                        <w:t>Coöperatieve NavInfo</w:t>
                      </w:r>
                      <w:r>
                        <w:rPr>
                          <w:rFonts w:ascii="Times New Roman" w:hAnsi="Times New Roman" w:cs="Times New Roman" w:eastAsia="Times New Roman" w:hint="default"/>
                          <w:spacing w:val="-6"/>
                          <w:sz w:val="18"/>
                          <w:szCs w:val="18"/>
                        </w:rPr>
                        <w:t> </w:t>
                      </w:r>
                      <w:r>
                        <w:rPr>
                          <w:rFonts w:ascii="Times New Roman" w:hAnsi="Times New Roman" w:cs="Times New Roman" w:eastAsia="Times New Roman" w:hint="default"/>
                          <w:sz w:val="18"/>
                          <w:szCs w:val="18"/>
                        </w:rPr>
                        <w:t>U.A.</w:t>
                      </w:r>
                      <w:r>
                        <w:rPr>
                          <w:rFonts w:ascii="宋体" w:hAnsi="宋体" w:cs="宋体" w:eastAsia="宋体" w:hint="default"/>
                          <w:sz w:val="18"/>
                          <w:szCs w:val="18"/>
                        </w:rPr>
                        <w:t>、四维图新（欧洲）有限公 司</w:t>
                      </w:r>
                    </w:p>
                  </w:txbxContent>
                </v:textbox>
                <w10:wrap type="none"/>
              </v:shape>
            </v:group>
          </v:group>
        </w:pict>
      </w:r>
      <w:r>
        <w:rPr>
          <w:rFonts w:ascii="宋体" w:hAnsi="宋体" w:cs="宋体" w:eastAsia="宋体" w:hint="default"/>
          <w:position w:val="-38"/>
          <w:sz w:val="20"/>
          <w:szCs w:val="20"/>
        </w:rPr>
      </w:r>
    </w:p>
    <w:p>
      <w:pPr>
        <w:spacing w:line="240" w:lineRule="auto" w:before="11"/>
        <w:rPr>
          <w:rFonts w:ascii="宋体" w:hAnsi="宋体" w:cs="宋体" w:eastAsia="宋体" w:hint="default"/>
          <w:sz w:val="18"/>
          <w:szCs w:val="18"/>
        </w:rPr>
      </w:pPr>
    </w:p>
    <w:p>
      <w:pPr>
        <w:pStyle w:val="Heading5"/>
        <w:spacing w:line="240" w:lineRule="auto" w:before="36"/>
        <w:ind w:right="94"/>
        <w:jc w:val="left"/>
        <w:rPr>
          <w:b w:val="0"/>
          <w:bCs w:val="0"/>
        </w:rPr>
      </w:pPr>
      <w:r>
        <w:rPr>
          <w:rFonts w:ascii="Times New Roman" w:hAnsi="Times New Roman" w:cs="Times New Roman" w:eastAsia="Times New Roman" w:hint="default"/>
        </w:rPr>
        <w:t>2</w:t>
      </w:r>
      <w:r>
        <w:rPr/>
        <w:t>、税收优惠</w:t>
      </w:r>
      <w:r>
        <w:rPr>
          <w:b w:val="0"/>
          <w:bCs w:val="0"/>
        </w:rPr>
      </w:r>
    </w:p>
    <w:p>
      <w:pPr>
        <w:spacing w:line="240" w:lineRule="auto" w:before="4"/>
        <w:rPr>
          <w:rFonts w:ascii="宋体" w:hAnsi="宋体" w:cs="宋体" w:eastAsia="宋体" w:hint="default"/>
          <w:b/>
          <w:bCs/>
          <w:sz w:val="26"/>
          <w:szCs w:val="26"/>
        </w:rPr>
      </w:pPr>
    </w:p>
    <w:p>
      <w:pPr>
        <w:pStyle w:val="BodyText"/>
        <w:spacing w:line="300" w:lineRule="auto"/>
        <w:ind w:right="94" w:firstLine="439"/>
        <w:jc w:val="left"/>
      </w:pPr>
      <w:r>
        <w:rPr/>
        <w:t>（</w:t>
      </w:r>
      <w:r>
        <w:rPr>
          <w:rFonts w:ascii="Times New Roman" w:hAnsi="Times New Roman" w:cs="Times New Roman" w:eastAsia="Times New Roman" w:hint="default"/>
        </w:rPr>
        <w:t>1</w:t>
      </w:r>
      <w:r>
        <w:rPr/>
        <w:t>）根据财政部</w:t>
      </w:r>
      <w:r>
        <w:rPr>
          <w:spacing w:val="53"/>
        </w:rPr>
        <w:t> </w:t>
      </w:r>
      <w:r>
        <w:rPr/>
        <w:t>国家税务总局《关于软件产品增值税政策的通知》（财税</w:t>
      </w:r>
      <w:r>
        <w:rPr>
          <w:rFonts w:ascii="Times New Roman" w:hAnsi="Times New Roman" w:cs="Times New Roman" w:eastAsia="Times New Roman" w:hint="default"/>
        </w:rPr>
        <w:t>[2011]100</w:t>
      </w:r>
      <w:r>
        <w:rPr/>
        <w:t>号）的规定，本公司自</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 </w:t>
      </w:r>
      <w:r>
        <w:rPr/>
        <w:t>月</w:t>
      </w:r>
      <w:r>
        <w:rPr>
          <w:rFonts w:ascii="Times New Roman" w:hAnsi="Times New Roman" w:cs="Times New Roman" w:eastAsia="Times New Roman" w:hint="default"/>
        </w:rPr>
        <w:t>1</w:t>
      </w:r>
      <w:r>
        <w:rPr/>
        <w:t>日起销售自行开发生产的软件产品，按</w:t>
      </w:r>
      <w:r>
        <w:rPr>
          <w:rFonts w:ascii="Times New Roman" w:hAnsi="Times New Roman" w:cs="Times New Roman" w:eastAsia="Times New Roman" w:hint="default"/>
        </w:rPr>
        <w:t>17%</w:t>
      </w:r>
      <w:r>
        <w:rPr/>
        <w:t>税率征收增值税后，对增值税实际税负超过</w:t>
      </w:r>
      <w:r>
        <w:rPr>
          <w:rFonts w:ascii="Times New Roman" w:hAnsi="Times New Roman" w:cs="Times New Roman" w:eastAsia="Times New Roman" w:hint="default"/>
        </w:rPr>
        <w:t>3%</w:t>
      </w:r>
      <w:r>
        <w:rPr/>
        <w:t>的部分实行即征即退政策。</w:t>
      </w:r>
    </w:p>
    <w:p>
      <w:pPr>
        <w:pStyle w:val="BodyText"/>
        <w:spacing w:line="300" w:lineRule="auto" w:before="133"/>
        <w:ind w:right="187" w:firstLine="439"/>
        <w:jc w:val="left"/>
      </w:pPr>
      <w:r>
        <w:rPr>
          <w:spacing w:val="-2"/>
        </w:rPr>
        <w:t>（</w:t>
      </w:r>
      <w:r>
        <w:rPr>
          <w:rFonts w:ascii="Times New Roman" w:hAnsi="Times New Roman" w:cs="Times New Roman" w:eastAsia="Times New Roman" w:hint="default"/>
          <w:spacing w:val="-2"/>
        </w:rPr>
        <w:t>2</w:t>
      </w:r>
      <w:r>
        <w:rPr>
          <w:spacing w:val="-2"/>
        </w:rPr>
        <w:t>）根据财政部</w:t>
      </w:r>
      <w:r>
        <w:rPr/>
        <w:t> </w:t>
      </w:r>
      <w:r>
        <w:rPr>
          <w:spacing w:val="-2"/>
        </w:rPr>
        <w:t>国家税务总局《关于全面推开营业税改征增值税试点的通知》（财税</w:t>
      </w:r>
      <w:r>
        <w:rPr>
          <w:rFonts w:ascii="Times New Roman" w:hAnsi="Times New Roman" w:cs="Times New Roman" w:eastAsia="Times New Roman" w:hint="default"/>
          <w:spacing w:val="-2"/>
        </w:rPr>
        <w:t>[2016]36</w:t>
      </w:r>
      <w:r>
        <w:rPr>
          <w:spacing w:val="-2"/>
        </w:rPr>
        <w:t>号文）的规定，试点纳</w:t>
      </w:r>
      <w:r>
        <w:rPr/>
        <w:t> 税人提供技术转让、技术开发和与之相关的技术咨询、技术服务，免征增值税。</w:t>
      </w:r>
    </w:p>
    <w:p>
      <w:pPr>
        <w:pStyle w:val="BodyText"/>
        <w:spacing w:line="300" w:lineRule="auto" w:before="151"/>
        <w:ind w:right="94" w:firstLine="439"/>
        <w:jc w:val="left"/>
      </w:pPr>
      <w:r>
        <w:rPr/>
        <w:t>（</w:t>
      </w:r>
      <w:r>
        <w:rPr>
          <w:rFonts w:ascii="Times New Roman" w:hAnsi="Times New Roman" w:cs="Times New Roman" w:eastAsia="Times New Roman" w:hint="default"/>
        </w:rPr>
        <w:t>3</w:t>
      </w:r>
      <w:r>
        <w:rPr/>
        <w:t>）本公司被认定为高新技术企业，并于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月通过高新技术企业复审，</w:t>
      </w:r>
      <w:r>
        <w:rPr>
          <w:rFonts w:ascii="Times New Roman" w:hAnsi="Times New Roman" w:cs="Times New Roman" w:eastAsia="Times New Roman" w:hint="default"/>
        </w:rPr>
        <w:t>2017</w:t>
      </w:r>
      <w:r>
        <w:rPr/>
        <w:t>年至</w:t>
      </w:r>
      <w:r>
        <w:rPr>
          <w:rFonts w:ascii="Times New Roman" w:hAnsi="Times New Roman" w:cs="Times New Roman" w:eastAsia="Times New Roman" w:hint="default"/>
        </w:rPr>
        <w:t>2019</w:t>
      </w:r>
      <w:r>
        <w:rPr/>
        <w:t>年度企业所得税适用税率 为</w:t>
      </w:r>
      <w:r>
        <w:rPr>
          <w:rFonts w:ascii="Times New Roman" w:hAnsi="Times New Roman" w:cs="Times New Roman" w:eastAsia="Times New Roman" w:hint="default"/>
        </w:rPr>
        <w:t>15%</w:t>
      </w:r>
      <w:r>
        <w:rPr/>
        <w:t>，于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月，公司被认定为国家规划布局内重点软件企业，</w:t>
      </w:r>
      <w:r>
        <w:rPr>
          <w:rFonts w:ascii="Times New Roman" w:hAnsi="Times New Roman" w:cs="Times New Roman" w:eastAsia="Times New Roman" w:hint="default"/>
        </w:rPr>
        <w:t>2016</w:t>
      </w:r>
      <w:r>
        <w:rPr/>
        <w:t>年度企业所得税适用税率最终确定为</w:t>
      </w:r>
      <w:r>
        <w:rPr>
          <w:rFonts w:ascii="Times New Roman" w:hAnsi="Times New Roman" w:cs="Times New Roman" w:eastAsia="Times New Roman" w:hint="default"/>
        </w:rPr>
        <w:t>10%</w:t>
      </w:r>
      <w:r>
        <w:rPr/>
        <w:t>。</w:t>
      </w:r>
    </w:p>
    <w:p>
      <w:pPr>
        <w:pStyle w:val="BodyText"/>
        <w:spacing w:line="240" w:lineRule="auto" w:before="133"/>
        <w:ind w:left="592" w:right="94"/>
        <w:jc w:val="left"/>
      </w:pPr>
      <w:r>
        <w:rPr/>
        <w:t>（</w:t>
      </w:r>
      <w:r>
        <w:rPr>
          <w:rFonts w:ascii="Times New Roman" w:hAnsi="Times New Roman" w:cs="Times New Roman" w:eastAsia="Times New Roman" w:hint="default"/>
        </w:rPr>
        <w:t>4</w:t>
      </w:r>
      <w:r>
        <w:rPr/>
        <w:t>）本公司下属子公司</w:t>
      </w:r>
      <w:r>
        <w:rPr>
          <w:rFonts w:ascii="Times New Roman" w:hAnsi="Times New Roman" w:cs="Times New Roman" w:eastAsia="Times New Roman" w:hint="default"/>
        </w:rPr>
        <w:t>MapscapeB.V.</w:t>
      </w:r>
      <w:r>
        <w:rPr/>
        <w:t>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3</w:t>
      </w:r>
      <w:r>
        <w:rPr/>
        <w:t>月与荷兰税务局达成协议，认定其适用于荷兰</w:t>
      </w:r>
      <w:r>
        <w:rPr>
          <w:rFonts w:ascii="Times New Roman" w:hAnsi="Times New Roman" w:cs="Times New Roman" w:eastAsia="Times New Roman" w:hint="default"/>
        </w:rPr>
        <w:t>1969</w:t>
      </w:r>
      <w:r>
        <w:rPr/>
        <w:t>年企业所得税法第</w:t>
      </w:r>
    </w:p>
    <w:p>
      <w:pPr>
        <w:pStyle w:val="BodyText"/>
        <w:spacing w:line="240" w:lineRule="auto" w:before="63"/>
        <w:ind w:right="94"/>
        <w:jc w:val="left"/>
      </w:pPr>
      <w:r>
        <w:rPr>
          <w:rFonts w:ascii="Times New Roman" w:hAnsi="Times New Roman" w:cs="Times New Roman" w:eastAsia="Times New Roman" w:hint="default"/>
        </w:rPr>
        <w:t>12b</w:t>
      </w:r>
      <w:r>
        <w:rPr/>
        <w:t>条，</w:t>
      </w:r>
      <w:r>
        <w:rPr>
          <w:rFonts w:ascii="Times New Roman" w:hAnsi="Times New Roman" w:cs="Times New Roman" w:eastAsia="Times New Roman" w:hint="default"/>
        </w:rPr>
        <w:t>Dutch Innovation</w:t>
      </w:r>
      <w:r>
        <w:rPr>
          <w:rFonts w:ascii="Times New Roman" w:hAnsi="Times New Roman" w:cs="Times New Roman" w:eastAsia="Times New Roman" w:hint="default"/>
          <w:spacing w:val="-11"/>
        </w:rPr>
        <w:t> </w:t>
      </w:r>
      <w:r>
        <w:rPr>
          <w:rFonts w:ascii="Times New Roman" w:hAnsi="Times New Roman" w:cs="Times New Roman" w:eastAsia="Times New Roman" w:hint="default"/>
        </w:rPr>
        <w:t>Box</w:t>
      </w:r>
      <w:r>
        <w:rPr/>
        <w:t>税收制度，其</w:t>
      </w:r>
      <w:r>
        <w:rPr>
          <w:rFonts w:ascii="Times New Roman" w:hAnsi="Times New Roman" w:cs="Times New Roman" w:eastAsia="Times New Roman" w:hint="default"/>
        </w:rPr>
        <w:t>2013</w:t>
      </w:r>
      <w:r>
        <w:rPr/>
        <w:t>年至</w:t>
      </w:r>
      <w:r>
        <w:rPr>
          <w:rFonts w:ascii="Times New Roman" w:hAnsi="Times New Roman" w:cs="Times New Roman" w:eastAsia="Times New Roman" w:hint="default"/>
        </w:rPr>
        <w:t>2017</w:t>
      </w:r>
      <w:r>
        <w:rPr/>
        <w:t>年企业所得税适用税率为</w:t>
      </w:r>
      <w:r>
        <w:rPr>
          <w:rFonts w:ascii="Times New Roman" w:hAnsi="Times New Roman" w:cs="Times New Roman" w:eastAsia="Times New Roman" w:hint="default"/>
        </w:rPr>
        <w:t>13%</w:t>
      </w:r>
      <w:r>
        <w:rPr/>
        <w:t>。</w:t>
      </w:r>
    </w:p>
    <w:p>
      <w:pPr>
        <w:spacing w:line="240" w:lineRule="auto" w:before="13"/>
        <w:rPr>
          <w:rFonts w:ascii="宋体" w:hAnsi="宋体" w:cs="宋体" w:eastAsia="宋体" w:hint="default"/>
          <w:sz w:val="13"/>
          <w:szCs w:val="13"/>
        </w:rPr>
      </w:pPr>
    </w:p>
    <w:p>
      <w:pPr>
        <w:pStyle w:val="BodyText"/>
        <w:spacing w:line="300" w:lineRule="auto"/>
        <w:ind w:right="94" w:firstLine="439"/>
        <w:jc w:val="left"/>
      </w:pPr>
      <w:r>
        <w:rPr>
          <w:spacing w:val="-2"/>
        </w:rPr>
        <w:t>（</w:t>
      </w:r>
      <w:r>
        <w:rPr>
          <w:rFonts w:ascii="Times New Roman" w:hAnsi="Times New Roman" w:cs="Times New Roman" w:eastAsia="Times New Roman" w:hint="default"/>
          <w:spacing w:val="-2"/>
        </w:rPr>
        <w:t>5</w:t>
      </w:r>
      <w:r>
        <w:rPr>
          <w:spacing w:val="-2"/>
        </w:rPr>
        <w:t>）本公司下属子公司北京图新经纬导航系统有限公司被认定为高新技术企业，并于</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10</w:t>
      </w:r>
      <w:r>
        <w:rPr>
          <w:spacing w:val="-2"/>
        </w:rPr>
        <w:t>月通过高新技术企业复</w:t>
      </w:r>
      <w:r>
        <w:rPr/>
        <w:t> 审，</w:t>
      </w:r>
      <w:r>
        <w:rPr>
          <w:rFonts w:ascii="Times New Roman" w:hAnsi="Times New Roman" w:cs="Times New Roman" w:eastAsia="Times New Roman" w:hint="default"/>
        </w:rPr>
        <w:t>2015</w:t>
      </w:r>
      <w:r>
        <w:rPr/>
        <w:t>年至</w:t>
      </w:r>
      <w:r>
        <w:rPr>
          <w:rFonts w:ascii="Times New Roman" w:hAnsi="Times New Roman" w:cs="Times New Roman" w:eastAsia="Times New Roman" w:hint="default"/>
        </w:rPr>
        <w:t>2017</w:t>
      </w:r>
      <w:r>
        <w:rPr/>
        <w:t>年度企业所得税适用税率为</w:t>
      </w:r>
      <w:r>
        <w:rPr>
          <w:rFonts w:ascii="Times New Roman" w:hAnsi="Times New Roman" w:cs="Times New Roman" w:eastAsia="Times New Roman" w:hint="default"/>
        </w:rPr>
        <w:t>15%</w:t>
      </w:r>
      <w:r>
        <w:rPr/>
        <w:t>。</w:t>
      </w:r>
    </w:p>
    <w:p>
      <w:pPr>
        <w:pStyle w:val="BodyText"/>
        <w:spacing w:line="300" w:lineRule="auto" w:before="133"/>
        <w:ind w:right="94" w:firstLine="439"/>
        <w:jc w:val="left"/>
      </w:pPr>
      <w:r>
        <w:rPr/>
        <w:t>（</w:t>
      </w:r>
      <w:r>
        <w:rPr>
          <w:rFonts w:ascii="Times New Roman" w:hAnsi="Times New Roman" w:cs="Times New Roman" w:eastAsia="Times New Roman" w:hint="default"/>
        </w:rPr>
        <w:t>6</w:t>
      </w:r>
      <w:r>
        <w:rPr/>
        <w:t>）本公司下属子公司北京世纪高通科技有限公司被认定为高新技术企业，并于</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10</w:t>
      </w:r>
      <w:r>
        <w:rPr/>
        <w:t>月通过高新技术企业复审， </w:t>
      </w:r>
      <w:r>
        <w:rPr>
          <w:rFonts w:ascii="Times New Roman" w:hAnsi="Times New Roman" w:cs="Times New Roman" w:eastAsia="Times New Roman" w:hint="default"/>
        </w:rPr>
        <w:t>2014</w:t>
      </w:r>
      <w:r>
        <w:rPr/>
        <w:t>年至</w:t>
      </w:r>
      <w:r>
        <w:rPr>
          <w:rFonts w:ascii="Times New Roman" w:hAnsi="Times New Roman" w:cs="Times New Roman" w:eastAsia="Times New Roman" w:hint="default"/>
        </w:rPr>
        <w:t>2016</w:t>
      </w:r>
      <w:r>
        <w:rPr/>
        <w:t>年度企业所得税适用税率为</w:t>
      </w:r>
      <w:r>
        <w:rPr>
          <w:rFonts w:ascii="Times New Roman" w:hAnsi="Times New Roman" w:cs="Times New Roman" w:eastAsia="Times New Roman" w:hint="default"/>
        </w:rPr>
        <w:t>15%</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月，再次通过高新技术企业复审，</w:t>
      </w:r>
      <w:r>
        <w:rPr>
          <w:rFonts w:ascii="Times New Roman" w:hAnsi="Times New Roman" w:cs="Times New Roman" w:eastAsia="Times New Roman" w:hint="default"/>
        </w:rPr>
        <w:t>2017</w:t>
      </w:r>
      <w:r>
        <w:rPr/>
        <w:t>年至</w:t>
      </w:r>
      <w:r>
        <w:rPr>
          <w:rFonts w:ascii="Times New Roman" w:hAnsi="Times New Roman" w:cs="Times New Roman" w:eastAsia="Times New Roman" w:hint="default"/>
        </w:rPr>
        <w:t>2019</w:t>
      </w:r>
      <w:r>
        <w:rPr/>
        <w:t>年度企业所得税适 用税率为</w:t>
      </w:r>
      <w:r>
        <w:rPr>
          <w:rFonts w:ascii="Times New Roman" w:hAnsi="Times New Roman" w:cs="Times New Roman" w:eastAsia="Times New Roman" w:hint="default"/>
        </w:rPr>
        <w:t>15%</w:t>
      </w:r>
      <w:r>
        <w:rPr/>
        <w:t>。</w:t>
      </w:r>
    </w:p>
    <w:p>
      <w:pPr>
        <w:pStyle w:val="BodyText"/>
        <w:spacing w:line="300" w:lineRule="auto" w:before="133"/>
        <w:ind w:right="94" w:firstLine="439"/>
        <w:jc w:val="left"/>
      </w:pPr>
      <w:r>
        <w:rPr>
          <w:spacing w:val="-2"/>
        </w:rPr>
        <w:t>（</w:t>
      </w:r>
      <w:r>
        <w:rPr>
          <w:rFonts w:ascii="Times New Roman" w:hAnsi="Times New Roman" w:cs="Times New Roman" w:eastAsia="Times New Roman" w:hint="default"/>
          <w:spacing w:val="-2"/>
        </w:rPr>
        <w:t>7</w:t>
      </w:r>
      <w:r>
        <w:rPr>
          <w:spacing w:val="-2"/>
        </w:rPr>
        <w:t>）本公司下属子公司中交宇科（北京）空间信息技术有限公司被认定为高新技术企业，并于</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11</w:t>
      </w:r>
      <w:r>
        <w:rPr>
          <w:spacing w:val="-2"/>
        </w:rPr>
        <w:t>月通过高新技</w:t>
      </w:r>
      <w:r>
        <w:rPr/>
        <w:t> 术企业复审，</w:t>
      </w:r>
      <w:r>
        <w:rPr>
          <w:rFonts w:ascii="Times New Roman" w:hAnsi="Times New Roman" w:cs="Times New Roman" w:eastAsia="Times New Roman" w:hint="default"/>
        </w:rPr>
        <w:t>2015</w:t>
      </w:r>
      <w:r>
        <w:rPr/>
        <w:t>年至</w:t>
      </w:r>
      <w:r>
        <w:rPr>
          <w:rFonts w:ascii="Times New Roman" w:hAnsi="Times New Roman" w:cs="Times New Roman" w:eastAsia="Times New Roman" w:hint="default"/>
        </w:rPr>
        <w:t>2017</w:t>
      </w:r>
      <w:r>
        <w:rPr/>
        <w:t>年度企业所得税适用税率为</w:t>
      </w:r>
      <w:r>
        <w:rPr>
          <w:rFonts w:ascii="Times New Roman" w:hAnsi="Times New Roman" w:cs="Times New Roman" w:eastAsia="Times New Roman" w:hint="default"/>
        </w:rPr>
        <w:t>15%</w:t>
      </w:r>
      <w:r>
        <w:rPr/>
        <w:t>。</w:t>
      </w:r>
    </w:p>
    <w:p>
      <w:pPr>
        <w:pStyle w:val="BodyText"/>
        <w:spacing w:line="240" w:lineRule="auto" w:before="133"/>
        <w:ind w:left="592" w:right="0"/>
        <w:jc w:val="left"/>
      </w:pPr>
      <w:r>
        <w:rPr/>
        <w:t>（</w:t>
      </w:r>
      <w:r>
        <w:rPr>
          <w:rFonts w:ascii="Times New Roman" w:hAnsi="Times New Roman" w:cs="Times New Roman" w:eastAsia="Times New Roman" w:hint="default"/>
        </w:rPr>
        <w:t>8</w:t>
      </w:r>
      <w:r>
        <w:rPr/>
        <w:t>）本公司下属子公司中寰卫星导航通信有限公司被认定为高新技术企业，并于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月通过高新技术企业复审，</w:t>
      </w:r>
    </w:p>
    <w:p>
      <w:pPr>
        <w:pStyle w:val="BodyText"/>
        <w:spacing w:line="240" w:lineRule="auto" w:before="63"/>
        <w:ind w:right="94"/>
        <w:jc w:val="left"/>
      </w:pP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年度企业所得税适用税率为</w:t>
      </w:r>
      <w:r>
        <w:rPr>
          <w:rFonts w:ascii="Times New Roman" w:hAnsi="Times New Roman" w:cs="Times New Roman" w:eastAsia="Times New Roman" w:hint="default"/>
        </w:rPr>
        <w:t>15%</w:t>
      </w:r>
      <w:r>
        <w:rPr/>
        <w:t>。</w:t>
      </w:r>
    </w:p>
    <w:p>
      <w:pPr>
        <w:spacing w:line="240" w:lineRule="auto" w:before="13"/>
        <w:rPr>
          <w:rFonts w:ascii="宋体" w:hAnsi="宋体" w:cs="宋体" w:eastAsia="宋体" w:hint="default"/>
          <w:sz w:val="13"/>
          <w:szCs w:val="13"/>
        </w:rPr>
      </w:pPr>
    </w:p>
    <w:p>
      <w:pPr>
        <w:pStyle w:val="BodyText"/>
        <w:spacing w:line="300" w:lineRule="auto"/>
        <w:ind w:right="94" w:firstLine="439"/>
        <w:jc w:val="left"/>
      </w:pPr>
      <w:r>
        <w:rPr>
          <w:spacing w:val="-2"/>
        </w:rPr>
        <w:t>（</w:t>
      </w:r>
      <w:r>
        <w:rPr>
          <w:rFonts w:ascii="Times New Roman" w:hAnsi="Times New Roman" w:cs="Times New Roman" w:eastAsia="Times New Roman" w:hint="default"/>
          <w:spacing w:val="-2"/>
        </w:rPr>
        <w:t>9</w:t>
      </w:r>
      <w:r>
        <w:rPr>
          <w:spacing w:val="-2"/>
        </w:rPr>
        <w:t>）本公司下属子公司内蒙古中寰卫星导航通信有限公司被认定为高新技术企业，并于</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10</w:t>
      </w:r>
      <w:r>
        <w:rPr>
          <w:spacing w:val="-2"/>
        </w:rPr>
        <w:t>月通过高新技术企业</w:t>
      </w:r>
      <w:r>
        <w:rPr/>
        <w:t> 复审，</w:t>
      </w:r>
      <w:r>
        <w:rPr>
          <w:rFonts w:ascii="Times New Roman" w:hAnsi="Times New Roman" w:cs="Times New Roman" w:eastAsia="Times New Roman" w:hint="default"/>
        </w:rPr>
        <w:t>2015</w:t>
      </w:r>
      <w:r>
        <w:rPr/>
        <w:t>年至</w:t>
      </w:r>
      <w:r>
        <w:rPr>
          <w:rFonts w:ascii="Times New Roman" w:hAnsi="Times New Roman" w:cs="Times New Roman" w:eastAsia="Times New Roman" w:hint="default"/>
        </w:rPr>
        <w:t>2017</w:t>
      </w:r>
      <w:r>
        <w:rPr/>
        <w:t>年度企业所得税适用税率为</w:t>
      </w:r>
      <w:r>
        <w:rPr>
          <w:rFonts w:ascii="Times New Roman" w:hAnsi="Times New Roman" w:cs="Times New Roman" w:eastAsia="Times New Roman" w:hint="default"/>
        </w:rPr>
        <w:t>15%</w:t>
      </w:r>
      <w:r>
        <w:rPr/>
        <w:t>。</w:t>
      </w:r>
    </w:p>
    <w:p>
      <w:pPr>
        <w:pStyle w:val="BodyText"/>
        <w:spacing w:line="240" w:lineRule="auto" w:before="133"/>
        <w:ind w:left="592" w:right="94"/>
        <w:jc w:val="left"/>
      </w:pPr>
      <w:r>
        <w:rPr/>
        <w:t>（</w:t>
      </w:r>
      <w:r>
        <w:rPr>
          <w:rFonts w:ascii="Times New Roman" w:hAnsi="Times New Roman" w:cs="Times New Roman" w:eastAsia="Times New Roman" w:hint="default"/>
        </w:rPr>
        <w:t>10</w:t>
      </w:r>
      <w:r>
        <w:rPr/>
        <w:t>）本公司下属子公司长沙市海图科技有限公司被认定为高新技术企业，并于</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月通过高新技术企业复审，</w:t>
      </w:r>
    </w:p>
    <w:p>
      <w:pPr>
        <w:pStyle w:val="BodyText"/>
        <w:spacing w:line="240" w:lineRule="auto" w:before="63"/>
        <w:ind w:right="94"/>
        <w:jc w:val="left"/>
      </w:pP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年度企业所得税适用税率为</w:t>
      </w:r>
      <w:r>
        <w:rPr>
          <w:rFonts w:ascii="Times New Roman" w:hAnsi="Times New Roman" w:cs="Times New Roman" w:eastAsia="Times New Roman" w:hint="default"/>
        </w:rPr>
        <w:t>15%</w:t>
      </w:r>
      <w:r>
        <w:rPr/>
        <w:t>。</w:t>
      </w:r>
    </w:p>
    <w:p>
      <w:pPr>
        <w:spacing w:line="240" w:lineRule="auto" w:before="1"/>
        <w:rPr>
          <w:rFonts w:ascii="宋体" w:hAnsi="宋体" w:cs="宋体" w:eastAsia="宋体" w:hint="default"/>
          <w:sz w:val="13"/>
          <w:szCs w:val="13"/>
        </w:rPr>
      </w:pPr>
    </w:p>
    <w:p>
      <w:pPr>
        <w:pStyle w:val="BodyText"/>
        <w:spacing w:line="300" w:lineRule="auto"/>
        <w:ind w:right="94" w:firstLine="439"/>
        <w:jc w:val="left"/>
      </w:pPr>
      <w:r>
        <w:rPr/>
        <w:t>（</w:t>
      </w:r>
      <w:r>
        <w:rPr>
          <w:rFonts w:ascii="Times New Roman" w:hAnsi="Times New Roman" w:cs="Times New Roman" w:eastAsia="Times New Roman" w:hint="default"/>
        </w:rPr>
        <w:t>11</w:t>
      </w:r>
      <w:r>
        <w:rPr/>
        <w:t>）本公司下属子公司甘肃中寰卫星导航通信有限公司</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11</w:t>
      </w:r>
      <w:r>
        <w:rPr/>
        <w:t>月被认定为高新技术企业，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 所得税适用税率为</w:t>
      </w:r>
      <w:r>
        <w:rPr>
          <w:rFonts w:ascii="Times New Roman" w:hAnsi="Times New Roman" w:cs="Times New Roman" w:eastAsia="Times New Roman" w:hint="default"/>
        </w:rPr>
        <w:t>15%</w:t>
      </w:r>
      <w:r>
        <w:rPr/>
        <w:t>。</w:t>
      </w:r>
    </w:p>
    <w:p>
      <w:pPr>
        <w:pStyle w:val="BodyText"/>
        <w:spacing w:line="300" w:lineRule="auto" w:before="133"/>
        <w:ind w:right="94" w:firstLine="432"/>
        <w:jc w:val="left"/>
      </w:pPr>
      <w:r>
        <w:rPr/>
        <w:t>（</w:t>
      </w:r>
      <w:r>
        <w:rPr>
          <w:rFonts w:ascii="Times New Roman" w:hAnsi="Times New Roman" w:cs="Times New Roman" w:eastAsia="Times New Roman" w:hint="default"/>
        </w:rPr>
        <w:t>12</w:t>
      </w:r>
      <w:r>
        <w:rPr/>
        <w:t>）本公司下属子公司广州博瞻恒腾信息技术有限公司被认定为高新技术企业，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 税率为</w:t>
      </w:r>
      <w:r>
        <w:rPr>
          <w:rFonts w:ascii="Times New Roman" w:hAnsi="Times New Roman" w:cs="Times New Roman" w:eastAsia="Times New Roman" w:hint="default"/>
        </w:rPr>
        <w:t>15%</w:t>
      </w:r>
      <w:r>
        <w:rPr/>
        <w:t>。</w:t>
      </w:r>
    </w:p>
    <w:p>
      <w:pPr>
        <w:pStyle w:val="BodyText"/>
        <w:spacing w:line="300" w:lineRule="auto" w:before="133"/>
        <w:ind w:right="94" w:firstLine="432"/>
        <w:jc w:val="left"/>
      </w:pPr>
      <w:r>
        <w:rPr/>
        <w:t>（</w:t>
      </w:r>
      <w:r>
        <w:rPr>
          <w:rFonts w:ascii="Times New Roman" w:hAnsi="Times New Roman" w:cs="Times New Roman" w:eastAsia="Times New Roman" w:hint="default"/>
        </w:rPr>
        <w:t>13</w:t>
      </w:r>
      <w:r>
        <w:rPr/>
        <w:t>）本公司下属子公司上海炬宏信息技术有限公司被认定为高新技术企业，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年度企业所得税适用税率 为</w:t>
      </w:r>
      <w:r>
        <w:rPr>
          <w:rFonts w:ascii="Times New Roman" w:hAnsi="Times New Roman" w:cs="Times New Roman" w:eastAsia="Times New Roman" w:hint="default"/>
        </w:rPr>
        <w:t>15%</w:t>
      </w:r>
      <w:r>
        <w:rPr/>
        <w:t>。</w:t>
      </w:r>
    </w:p>
    <w:p>
      <w:pPr>
        <w:pStyle w:val="BodyText"/>
        <w:spacing w:line="300" w:lineRule="auto" w:before="130"/>
        <w:ind w:right="94" w:firstLine="432"/>
        <w:jc w:val="left"/>
      </w:pPr>
      <w:r>
        <w:rPr/>
        <w:t>（</w:t>
      </w:r>
      <w:r>
        <w:rPr>
          <w:rFonts w:ascii="Times New Roman" w:hAnsi="Times New Roman" w:cs="Times New Roman" w:eastAsia="Times New Roman" w:hint="default"/>
        </w:rPr>
        <w:t>14</w:t>
      </w:r>
      <w:r>
        <w:rPr/>
        <w:t>）本公司下属子公司沈阳世纪高通科技有限公司被认定为高新技术企业，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年度企业所得税适用税率 为</w:t>
      </w:r>
      <w:r>
        <w:rPr>
          <w:rFonts w:ascii="Times New Roman" w:hAnsi="Times New Roman" w:cs="Times New Roman" w:eastAsia="Times New Roman" w:hint="default"/>
        </w:rPr>
        <w:t>15%</w:t>
      </w:r>
      <w:r>
        <w:rPr/>
        <w:t>。</w:t>
      </w:r>
    </w:p>
    <w:p>
      <w:pPr>
        <w:pStyle w:val="BodyText"/>
        <w:spacing w:line="240" w:lineRule="auto" w:before="133"/>
        <w:ind w:left="585" w:right="94"/>
        <w:jc w:val="left"/>
      </w:pPr>
      <w:r>
        <w:rPr/>
        <w:t>（</w:t>
      </w:r>
      <w:r>
        <w:rPr>
          <w:rFonts w:ascii="Times New Roman" w:hAnsi="Times New Roman" w:cs="Times New Roman" w:eastAsia="Times New Roman" w:hint="default"/>
        </w:rPr>
        <w:t>15</w:t>
      </w:r>
      <w:r>
        <w:rPr/>
        <w:t>）本公司下属子公司西安四维图新信息技术有限公司被认定为高新技术企业，</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年度企业所得税适用</w:t>
      </w:r>
    </w:p>
    <w:p>
      <w:pPr>
        <w:spacing w:after="0" w:line="240" w:lineRule="auto"/>
        <w:jc w:val="left"/>
        <w:sectPr>
          <w:pgSz w:w="11910" w:h="16840"/>
          <w:pgMar w:header="745" w:footer="979" w:top="1060" w:bottom="1160" w:left="980" w:right="94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t>税率为</w:t>
      </w:r>
      <w:r>
        <w:rPr>
          <w:rFonts w:ascii="Times New Roman" w:hAnsi="Times New Roman" w:cs="Times New Roman" w:eastAsia="Times New Roman" w:hint="default"/>
        </w:rPr>
        <w:t>15%</w:t>
      </w:r>
      <w:r>
        <w:rPr/>
        <w:t>。</w:t>
      </w:r>
    </w:p>
    <w:p>
      <w:pPr>
        <w:pStyle w:val="BodyText"/>
        <w:spacing w:line="300" w:lineRule="auto" w:before="159"/>
        <w:ind w:right="0" w:firstLine="360"/>
        <w:jc w:val="left"/>
      </w:pPr>
      <w:r>
        <w:rPr/>
        <w:t>（</w:t>
      </w:r>
      <w:r>
        <w:rPr>
          <w:rFonts w:ascii="Times New Roman" w:hAnsi="Times New Roman" w:cs="Times New Roman" w:eastAsia="Times New Roman" w:hint="default"/>
        </w:rPr>
        <w:t>16</w:t>
      </w:r>
      <w:r>
        <w:rPr/>
        <w:t>）本公司下属子公司北京图为先科技有限公司被认定为高新技术企业，</w:t>
      </w:r>
      <w:r>
        <w:rPr>
          <w:rFonts w:ascii="Times New Roman" w:hAnsi="Times New Roman" w:cs="Times New Roman" w:eastAsia="Times New Roman" w:hint="default"/>
        </w:rPr>
        <w:t>2014</w:t>
      </w:r>
      <w:r>
        <w:rPr/>
        <w:t>至</w:t>
      </w:r>
      <w:r>
        <w:rPr>
          <w:rFonts w:ascii="Times New Roman" w:hAnsi="Times New Roman" w:cs="Times New Roman" w:eastAsia="Times New Roman" w:hint="default"/>
        </w:rPr>
        <w:t>2016</w:t>
      </w:r>
      <w:r>
        <w:rPr/>
        <w:t>年度企业所得税适用税率</w:t>
      </w:r>
      <w:r>
        <w:rPr>
          <w:rFonts w:ascii="Times New Roman" w:hAnsi="Times New Roman" w:cs="Times New Roman" w:eastAsia="Times New Roman" w:hint="default"/>
        </w:rPr>
        <w:t>15%</w:t>
      </w:r>
      <w:r>
        <w:rPr/>
        <w:t>， 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月通过高新技术企业复审，</w:t>
      </w:r>
      <w:r>
        <w:rPr>
          <w:rFonts w:ascii="Times New Roman" w:hAnsi="Times New Roman" w:cs="Times New Roman" w:eastAsia="Times New Roman" w:hint="default"/>
        </w:rPr>
        <w:t>2017</w:t>
      </w:r>
      <w:r>
        <w:rPr/>
        <w:t>年至</w:t>
      </w:r>
      <w:r>
        <w:rPr>
          <w:rFonts w:ascii="Times New Roman" w:hAnsi="Times New Roman" w:cs="Times New Roman" w:eastAsia="Times New Roman" w:hint="default"/>
        </w:rPr>
        <w:t>2019</w:t>
      </w:r>
      <w:r>
        <w:rPr/>
        <w:t>年度企业所得税适用税率为</w:t>
      </w:r>
      <w:r>
        <w:rPr>
          <w:rFonts w:ascii="Times New Roman" w:hAnsi="Times New Roman" w:cs="Times New Roman" w:eastAsia="Times New Roman" w:hint="default"/>
        </w:rPr>
        <w:t>15%</w:t>
      </w:r>
      <w:r>
        <w:rPr/>
        <w:t>。</w:t>
      </w:r>
    </w:p>
    <w:p>
      <w:pPr>
        <w:pStyle w:val="BodyText"/>
        <w:spacing w:line="300" w:lineRule="auto" w:before="133"/>
        <w:ind w:right="0" w:firstLine="439"/>
        <w:jc w:val="left"/>
      </w:pPr>
      <w:r>
        <w:rPr/>
        <w:t>（</w:t>
      </w:r>
      <w:r>
        <w:rPr>
          <w:rFonts w:ascii="Times New Roman" w:hAnsi="Times New Roman" w:cs="Times New Roman" w:eastAsia="Times New Roman" w:hint="default"/>
        </w:rPr>
        <w:t>17</w:t>
      </w:r>
      <w:r>
        <w:rPr/>
        <w:t>）本公司下属子公司合肥杰发科技有限公司系</w:t>
      </w:r>
      <w:r>
        <w:rPr>
          <w:rFonts w:ascii="Times New Roman" w:hAnsi="Times New Roman" w:cs="Times New Roman" w:eastAsia="Times New Roman" w:hint="default"/>
        </w:rPr>
        <w:t>2014</w:t>
      </w:r>
      <w:r>
        <w:rPr/>
        <w:t>年新办集成电路企业，根据财税（</w:t>
      </w:r>
      <w:r>
        <w:rPr>
          <w:rFonts w:ascii="Times New Roman" w:hAnsi="Times New Roman" w:cs="Times New Roman" w:eastAsia="Times New Roman" w:hint="default"/>
        </w:rPr>
        <w:t>2012</w:t>
      </w:r>
      <w:r>
        <w:rPr/>
        <w:t>）</w:t>
      </w:r>
      <w:r>
        <w:rPr>
          <w:rFonts w:ascii="Times New Roman" w:hAnsi="Times New Roman" w:cs="Times New Roman" w:eastAsia="Times New Roman" w:hint="default"/>
        </w:rPr>
        <w:t>27</w:t>
      </w:r>
      <w:r>
        <w:rPr/>
        <w:t>号文，公司自</w:t>
      </w:r>
      <w:r>
        <w:rPr>
          <w:rFonts w:ascii="Times New Roman" w:hAnsi="Times New Roman" w:cs="Times New Roman" w:eastAsia="Times New Roman" w:hint="default"/>
        </w:rPr>
        <w:t>2014 </w:t>
      </w:r>
      <w:r>
        <w:rPr/>
        <w:t>年起至</w:t>
      </w:r>
      <w:r>
        <w:rPr>
          <w:rFonts w:ascii="Times New Roman" w:hAnsi="Times New Roman" w:cs="Times New Roman" w:eastAsia="Times New Roman" w:hint="default"/>
        </w:rPr>
        <w:t>2018</w:t>
      </w:r>
      <w:r>
        <w:rPr/>
        <w:t>年享受所得税两免三减半优惠政策，</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2015</w:t>
      </w:r>
      <w:r>
        <w:rPr/>
        <w:t>年为免税期，</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年企业所得税适用税率为</w:t>
      </w:r>
      <w:r>
        <w:rPr>
          <w:rFonts w:ascii="Times New Roman" w:hAnsi="Times New Roman" w:cs="Times New Roman" w:eastAsia="Times New Roman" w:hint="default"/>
        </w:rPr>
        <w:t>12.5%</w:t>
      </w:r>
      <w:r>
        <w:rPr/>
        <w:t>。</w:t>
      </w:r>
      <w:r>
        <w:rPr>
          <w:spacing w:val="-23"/>
        </w:rPr>
        <w:t> </w:t>
      </w:r>
      <w:r>
        <w:rPr/>
        <w:t>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月，公司被认定为国家规划布局内重点集成电路设计企业，</w:t>
      </w:r>
      <w:r>
        <w:rPr>
          <w:rFonts w:ascii="Times New Roman" w:hAnsi="Times New Roman" w:cs="Times New Roman" w:eastAsia="Times New Roman" w:hint="default"/>
        </w:rPr>
        <w:t>2016</w:t>
      </w:r>
      <w:r>
        <w:rPr/>
        <w:t>年度企业所得税适用税率最终确定为</w:t>
      </w:r>
      <w:r>
        <w:rPr>
          <w:rFonts w:ascii="Times New Roman" w:hAnsi="Times New Roman" w:cs="Times New Roman" w:eastAsia="Times New Roman" w:hint="default"/>
        </w:rPr>
        <w:t>10%</w:t>
      </w:r>
      <w:r>
        <w:rPr/>
        <w:t>，</w:t>
      </w:r>
      <w:r>
        <w:rPr>
          <w:rFonts w:ascii="Times New Roman" w:hAnsi="Times New Roman" w:cs="Times New Roman" w:eastAsia="Times New Roman" w:hint="default"/>
        </w:rPr>
        <w:t>2017</w:t>
      </w:r>
      <w:r>
        <w:rPr>
          <w:rFonts w:ascii="Times New Roman" w:hAnsi="Times New Roman" w:cs="Times New Roman" w:eastAsia="Times New Roman" w:hint="default"/>
          <w:spacing w:val="-10"/>
        </w:rPr>
        <w:t> </w:t>
      </w:r>
      <w:r>
        <w:rPr/>
        <w:t>年暂按照</w:t>
      </w:r>
      <w:r>
        <w:rPr>
          <w:rFonts w:ascii="Times New Roman" w:hAnsi="Times New Roman" w:cs="Times New Roman" w:eastAsia="Times New Roman" w:hint="default"/>
        </w:rPr>
        <w:t>10%</w:t>
      </w:r>
      <w:r>
        <w:rPr/>
        <w:t>的企业所得税税率计提并预缴企业所得税。</w:t>
      </w:r>
    </w:p>
    <w:p>
      <w:pPr>
        <w:spacing w:line="240" w:lineRule="auto" w:before="4"/>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3</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4"/>
        <w:rPr>
          <w:rFonts w:ascii="宋体" w:hAnsi="宋体" w:cs="宋体" w:eastAsia="宋体" w:hint="default"/>
          <w:sz w:val="25"/>
          <w:szCs w:val="25"/>
        </w:rPr>
      </w:pPr>
    </w:p>
    <w:p>
      <w:pPr>
        <w:pStyle w:val="Heading3"/>
        <w:spacing w:line="240" w:lineRule="auto"/>
        <w:ind w:right="0"/>
        <w:jc w:val="left"/>
        <w:rPr>
          <w:b w:val="0"/>
          <w:bCs w:val="0"/>
        </w:rPr>
      </w:pPr>
      <w:r>
        <w:rPr/>
        <w:t>七、合并财务报表项目注释</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、货币资金</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21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248,300.34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387,730.43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1,468,963,191.22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1,046,337,635.76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1,974,235,765.98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677,520,756.62</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3,443,447,257.54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1,724,246,122.81</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其中：存放在境外的款项总额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327,820,923.18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138,445,647.05</w:t>
            </w:r>
          </w:p>
        </w:tc>
      </w:tr>
    </w:tbl>
    <w:p>
      <w:pPr>
        <w:pStyle w:val="BodyText"/>
        <w:spacing w:line="240" w:lineRule="auto" w:before="49"/>
        <w:ind w:right="0"/>
        <w:jc w:val="left"/>
      </w:pPr>
      <w:r>
        <w:rPr/>
        <w:t>其他说明</w:t>
      </w:r>
    </w:p>
    <w:p>
      <w:pPr>
        <w:spacing w:line="240" w:lineRule="auto" w:before="3"/>
        <w:rPr>
          <w:rFonts w:ascii="宋体" w:hAnsi="宋体" w:cs="宋体" w:eastAsia="宋体" w:hint="default"/>
          <w:sz w:val="15"/>
          <w:szCs w:val="15"/>
        </w:rPr>
      </w:pPr>
    </w:p>
    <w:p>
      <w:pPr>
        <w:pStyle w:val="BodyText"/>
        <w:spacing w:line="415" w:lineRule="auto"/>
        <w:ind w:left="513" w:right="0"/>
        <w:jc w:val="left"/>
      </w:pPr>
      <w:r>
        <w:rPr/>
        <w:t>注</w:t>
      </w:r>
      <w:r>
        <w:rPr>
          <w:rFonts w:ascii="Times New Roman" w:hAnsi="Times New Roman" w:cs="Times New Roman" w:eastAsia="Times New Roman" w:hint="default"/>
        </w:rPr>
        <w:t>1</w:t>
      </w:r>
      <w:r>
        <w:rPr/>
        <w:t>：其他货币资金为定期存款，其中</w:t>
      </w:r>
      <w:r>
        <w:rPr>
          <w:rFonts w:ascii="Times New Roman" w:hAnsi="Times New Roman" w:cs="Times New Roman" w:eastAsia="Times New Roman" w:hint="default"/>
        </w:rPr>
        <w:t>3</w:t>
      </w:r>
      <w:r>
        <w:rPr/>
        <w:t>个月定期存款</w:t>
      </w:r>
      <w:r>
        <w:rPr>
          <w:rFonts w:ascii="Times New Roman" w:hAnsi="Times New Roman" w:cs="Times New Roman" w:eastAsia="Times New Roman" w:hint="default"/>
        </w:rPr>
        <w:t>220,764,018.40</w:t>
      </w:r>
      <w:r>
        <w:rPr/>
        <w:t>元，</w:t>
      </w:r>
      <w:r>
        <w:rPr>
          <w:rFonts w:ascii="Times New Roman" w:hAnsi="Times New Roman" w:cs="Times New Roman" w:eastAsia="Times New Roman" w:hint="default"/>
        </w:rPr>
        <w:t>3</w:t>
      </w:r>
      <w:r>
        <w:rPr/>
        <w:t>个月以上定期存款</w:t>
      </w:r>
      <w:r>
        <w:rPr>
          <w:rFonts w:ascii="Times New Roman" w:hAnsi="Times New Roman" w:cs="Times New Roman" w:eastAsia="Times New Roman" w:hint="default"/>
        </w:rPr>
        <w:t>1,734,489,596.22</w:t>
      </w:r>
      <w:r>
        <w:rPr/>
        <w:t>元。 注</w:t>
      </w:r>
      <w:r>
        <w:rPr>
          <w:rFonts w:ascii="Times New Roman" w:hAnsi="Times New Roman" w:cs="Times New Roman" w:eastAsia="Times New Roman" w:hint="default"/>
        </w:rPr>
        <w:t>2</w:t>
      </w:r>
      <w:r>
        <w:rPr/>
        <w:t>：年末使用受限资金为</w:t>
      </w:r>
      <w:r>
        <w:rPr>
          <w:rFonts w:ascii="Times New Roman" w:hAnsi="Times New Roman" w:cs="Times New Roman" w:eastAsia="Times New Roman" w:hint="default"/>
        </w:rPr>
        <w:t>3</w:t>
      </w:r>
      <w:r>
        <w:rPr/>
        <w:t>个月以上定期存款</w:t>
      </w:r>
      <w:r>
        <w:rPr>
          <w:rFonts w:ascii="Times New Roman" w:hAnsi="Times New Roman" w:cs="Times New Roman" w:eastAsia="Times New Roman" w:hint="default"/>
        </w:rPr>
        <w:t>1,734,489,596.22</w:t>
      </w:r>
      <w:r>
        <w:rPr/>
        <w:t>元，应付票据保证金及履约保函保证金</w:t>
      </w:r>
      <w:r>
        <w:rPr>
          <w:rFonts w:ascii="Times New Roman" w:hAnsi="Times New Roman" w:cs="Times New Roman" w:eastAsia="Times New Roman" w:hint="default"/>
        </w:rPr>
        <w:t>18,982,151.36</w:t>
      </w:r>
      <w:r>
        <w:rPr/>
        <w:t>元。</w:t>
      </w:r>
      <w:r>
        <w:rPr>
          <w:spacing w:val="-50"/>
        </w:rPr>
        <w:t> </w:t>
      </w:r>
      <w:r>
        <w:rPr/>
        <w:t>注</w:t>
      </w:r>
      <w:r>
        <w:rPr>
          <w:rFonts w:ascii="Times New Roman" w:hAnsi="Times New Roman" w:cs="Times New Roman" w:eastAsia="Times New Roman" w:hint="default"/>
        </w:rPr>
        <w:t>3</w:t>
      </w:r>
      <w:r>
        <w:rPr/>
        <w:t>：年初使用受限资金为</w:t>
      </w:r>
      <w:r>
        <w:rPr>
          <w:rFonts w:ascii="Times New Roman" w:hAnsi="Times New Roman" w:cs="Times New Roman" w:eastAsia="Times New Roman" w:hint="default"/>
        </w:rPr>
        <w:t>3</w:t>
      </w:r>
      <w:r>
        <w:rPr/>
        <w:t>个月以上定期存款</w:t>
      </w:r>
      <w:r>
        <w:rPr>
          <w:rFonts w:ascii="Times New Roman" w:hAnsi="Times New Roman" w:cs="Times New Roman" w:eastAsia="Times New Roman" w:hint="default"/>
        </w:rPr>
        <w:t>354,810,436.53</w:t>
      </w:r>
      <w:r>
        <w:rPr/>
        <w:t>元及履约保函保证金</w:t>
      </w:r>
      <w:r>
        <w:rPr>
          <w:rFonts w:ascii="Times New Roman" w:hAnsi="Times New Roman" w:cs="Times New Roman" w:eastAsia="Times New Roman" w:hint="default"/>
        </w:rPr>
        <w:t>5,471,381.82</w:t>
      </w:r>
      <w:r>
        <w:rPr/>
        <w:t>元。</w:t>
      </w:r>
    </w:p>
    <w:p>
      <w:pPr>
        <w:spacing w:line="240" w:lineRule="auto" w:before="0"/>
        <w:rPr>
          <w:rFonts w:ascii="宋体" w:hAnsi="宋体" w:cs="宋体" w:eastAsia="宋体" w:hint="default"/>
          <w:sz w:val="15"/>
          <w:szCs w:val="15"/>
        </w:rPr>
      </w:pPr>
    </w:p>
    <w:p>
      <w:pPr>
        <w:pStyle w:val="Heading5"/>
        <w:spacing w:line="240" w:lineRule="auto"/>
        <w:ind w:right="0"/>
        <w:jc w:val="left"/>
        <w:rPr>
          <w:b w:val="0"/>
          <w:bCs w:val="0"/>
        </w:rPr>
      </w:pP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3</w:t>
      </w:r>
      <w:r>
        <w:rPr/>
        <w:t>、衍生金融资产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4</w:t>
      </w:r>
      <w:r>
        <w:rPr/>
        <w:t>、应收票据</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）应收票据分类列示</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211"/>
        <w:jc w:val="right"/>
      </w:pPr>
      <w:r>
        <w:rPr/>
        <w:t>单位：</w:t>
      </w:r>
      <w:r>
        <w:rPr>
          <w:spacing w:val="1"/>
        </w:rPr>
        <w:t> </w:t>
      </w:r>
      <w:r>
        <w:rPr/>
        <w:t>元</w:t>
      </w:r>
    </w:p>
    <w:p>
      <w:pPr>
        <w:spacing w:after="0" w:line="240" w:lineRule="auto"/>
        <w:jc w:val="right"/>
        <w:sectPr>
          <w:pgSz w:w="11910" w:h="16840"/>
          <w:pgMar w:header="745" w:footer="979" w:top="1060" w:bottom="1160" w:left="980" w:right="92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97,199,974.76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53,626,880.85</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4,074,782.76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1,100,000.00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101,274,757.52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54,726,880.85</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）期末公司已质押的应收票据</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t>（</w:t>
      </w: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3,825,375.00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3,825,375.00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5</w:t>
      </w:r>
      <w:r>
        <w:rPr/>
        <w:t>、应收账款</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9"/>
          <w:szCs w:val="29"/>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35"/>
        <w:gridCol w:w="763"/>
        <w:gridCol w:w="761"/>
        <w:gridCol w:w="763"/>
        <w:gridCol w:w="763"/>
        <w:gridCol w:w="788"/>
        <w:gridCol w:w="655"/>
        <w:gridCol w:w="761"/>
        <w:gridCol w:w="814"/>
        <w:gridCol w:w="934"/>
        <w:gridCol w:w="931"/>
      </w:tblGrid>
      <w:tr>
        <w:trPr>
          <w:trHeight w:val="398"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6"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6"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17"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09"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68" w:right="0"/>
              <w:jc w:val="left"/>
              <w:rPr>
                <w:rFonts w:ascii="Times New Roman" w:hAnsi="Times New Roman" w:cs="Times New Roman" w:eastAsia="Times New Roman" w:hint="default"/>
                <w:sz w:val="18"/>
                <w:szCs w:val="18"/>
              </w:rPr>
            </w:pPr>
            <w:r>
              <w:rPr>
                <w:rFonts w:ascii="Times New Roman"/>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678,324,</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342.98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99.78%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51,370,0</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26.56</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7.57%</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626,954,3</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16.42</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445,774</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,939.90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99.81%</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left"/>
              <w:rPr>
                <w:rFonts w:ascii="Times New Roman" w:hAnsi="Times New Roman" w:cs="Times New Roman" w:eastAsia="Times New Roman" w:hint="default"/>
                <w:sz w:val="18"/>
                <w:szCs w:val="18"/>
              </w:rPr>
            </w:pPr>
            <w:r>
              <w:rPr>
                <w:rFonts w:ascii="Times New Roman"/>
                <w:sz w:val="18"/>
              </w:rPr>
              <w:t>34,667,69</w:t>
            </w:r>
          </w:p>
          <w:p>
            <w:pPr>
              <w:pStyle w:val="TableParagraph"/>
              <w:spacing w:line="240" w:lineRule="auto" w:before="105"/>
              <w:ind w:left="468" w:right="0"/>
              <w:jc w:val="left"/>
              <w:rPr>
                <w:rFonts w:ascii="Times New Roman" w:hAnsi="Times New Roman" w:cs="Times New Roman" w:eastAsia="Times New Roman" w:hint="default"/>
                <w:sz w:val="18"/>
                <w:szCs w:val="18"/>
              </w:rPr>
            </w:pPr>
            <w:r>
              <w:rPr>
                <w:rFonts w:ascii="Times New Roman"/>
                <w:sz w:val="18"/>
              </w:rPr>
              <w:t>5.87</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7.78%</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6" w:right="0"/>
              <w:jc w:val="left"/>
              <w:rPr>
                <w:rFonts w:ascii="Times New Roman" w:hAnsi="Times New Roman" w:cs="Times New Roman" w:eastAsia="Times New Roman" w:hint="default"/>
                <w:sz w:val="18"/>
                <w:szCs w:val="18"/>
              </w:rPr>
            </w:pPr>
            <w:r>
              <w:rPr>
                <w:rFonts w:ascii="Times New Roman"/>
                <w:sz w:val="18"/>
              </w:rPr>
              <w:t>411,107,24</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4.03</w:t>
            </w: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1,468,64</w:t>
            </w:r>
          </w:p>
          <w:p>
            <w:pPr>
              <w:pStyle w:val="TableParagraph"/>
              <w:spacing w:line="240" w:lineRule="auto" w:before="102"/>
              <w:ind w:left="417" w:right="0"/>
              <w:jc w:val="left"/>
              <w:rPr>
                <w:rFonts w:ascii="Times New Roman" w:hAnsi="Times New Roman" w:cs="Times New Roman" w:eastAsia="Times New Roman" w:hint="default"/>
                <w:sz w:val="18"/>
                <w:szCs w:val="18"/>
              </w:rPr>
            </w:pPr>
            <w:r>
              <w:rPr>
                <w:rFonts w:ascii="Times New Roman"/>
                <w:sz w:val="18"/>
              </w:rPr>
              <w:t>0.42</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0.22%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1,468,64</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0.42</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826,824</w:t>
            </w:r>
          </w:p>
          <w:p>
            <w:pPr>
              <w:pStyle w:val="TableParagraph"/>
              <w:spacing w:line="240" w:lineRule="auto" w:before="102"/>
              <w:ind w:left="398" w:right="0"/>
              <w:jc w:val="left"/>
              <w:rPr>
                <w:rFonts w:ascii="Times New Roman" w:hAnsi="Times New Roman" w:cs="Times New Roman" w:eastAsia="Times New Roman" w:hint="default"/>
                <w:sz w:val="18"/>
                <w:szCs w:val="18"/>
              </w:rPr>
            </w:pPr>
            <w:r>
              <w:rPr>
                <w:rFonts w:ascii="Times New Roman"/>
                <w:sz w:val="18"/>
              </w:rPr>
              <w:t>.93</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0.19%</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826,824.9</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34"/>
        <w:gridCol w:w="763"/>
        <w:gridCol w:w="761"/>
        <w:gridCol w:w="763"/>
        <w:gridCol w:w="763"/>
        <w:gridCol w:w="788"/>
        <w:gridCol w:w="655"/>
        <w:gridCol w:w="761"/>
        <w:gridCol w:w="814"/>
        <w:gridCol w:w="934"/>
        <w:gridCol w:w="931"/>
      </w:tblGrid>
      <w:tr>
        <w:trPr>
          <w:trHeight w:val="71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center"/>
              <w:rPr>
                <w:rFonts w:ascii="Times New Roman" w:hAnsi="Times New Roman" w:cs="Times New Roman" w:eastAsia="Times New Roman" w:hint="default"/>
                <w:sz w:val="18"/>
                <w:szCs w:val="18"/>
              </w:rPr>
            </w:pPr>
            <w:r>
              <w:rPr>
                <w:rFonts w:ascii="Times New Roman"/>
                <w:sz w:val="18"/>
              </w:rPr>
              <w:t>679,792,</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983.40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52,838,6</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66.98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626,954,3</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16.42</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446,601</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,764.83</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 w:right="0"/>
              <w:jc w:val="left"/>
              <w:rPr>
                <w:rFonts w:ascii="Times New Roman" w:hAnsi="Times New Roman" w:cs="Times New Roman" w:eastAsia="Times New Roman" w:hint="default"/>
                <w:sz w:val="18"/>
                <w:szCs w:val="18"/>
              </w:rPr>
            </w:pPr>
            <w:r>
              <w:rPr>
                <w:rFonts w:ascii="Times New Roman"/>
                <w:sz w:val="18"/>
              </w:rPr>
              <w:t>35,494,52</w:t>
            </w:r>
          </w:p>
          <w:p>
            <w:pPr>
              <w:pStyle w:val="TableParagraph"/>
              <w:spacing w:line="240" w:lineRule="auto" w:before="105"/>
              <w:ind w:left="468" w:right="0"/>
              <w:jc w:val="left"/>
              <w:rPr>
                <w:rFonts w:ascii="Times New Roman" w:hAnsi="Times New Roman" w:cs="Times New Roman" w:eastAsia="Times New Roman" w:hint="default"/>
                <w:sz w:val="18"/>
                <w:szCs w:val="18"/>
              </w:rPr>
            </w:pPr>
            <w:r>
              <w:rPr>
                <w:rFonts w:ascii="Times New Roman"/>
                <w:sz w:val="18"/>
              </w:rPr>
              <w:t>0.80</w:t>
            </w: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6" w:right="0"/>
              <w:jc w:val="left"/>
              <w:rPr>
                <w:rFonts w:ascii="Times New Roman" w:hAnsi="Times New Roman" w:cs="Times New Roman" w:eastAsia="Times New Roman" w:hint="default"/>
                <w:sz w:val="18"/>
                <w:szCs w:val="18"/>
              </w:rPr>
            </w:pPr>
            <w:r>
              <w:rPr>
                <w:rFonts w:ascii="Times New Roman"/>
                <w:sz w:val="18"/>
              </w:rPr>
              <w:t>411,107,24</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4.03</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pStyle w:val="BodyText"/>
        <w:spacing w:line="240" w:lineRule="auto" w:before="49"/>
        <w:ind w:right="-20"/>
        <w:jc w:val="left"/>
      </w:pPr>
      <w:r>
        <w:rPr/>
        <w:t>期末单项金额重大并单项计提坏账准备的应收账款：</w:t>
      </w:r>
    </w:p>
    <w:p>
      <w:pPr>
        <w:pStyle w:val="BodyText"/>
        <w:spacing w:line="340" w:lineRule="auto" w:before="115"/>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组合中，按账龄分析法计提坏账准备的应收账款：</w:t>
      </w:r>
    </w:p>
    <w:p>
      <w:pPr>
        <w:pStyle w:val="BodyText"/>
        <w:spacing w:line="240" w:lineRule="auto" w:before="39"/>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980"/>
          <w:cols w:num="2" w:equalWidth="0">
            <w:col w:w="4293" w:space="4536"/>
            <w:col w:w="112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3"/>
        <w:gridCol w:w="2391"/>
        <w:gridCol w:w="2393"/>
        <w:gridCol w:w="2393"/>
      </w:tblGrid>
      <w:tr>
        <w:trPr>
          <w:trHeight w:val="401" w:hRule="exact"/>
        </w:trPr>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178"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393" w:type="dxa"/>
            <w:vMerge/>
            <w:tcBorders>
              <w:left w:val="single" w:sz="4" w:space="0" w:color="000000"/>
              <w:bottom w:val="single" w:sz="4" w:space="0" w:color="000000"/>
              <w:right w:val="single" w:sz="4" w:space="0" w:color="000000"/>
            </w:tcBorders>
            <w:shd w:val="clear" w:color="auto" w:fill="D2D2D2"/>
          </w:tcPr>
          <w:p>
            <w:pP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1" w:hRule="exact"/>
        </w:trPr>
        <w:tc>
          <w:tcPr>
            <w:tcW w:w="957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355,816,282.52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3,558,162.83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38,295,797.11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3,829,579.71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21,285,571.00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10,642,785.50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1"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33,339,498.52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33,339,498.52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448,737,149.15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51,370,026.56</w:t>
            </w:r>
          </w:p>
        </w:tc>
        <w:tc>
          <w:tcPr>
            <w:tcW w:w="23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49"/>
        <w:ind w:right="5454"/>
        <w:jc w:val="left"/>
      </w:pPr>
      <w:r>
        <w:rPr/>
        <w:t>确定该组合依据的说明： 组合中，采用余额百分比法计提坏账准备的应收账款：</w:t>
      </w:r>
    </w:p>
    <w:p>
      <w:pPr>
        <w:pStyle w:val="BodyText"/>
        <w:spacing w:line="338" w:lineRule="auto" w:before="29"/>
        <w:ind w:right="58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组合中，采用其他方法计提坏账准备的应收账款：</w:t>
      </w:r>
    </w:p>
    <w:p>
      <w:pPr>
        <w:spacing w:line="240" w:lineRule="auto" w:before="10"/>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2412"/>
        <w:gridCol w:w="2365"/>
        <w:gridCol w:w="2364"/>
        <w:gridCol w:w="2499"/>
      </w:tblGrid>
      <w:tr>
        <w:trPr>
          <w:trHeight w:val="343" w:hRule="exact"/>
        </w:trPr>
        <w:tc>
          <w:tcPr>
            <w:tcW w:w="241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7228"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1" w:hRule="exact"/>
        </w:trPr>
        <w:tc>
          <w:tcPr>
            <w:tcW w:w="2412" w:type="dxa"/>
            <w:vMerge/>
            <w:tcBorders>
              <w:left w:val="single" w:sz="4" w:space="0" w:color="000000"/>
              <w:bottom w:val="single" w:sz="4" w:space="0" w:color="000000"/>
              <w:right w:val="single" w:sz="4" w:space="0" w:color="000000"/>
            </w:tcBorders>
            <w:shd w:val="clear" w:color="auto" w:fill="D9D9D9"/>
          </w:tcPr>
          <w:p>
            <w:pPr/>
          </w:p>
        </w:tc>
        <w:tc>
          <w:tcPr>
            <w:tcW w:w="23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3"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4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628"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3" w:hRule="exact"/>
        </w:trPr>
        <w:tc>
          <w:tcPr>
            <w:tcW w:w="2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2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229,587,193.83</w:t>
            </w:r>
          </w:p>
        </w:tc>
        <w:tc>
          <w:tcPr>
            <w:tcW w:w="2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24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1" w:hRule="exact"/>
        </w:trPr>
        <w:tc>
          <w:tcPr>
            <w:tcW w:w="2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229,587,193.83</w:t>
            </w:r>
          </w:p>
        </w:tc>
        <w:tc>
          <w:tcPr>
            <w:tcW w:w="23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249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7"/>
              <w:ind w:right="1"/>
              <w:jc w:val="center"/>
              <w:rPr>
                <w:rFonts w:ascii="Times New Roman" w:hAnsi="Times New Roman" w:cs="Times New Roman" w:eastAsia="Times New Roman" w:hint="default"/>
                <w:sz w:val="22"/>
                <w:szCs w:val="22"/>
              </w:rPr>
            </w:pPr>
            <w:r>
              <w:rPr>
                <w:rFonts w:ascii="Times New Roman" w:hAnsi="Times New Roman" w:cs="Times New Roman" w:eastAsia="Times New Roman" w:hint="default"/>
                <w:w w:val="100"/>
                <w:sz w:val="22"/>
                <w:szCs w:val="22"/>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3386"/>
        <w:jc w:val="left"/>
      </w:pPr>
      <w:r>
        <w:rPr/>
        <w:t>本期计提坏账准备金额</w:t>
      </w:r>
      <w:r>
        <w:rPr>
          <w:spacing w:val="-46"/>
        </w:rPr>
        <w:t> </w:t>
      </w:r>
      <w:r>
        <w:rPr>
          <w:rFonts w:ascii="Times New Roman" w:hAnsi="Times New Roman" w:cs="Times New Roman" w:eastAsia="Times New Roman" w:hint="default"/>
        </w:rPr>
        <w:t>20,482,290.31</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 </w:t>
      </w:r>
      <w:r>
        <w:rPr/>
        <w:t>元。 其中本期坏账准备收回或转回金额重要的：</w:t>
      </w:r>
    </w:p>
    <w:p>
      <w:pPr>
        <w:pStyle w:val="BodyText"/>
        <w:spacing w:line="240" w:lineRule="auto" w:before="39"/>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1"/>
        <w:ind w:right="0"/>
        <w:jc w:val="left"/>
        <w:rPr>
          <w:b w:val="0"/>
          <w:bCs w:val="0"/>
        </w:rPr>
      </w:pP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3,133,864.12</w:t>
            </w:r>
          </w:p>
        </w:tc>
      </w:tr>
    </w:tbl>
    <w:p>
      <w:pPr>
        <w:pStyle w:val="BodyText"/>
        <w:spacing w:line="357" w:lineRule="auto" w:before="49"/>
        <w:ind w:right="7254"/>
        <w:jc w:val="left"/>
      </w:pPr>
      <w:r>
        <w:rPr/>
        <w:t>其中重要的应收账款核销情况： 无</w:t>
      </w:r>
    </w:p>
    <w:p>
      <w:pPr>
        <w:spacing w:after="0" w:line="357" w:lineRule="auto"/>
        <w:jc w:val="left"/>
        <w:sectPr>
          <w:type w:val="continuous"/>
          <w:pgSz w:w="11910" w:h="16840"/>
          <w:pgMar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
        <w:rPr>
          <w:rFonts w:ascii="宋体" w:hAnsi="宋体" w:cs="宋体" w:eastAsia="宋体" w:hint="default"/>
          <w:b/>
          <w:bCs/>
          <w:sz w:val="26"/>
          <w:szCs w:val="26"/>
        </w:rPr>
      </w:pPr>
    </w:p>
    <w:tbl>
      <w:tblPr>
        <w:tblW w:w="0" w:type="auto"/>
        <w:jc w:val="left"/>
        <w:tblInd w:w="145" w:type="dxa"/>
        <w:tblLayout w:type="fixed"/>
        <w:tblCellMar>
          <w:top w:w="0" w:type="dxa"/>
          <w:left w:w="0" w:type="dxa"/>
          <w:bottom w:w="0" w:type="dxa"/>
          <w:right w:w="0" w:type="dxa"/>
        </w:tblCellMar>
        <w:tblLook w:val="01E0"/>
      </w:tblPr>
      <w:tblGrid>
        <w:gridCol w:w="2518"/>
        <w:gridCol w:w="1844"/>
        <w:gridCol w:w="1558"/>
        <w:gridCol w:w="1562"/>
        <w:gridCol w:w="1700"/>
      </w:tblGrid>
      <w:tr>
        <w:trPr>
          <w:trHeight w:val="653" w:hRule="exact"/>
        </w:trPr>
        <w:tc>
          <w:tcPr>
            <w:tcW w:w="251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9" w:lineRule="exact"/>
              <w:ind w:right="1"/>
              <w:jc w:val="center"/>
              <w:rPr>
                <w:rFonts w:ascii="宋体" w:hAnsi="宋体" w:cs="宋体" w:eastAsia="宋体" w:hint="default"/>
                <w:sz w:val="20"/>
                <w:szCs w:val="20"/>
              </w:rPr>
            </w:pPr>
            <w:r>
              <w:rPr>
                <w:rFonts w:ascii="宋体" w:hAnsi="宋体" w:cs="宋体" w:eastAsia="宋体" w:hint="default"/>
                <w:sz w:val="20"/>
                <w:szCs w:val="20"/>
              </w:rPr>
              <w:t>单位名称</w:t>
            </w:r>
          </w:p>
        </w:tc>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9" w:lineRule="exact"/>
              <w:ind w:left="514"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9" w:lineRule="exact"/>
              <w:ind w:right="0"/>
              <w:jc w:val="center"/>
              <w:rPr>
                <w:rFonts w:ascii="宋体" w:hAnsi="宋体" w:cs="宋体" w:eastAsia="宋体" w:hint="default"/>
                <w:sz w:val="20"/>
                <w:szCs w:val="20"/>
              </w:rPr>
            </w:pPr>
            <w:r>
              <w:rPr>
                <w:rFonts w:ascii="宋体" w:hAnsi="宋体" w:cs="宋体" w:eastAsia="宋体" w:hint="default"/>
                <w:sz w:val="20"/>
                <w:szCs w:val="20"/>
              </w:rPr>
              <w:t>账龄</w:t>
            </w:r>
          </w:p>
        </w:tc>
        <w:tc>
          <w:tcPr>
            <w:tcW w:w="15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85" w:lineRule="auto"/>
              <w:ind w:left="323" w:right="75" w:hanging="250"/>
              <w:jc w:val="left"/>
              <w:rPr>
                <w:rFonts w:ascii="Times New Roman" w:hAnsi="Times New Roman" w:cs="Times New Roman" w:eastAsia="Times New Roman" w:hint="default"/>
                <w:sz w:val="20"/>
                <w:szCs w:val="20"/>
              </w:rPr>
            </w:pPr>
            <w:r>
              <w:rPr>
                <w:rFonts w:ascii="宋体" w:hAnsi="宋体" w:cs="宋体" w:eastAsia="宋体" w:hint="default"/>
                <w:sz w:val="20"/>
                <w:szCs w:val="20"/>
              </w:rPr>
              <w:t>占应收账款总额</w:t>
            </w:r>
            <w:r>
              <w:rPr>
                <w:rFonts w:ascii="宋体" w:hAnsi="宋体" w:cs="宋体" w:eastAsia="宋体" w:hint="default"/>
                <w:w w:val="99"/>
                <w:sz w:val="20"/>
                <w:szCs w:val="20"/>
              </w:rPr>
              <w:t> </w:t>
            </w:r>
            <w:r>
              <w:rPr>
                <w:rFonts w:ascii="宋体" w:hAnsi="宋体" w:cs="宋体" w:eastAsia="宋体" w:hint="default"/>
                <w:sz w:val="20"/>
                <w:szCs w:val="20"/>
              </w:rPr>
              <w:t>的比例</w:t>
            </w:r>
            <w:r>
              <w:rPr>
                <w:rFonts w:ascii="Times New Roman" w:hAnsi="Times New Roman" w:cs="Times New Roman" w:eastAsia="Times New Roman" w:hint="default"/>
                <w:sz w:val="20"/>
                <w:szCs w:val="20"/>
              </w:rPr>
              <w:t>(%)</w:t>
            </w:r>
          </w:p>
        </w:tc>
        <w:tc>
          <w:tcPr>
            <w:tcW w:w="170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85" w:lineRule="auto"/>
              <w:ind w:left="441" w:right="446"/>
              <w:jc w:val="left"/>
              <w:rPr>
                <w:rFonts w:ascii="宋体" w:hAnsi="宋体" w:cs="宋体" w:eastAsia="宋体" w:hint="default"/>
                <w:sz w:val="20"/>
                <w:szCs w:val="20"/>
              </w:rPr>
            </w:pPr>
            <w:r>
              <w:rPr>
                <w:rFonts w:ascii="宋体" w:hAnsi="宋体" w:cs="宋体" w:eastAsia="宋体" w:hint="default"/>
                <w:sz w:val="20"/>
                <w:szCs w:val="20"/>
              </w:rPr>
              <w:t>坏账准备</w:t>
            </w:r>
            <w:r>
              <w:rPr>
                <w:rFonts w:ascii="宋体" w:hAnsi="宋体" w:cs="宋体" w:eastAsia="宋体" w:hint="default"/>
                <w:w w:val="99"/>
                <w:sz w:val="20"/>
                <w:szCs w:val="20"/>
              </w:rPr>
              <w:t> </w:t>
            </w:r>
            <w:r>
              <w:rPr>
                <w:rFonts w:ascii="宋体" w:hAnsi="宋体" w:cs="宋体" w:eastAsia="宋体" w:hint="default"/>
                <w:sz w:val="20"/>
                <w:szCs w:val="20"/>
              </w:rPr>
              <w:t>年末余额</w:t>
            </w:r>
          </w:p>
        </w:tc>
      </w:tr>
      <w:tr>
        <w:trPr>
          <w:trHeight w:val="348" w:hRule="exact"/>
        </w:trPr>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1</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63,599,999.99</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9.36</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r>
      <w:tr>
        <w:trPr>
          <w:trHeight w:val="346" w:hRule="exact"/>
        </w:trPr>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2</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60,596,264.63</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8.92</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w w:val="95"/>
                <w:sz w:val="20"/>
              </w:rPr>
              <w:t>605,962.65</w:t>
            </w:r>
            <w:r>
              <w:rPr>
                <w:rFonts w:ascii="Times New Roman"/>
                <w:sz w:val="20"/>
              </w:rPr>
            </w:r>
          </w:p>
        </w:tc>
      </w:tr>
      <w:tr>
        <w:trPr>
          <w:trHeight w:val="348" w:hRule="exact"/>
        </w:trPr>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3</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47,800,565.08</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7.03</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r>
      <w:tr>
        <w:trPr>
          <w:trHeight w:val="346" w:hRule="exact"/>
        </w:trPr>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4</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45,347,813.27</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6.67</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9"/>
                <w:sz w:val="20"/>
              </w:rPr>
              <w:t>-</w:t>
            </w:r>
            <w:r>
              <w:rPr>
                <w:rFonts w:ascii="Times New Roman"/>
                <w:sz w:val="20"/>
              </w:rPr>
            </w:r>
          </w:p>
        </w:tc>
      </w:tr>
      <w:tr>
        <w:trPr>
          <w:trHeight w:val="348" w:hRule="exact"/>
        </w:trPr>
        <w:tc>
          <w:tcPr>
            <w:tcW w:w="25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客户</w:t>
            </w:r>
            <w:r>
              <w:rPr>
                <w:rFonts w:ascii="Times New Roman" w:hAnsi="Times New Roman" w:cs="Times New Roman" w:eastAsia="Times New Roman" w:hint="default"/>
                <w:sz w:val="20"/>
                <w:szCs w:val="20"/>
              </w:rPr>
              <w:t>5</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34,015,302.17</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3"/>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5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5.00</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w w:val="95"/>
                <w:sz w:val="20"/>
              </w:rPr>
              <w:t>340,153.02</w:t>
            </w:r>
            <w:r>
              <w:rPr>
                <w:rFonts w:ascii="Times New Roman"/>
                <w:sz w:val="20"/>
              </w:rPr>
            </w:r>
          </w:p>
        </w:tc>
      </w:tr>
      <w:tr>
        <w:trPr>
          <w:trHeight w:val="348" w:hRule="exact"/>
        </w:trPr>
        <w:tc>
          <w:tcPr>
            <w:tcW w:w="251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251,359,945.14</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w w:val="99"/>
                <w:sz w:val="20"/>
                <w:szCs w:val="20"/>
              </w:rPr>
              <w:t>—</w:t>
            </w:r>
            <w:r>
              <w:rPr>
                <w:rFonts w:ascii="Times New Roman" w:hAnsi="Times New Roman" w:cs="Times New Roman" w:eastAsia="Times New Roman" w:hint="default"/>
                <w:sz w:val="20"/>
                <w:szCs w:val="20"/>
              </w:rPr>
            </w:r>
          </w:p>
        </w:tc>
        <w:tc>
          <w:tcPr>
            <w:tcW w:w="15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sz w:val="20"/>
              </w:rPr>
              <w:t>36.98</w:t>
            </w:r>
          </w:p>
        </w:tc>
        <w:tc>
          <w:tcPr>
            <w:tcW w:w="170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w w:val="95"/>
                <w:sz w:val="20"/>
              </w:rPr>
              <w:t>946,115.67</w:t>
            </w:r>
            <w:r>
              <w:rPr>
                <w:rFonts w:ascii="Times New Roman"/>
                <w:sz w:val="20"/>
              </w:rPr>
            </w:r>
          </w:p>
        </w:tc>
      </w:tr>
    </w:tbl>
    <w:p>
      <w:pPr>
        <w:spacing w:line="240" w:lineRule="auto" w:before="3"/>
        <w:rPr>
          <w:rFonts w:ascii="宋体" w:hAnsi="宋体" w:cs="宋体" w:eastAsia="宋体" w:hint="default"/>
          <w:b/>
          <w:bCs/>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6</w:t>
      </w:r>
      <w:r>
        <w:rPr/>
        <w:t>、预付款项</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）预付款项按账龄列示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3"/>
        <w:gridCol w:w="1915"/>
        <w:gridCol w:w="1916"/>
      </w:tblGrid>
      <w:tr>
        <w:trPr>
          <w:trHeight w:val="401"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33,471,009.86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93.90%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26,983,655.96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94.34%</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2,012,827.40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1,503,267.79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5.25%</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144,785.70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113,275.00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0.40%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18,215.00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3,075.00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0.01%</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35,646,837.96</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28,603,273.75</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40" w:lineRule="auto" w:before="49"/>
        <w:ind w:right="4916"/>
        <w:jc w:val="left"/>
      </w:pPr>
      <w:r>
        <w:rPr/>
        <w:t>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 合同期内，未结算</w:t>
      </w:r>
    </w:p>
    <w:p>
      <w:pPr>
        <w:spacing w:line="240" w:lineRule="auto" w:before="5"/>
        <w:rPr>
          <w:rFonts w:ascii="宋体" w:hAnsi="宋体" w:cs="宋体" w:eastAsia="宋体" w:hint="default"/>
          <w:sz w:val="21"/>
          <w:szCs w:val="21"/>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13"/>
        <w:rPr>
          <w:rFonts w:ascii="宋体" w:hAnsi="宋体" w:cs="宋体" w:eastAsia="宋体" w:hint="default"/>
          <w:b/>
          <w:bCs/>
          <w:sz w:val="25"/>
          <w:szCs w:val="25"/>
        </w:rPr>
      </w:pPr>
    </w:p>
    <w:tbl>
      <w:tblPr>
        <w:tblW w:w="0" w:type="auto"/>
        <w:jc w:val="left"/>
        <w:tblInd w:w="145" w:type="dxa"/>
        <w:tblLayout w:type="fixed"/>
        <w:tblCellMar>
          <w:top w:w="0" w:type="dxa"/>
          <w:left w:w="0" w:type="dxa"/>
          <w:bottom w:w="0" w:type="dxa"/>
          <w:right w:w="0" w:type="dxa"/>
        </w:tblCellMar>
        <w:tblLook w:val="01E0"/>
      </w:tblPr>
      <w:tblGrid>
        <w:gridCol w:w="3404"/>
        <w:gridCol w:w="1985"/>
        <w:gridCol w:w="1844"/>
        <w:gridCol w:w="2125"/>
      </w:tblGrid>
      <w:tr>
        <w:trPr>
          <w:trHeight w:val="654" w:hRule="exact"/>
        </w:trPr>
        <w:tc>
          <w:tcPr>
            <w:tcW w:w="340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60" w:lineRule="exact"/>
              <w:ind w:right="0"/>
              <w:jc w:val="center"/>
              <w:rPr>
                <w:rFonts w:ascii="宋体" w:hAnsi="宋体" w:cs="宋体" w:eastAsia="宋体" w:hint="default"/>
                <w:sz w:val="20"/>
                <w:szCs w:val="20"/>
              </w:rPr>
            </w:pPr>
            <w:r>
              <w:rPr>
                <w:rFonts w:ascii="宋体" w:hAnsi="宋体" w:cs="宋体" w:eastAsia="宋体" w:hint="default"/>
                <w:sz w:val="20"/>
                <w:szCs w:val="20"/>
              </w:rPr>
              <w:t>单位名称</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60" w:lineRule="exact"/>
              <w:ind w:left="585" w:right="0"/>
              <w:jc w:val="left"/>
              <w:rPr>
                <w:rFonts w:ascii="宋体" w:hAnsi="宋体" w:cs="宋体" w:eastAsia="宋体" w:hint="default"/>
                <w:sz w:val="20"/>
                <w:szCs w:val="20"/>
              </w:rPr>
            </w:pPr>
            <w:r>
              <w:rPr>
                <w:rFonts w:ascii="宋体" w:hAnsi="宋体" w:cs="宋体" w:eastAsia="宋体" w:hint="default"/>
                <w:sz w:val="20"/>
                <w:szCs w:val="20"/>
              </w:rPr>
              <w:t>年末余额</w:t>
            </w:r>
          </w:p>
        </w:tc>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60" w:lineRule="exact"/>
              <w:ind w:right="2"/>
              <w:jc w:val="center"/>
              <w:rPr>
                <w:rFonts w:ascii="宋体" w:hAnsi="宋体" w:cs="宋体" w:eastAsia="宋体" w:hint="default"/>
                <w:sz w:val="20"/>
                <w:szCs w:val="20"/>
              </w:rPr>
            </w:pPr>
            <w:r>
              <w:rPr>
                <w:rFonts w:ascii="宋体" w:hAnsi="宋体" w:cs="宋体" w:eastAsia="宋体" w:hint="default"/>
                <w:sz w:val="20"/>
                <w:szCs w:val="20"/>
              </w:rPr>
              <w:t>账龄</w:t>
            </w:r>
          </w:p>
        </w:tc>
        <w:tc>
          <w:tcPr>
            <w:tcW w:w="21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85" w:lineRule="auto"/>
              <w:ind w:left="271" w:right="56" w:hanging="216"/>
              <w:jc w:val="left"/>
              <w:rPr>
                <w:rFonts w:ascii="宋体" w:hAnsi="宋体" w:cs="宋体" w:eastAsia="宋体" w:hint="default"/>
                <w:sz w:val="20"/>
                <w:szCs w:val="20"/>
              </w:rPr>
            </w:pPr>
            <w:r>
              <w:rPr>
                <w:rFonts w:ascii="宋体" w:hAnsi="宋体" w:cs="宋体" w:eastAsia="宋体" w:hint="default"/>
                <w:sz w:val="20"/>
                <w:szCs w:val="20"/>
              </w:rPr>
              <w:t>占预付款项年末余额合</w:t>
            </w:r>
            <w:r>
              <w:rPr>
                <w:rFonts w:ascii="宋体" w:hAnsi="宋体" w:cs="宋体" w:eastAsia="宋体" w:hint="default"/>
                <w:w w:val="99"/>
                <w:sz w:val="20"/>
                <w:szCs w:val="20"/>
              </w:rPr>
              <w:t> </w:t>
            </w:r>
            <w:r>
              <w:rPr>
                <w:rFonts w:ascii="宋体" w:hAnsi="宋体" w:cs="宋体" w:eastAsia="宋体" w:hint="default"/>
                <w:sz w:val="20"/>
                <w:szCs w:val="20"/>
              </w:rPr>
              <w:t>计数的比例（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p>
        </w:tc>
      </w:tr>
      <w:tr>
        <w:trPr>
          <w:trHeight w:val="346" w:hRule="exact"/>
        </w:trPr>
        <w:tc>
          <w:tcPr>
            <w:tcW w:w="3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left="4" w:right="0"/>
              <w:jc w:val="left"/>
              <w:rPr>
                <w:rFonts w:ascii="Times New Roman" w:hAnsi="Times New Roman" w:cs="Times New Roman" w:eastAsia="Times New Roman" w:hint="default"/>
                <w:sz w:val="20"/>
                <w:szCs w:val="20"/>
              </w:rPr>
            </w:pPr>
            <w:r>
              <w:rPr>
                <w:rFonts w:ascii="Times New Roman"/>
                <w:sz w:val="20"/>
              </w:rPr>
              <w:t>RealNetworks,Inc</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5,880,780.00</w:t>
            </w:r>
            <w:r>
              <w:rPr>
                <w:rFonts w:ascii="Times New Roman"/>
                <w:sz w:val="20"/>
              </w:rPr>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1"/>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16.50</w:t>
            </w:r>
          </w:p>
        </w:tc>
      </w:tr>
      <w:tr>
        <w:trPr>
          <w:trHeight w:val="348" w:hRule="exact"/>
        </w:trPr>
        <w:tc>
          <w:tcPr>
            <w:tcW w:w="3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left="4" w:right="0"/>
              <w:jc w:val="left"/>
              <w:rPr>
                <w:rFonts w:ascii="Times New Roman" w:hAnsi="Times New Roman" w:cs="Times New Roman" w:eastAsia="Times New Roman" w:hint="default"/>
                <w:sz w:val="20"/>
                <w:szCs w:val="20"/>
              </w:rPr>
            </w:pPr>
            <w:r>
              <w:rPr>
                <w:rFonts w:ascii="Times New Roman"/>
                <w:sz w:val="20"/>
              </w:rPr>
              <w:t>CadenceDesignSystems(Ireland)Limite</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5,358,044.00</w:t>
            </w:r>
            <w:r>
              <w:rPr>
                <w:rFonts w:ascii="Times New Roman"/>
                <w:sz w:val="20"/>
              </w:rPr>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15.03</w:t>
            </w:r>
          </w:p>
        </w:tc>
      </w:tr>
      <w:tr>
        <w:trPr>
          <w:trHeight w:val="348" w:hRule="exact"/>
        </w:trPr>
        <w:tc>
          <w:tcPr>
            <w:tcW w:w="3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深圳市进业智车电子有限公司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2,343,852.00</w:t>
            </w:r>
            <w:r>
              <w:rPr>
                <w:rFonts w:ascii="Times New Roman"/>
                <w:sz w:val="20"/>
              </w:rPr>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1"/>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6.58</w:t>
            </w:r>
          </w:p>
        </w:tc>
      </w:tr>
    </w:tbl>
    <w:p>
      <w:pPr>
        <w:spacing w:after="0" w:line="240" w:lineRule="auto"/>
        <w:jc w:val="right"/>
        <w:rPr>
          <w:rFonts w:ascii="Times New Roman" w:hAnsi="Times New Roman" w:cs="Times New Roman" w:eastAsia="Times New Roman" w:hint="default"/>
          <w:sz w:val="20"/>
          <w:szCs w:val="20"/>
        </w:rPr>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5" w:type="dxa"/>
        <w:tblLayout w:type="fixed"/>
        <w:tblCellMar>
          <w:top w:w="0" w:type="dxa"/>
          <w:left w:w="0" w:type="dxa"/>
          <w:bottom w:w="0" w:type="dxa"/>
          <w:right w:w="0" w:type="dxa"/>
        </w:tblCellMar>
        <w:tblLook w:val="01E0"/>
      </w:tblPr>
      <w:tblGrid>
        <w:gridCol w:w="3404"/>
        <w:gridCol w:w="1985"/>
        <w:gridCol w:w="1844"/>
        <w:gridCol w:w="2125"/>
      </w:tblGrid>
      <w:tr>
        <w:trPr>
          <w:trHeight w:val="348" w:hRule="exact"/>
        </w:trPr>
        <w:tc>
          <w:tcPr>
            <w:tcW w:w="3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西安旗远实业有限公司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2,066,090.58</w:t>
            </w:r>
            <w:r>
              <w:rPr>
                <w:rFonts w:ascii="Times New Roman"/>
                <w:sz w:val="20"/>
              </w:rPr>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1"/>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5.80</w:t>
            </w:r>
          </w:p>
        </w:tc>
      </w:tr>
      <w:tr>
        <w:trPr>
          <w:trHeight w:val="346" w:hRule="exact"/>
        </w:trPr>
        <w:tc>
          <w:tcPr>
            <w:tcW w:w="3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上海华岭集成电路技术股份有限公司</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1,702,660.50</w:t>
            </w:r>
            <w:r>
              <w:rPr>
                <w:rFonts w:ascii="Times New Roman"/>
                <w:sz w:val="20"/>
              </w:rPr>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1"/>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2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4.78</w:t>
            </w:r>
          </w:p>
        </w:tc>
      </w:tr>
      <w:tr>
        <w:trPr>
          <w:trHeight w:val="348" w:hRule="exact"/>
        </w:trPr>
        <w:tc>
          <w:tcPr>
            <w:tcW w:w="340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8" w:lineRule="exact"/>
              <w:ind w:left="4" w:right="0"/>
              <w:jc w:val="left"/>
              <w:rPr>
                <w:rFonts w:ascii="宋体" w:hAnsi="宋体" w:cs="宋体" w:eastAsia="宋体" w:hint="default"/>
                <w:sz w:val="22"/>
                <w:szCs w:val="22"/>
              </w:rPr>
            </w:pPr>
            <w:r>
              <w:rPr>
                <w:rFonts w:ascii="宋体" w:hAnsi="宋体" w:cs="宋体" w:eastAsia="宋体" w:hint="default"/>
                <w:b/>
                <w:bCs/>
                <w:sz w:val="22"/>
                <w:szCs w:val="22"/>
              </w:rPr>
              <w:t>合计</w:t>
            </w:r>
            <w:r>
              <w:rPr>
                <w:rFonts w:ascii="宋体" w:hAnsi="宋体" w:cs="宋体" w:eastAsia="宋体" w:hint="default"/>
                <w:sz w:val="22"/>
                <w:szCs w:val="22"/>
              </w:rPr>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3"/>
              <w:ind w:right="1"/>
              <w:jc w:val="right"/>
              <w:rPr>
                <w:rFonts w:ascii="Times New Roman" w:hAnsi="Times New Roman" w:cs="Times New Roman" w:eastAsia="Times New Roman" w:hint="default"/>
                <w:sz w:val="20"/>
                <w:szCs w:val="20"/>
              </w:rPr>
            </w:pPr>
            <w:r>
              <w:rPr>
                <w:rFonts w:ascii="Times New Roman"/>
                <w:b/>
                <w:w w:val="95"/>
                <w:sz w:val="20"/>
              </w:rPr>
              <w:t>17,351,427.08</w:t>
            </w:r>
            <w:r>
              <w:rPr>
                <w:rFonts w:ascii="Times New Roman"/>
                <w:sz w:val="20"/>
              </w:rPr>
            </w:r>
          </w:p>
        </w:tc>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4"/>
              <w:ind w:right="0"/>
              <w:jc w:val="center"/>
              <w:rPr>
                <w:rFonts w:ascii="Times New Roman" w:hAnsi="Times New Roman" w:cs="Times New Roman" w:eastAsia="Times New Roman" w:hint="default"/>
                <w:sz w:val="22"/>
                <w:szCs w:val="22"/>
              </w:rPr>
            </w:pPr>
            <w:r>
              <w:rPr>
                <w:rFonts w:ascii="Times New Roman" w:hAnsi="Times New Roman" w:cs="Times New Roman" w:eastAsia="Times New Roman" w:hint="default"/>
                <w:b/>
                <w:bCs/>
                <w:w w:val="100"/>
                <w:sz w:val="22"/>
                <w:szCs w:val="22"/>
              </w:rPr>
              <w:t>—</w:t>
            </w:r>
            <w:r>
              <w:rPr>
                <w:rFonts w:ascii="Times New Roman" w:hAnsi="Times New Roman" w:cs="Times New Roman" w:eastAsia="Times New Roman" w:hint="default"/>
                <w:w w:val="100"/>
                <w:sz w:val="22"/>
                <w:szCs w:val="22"/>
              </w:rPr>
            </w:r>
          </w:p>
        </w:tc>
        <w:tc>
          <w:tcPr>
            <w:tcW w:w="21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3"/>
              <w:ind w:right="-1"/>
              <w:jc w:val="right"/>
              <w:rPr>
                <w:rFonts w:ascii="Times New Roman" w:hAnsi="Times New Roman" w:cs="Times New Roman" w:eastAsia="Times New Roman" w:hint="default"/>
                <w:sz w:val="20"/>
                <w:szCs w:val="20"/>
              </w:rPr>
            </w:pPr>
            <w:r>
              <w:rPr>
                <w:rFonts w:ascii="Times New Roman"/>
                <w:b/>
                <w:sz w:val="20"/>
              </w:rPr>
              <w:t>48.69</w:t>
            </w:r>
            <w:r>
              <w:rPr>
                <w:rFonts w:ascii="Times New Roman"/>
                <w:sz w:val="20"/>
              </w:rPr>
            </w:r>
          </w:p>
        </w:tc>
      </w:tr>
    </w:tbl>
    <w:p>
      <w:pPr>
        <w:spacing w:line="240" w:lineRule="auto" w:before="3"/>
        <w:rPr>
          <w:rFonts w:ascii="宋体" w:hAnsi="宋体" w:cs="宋体" w:eastAsia="宋体" w:hint="default"/>
          <w:b/>
          <w:bCs/>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w:t>
      </w:r>
      <w:r>
        <w:rPr/>
        <w:t>、应收利息</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）应收利息分类</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35,500,706.76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7,340,196.63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委托贷款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债券投资</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35,500,706.76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7,340,196.63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）重要逾期利息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8</w:t>
      </w:r>
      <w:r>
        <w:rPr/>
        <w:t>、应收股利</w:t>
      </w:r>
      <w:r>
        <w:rPr>
          <w:b w:val="0"/>
          <w:bCs w:val="0"/>
        </w:rPr>
      </w:r>
    </w:p>
    <w:p>
      <w:pPr>
        <w:spacing w:line="240" w:lineRule="auto" w:before="8"/>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）应收股利</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0"/>
      </w:tblGrid>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1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23,924,933.06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23,924,933.06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11"/>
        <w:rPr>
          <w:rFonts w:ascii="宋体" w:hAnsi="宋体" w:cs="宋体" w:eastAsia="宋体" w:hint="default"/>
          <w:sz w:val="14"/>
          <w:szCs w:val="14"/>
        </w:rPr>
      </w:pPr>
    </w:p>
    <w:p>
      <w:pPr>
        <w:pStyle w:val="Heading7"/>
        <w:spacing w:line="240" w:lineRule="auto" w:before="37"/>
        <w:ind w:right="0"/>
        <w:jc w:val="left"/>
      </w:pPr>
      <w:r>
        <w:rPr/>
        <w:t>注：上海安悦四维信息技术有限公司已于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月更名为上海安吉四维信息技术有限公司。</w:t>
      </w:r>
    </w:p>
    <w:p>
      <w:pPr>
        <w:spacing w:line="240" w:lineRule="auto" w:before="4"/>
        <w:rPr>
          <w:rFonts w:ascii="宋体" w:hAnsi="宋体" w:cs="宋体" w:eastAsia="宋体" w:hint="default"/>
          <w:sz w:val="25"/>
          <w:szCs w:val="25"/>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）重要的账龄超过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年的应收股利</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9</w:t>
      </w:r>
      <w:r>
        <w:rPr/>
        <w:t>、其他应收款</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）其他应收款分类披露</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4"/>
        <w:gridCol w:w="1525"/>
        <w:gridCol w:w="1526"/>
        <w:gridCol w:w="788"/>
        <w:gridCol w:w="1416"/>
        <w:gridCol w:w="1748"/>
        <w:gridCol w:w="931"/>
      </w:tblGrid>
      <w:tr>
        <w:trPr>
          <w:trHeight w:val="401"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1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635"/>
        <w:gridCol w:w="763"/>
        <w:gridCol w:w="761"/>
        <w:gridCol w:w="763"/>
        <w:gridCol w:w="763"/>
        <w:gridCol w:w="788"/>
        <w:gridCol w:w="655"/>
        <w:gridCol w:w="761"/>
        <w:gridCol w:w="814"/>
        <w:gridCol w:w="934"/>
        <w:gridCol w:w="931"/>
      </w:tblGrid>
      <w:tr>
        <w:trPr>
          <w:trHeight w:val="713"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2"/>
              <w:ind w:left="417"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8.74%</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3,000,0</w:t>
            </w:r>
          </w:p>
          <w:p>
            <w:pPr>
              <w:pStyle w:val="TableParagraph"/>
              <w:spacing w:line="240" w:lineRule="auto" w:before="102"/>
              <w:ind w:left="197" w:right="0"/>
              <w:jc w:val="center"/>
              <w:rPr>
                <w:rFonts w:ascii="Times New Roman" w:hAnsi="Times New Roman" w:cs="Times New Roman" w:eastAsia="Times New Roman" w:hint="default"/>
                <w:sz w:val="18"/>
                <w:szCs w:val="18"/>
              </w:rPr>
            </w:pPr>
            <w:r>
              <w:rPr>
                <w:rFonts w:ascii="Times New Roman"/>
                <w:sz w:val="18"/>
              </w:rPr>
              <w:t>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6.43%</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30,990,9</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74.88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90.21%</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741,358.</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2.39%</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30,249,61</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6.83</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41,308,</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645.87</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88.50%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530,171.3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1.28%</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40,778,474.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w:t>
            </w:r>
          </w:p>
        </w:tc>
      </w:tr>
      <w:tr>
        <w:trPr>
          <w:trHeight w:val="1028"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159"/>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361,500.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1.05%</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361,500.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2,367,2</w:t>
            </w:r>
          </w:p>
          <w:p>
            <w:pPr>
              <w:pStyle w:val="TableParagraph"/>
              <w:spacing w:line="240" w:lineRule="auto" w:before="102"/>
              <w:ind w:left="197" w:right="0"/>
              <w:jc w:val="center"/>
              <w:rPr>
                <w:rFonts w:ascii="Times New Roman" w:hAnsi="Times New Roman" w:cs="Times New Roman" w:eastAsia="Times New Roman" w:hint="default"/>
                <w:sz w:val="18"/>
                <w:szCs w:val="18"/>
              </w:rPr>
            </w:pPr>
            <w:r>
              <w:rPr>
                <w:rFonts w:ascii="Times New Roman"/>
                <w:sz w:val="18"/>
              </w:rPr>
              <w:t>12.90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5.07%</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2,367,212</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.90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34,352,4</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74.88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4,102,85</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8.05</w:t>
            </w:r>
          </w:p>
        </w:tc>
        <w:tc>
          <w:tcPr>
            <w:tcW w:w="76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30,249,61</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6.83</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3" w:right="0"/>
              <w:jc w:val="left"/>
              <w:rPr>
                <w:rFonts w:ascii="Times New Roman" w:hAnsi="Times New Roman" w:cs="Times New Roman" w:eastAsia="Times New Roman" w:hint="default"/>
                <w:sz w:val="18"/>
                <w:szCs w:val="18"/>
              </w:rPr>
            </w:pPr>
            <w:r>
              <w:rPr>
                <w:rFonts w:ascii="Times New Roman"/>
                <w:sz w:val="18"/>
              </w:rPr>
              <w:t>46,675,</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858.77</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5,897,384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.24</w:t>
            </w: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40,778,474.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pStyle w:val="BodyText"/>
        <w:spacing w:line="240" w:lineRule="auto" w:before="49"/>
        <w:ind w:right="-20"/>
        <w:jc w:val="left"/>
      </w:pPr>
      <w:r>
        <w:rPr/>
        <w:t>期末单项金额重大并单项计提坏账准备的其他应收款：</w:t>
      </w:r>
    </w:p>
    <w:p>
      <w:pPr>
        <w:pStyle w:val="BodyText"/>
        <w:spacing w:line="240" w:lineRule="auto" w:before="115"/>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980"/>
          <w:cols w:num="2" w:equalWidth="0">
            <w:col w:w="4473" w:space="4356"/>
            <w:col w:w="1121"/>
          </w:cols>
        </w:sectPr>
      </w:pP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3"/>
        <w:gridCol w:w="1915"/>
        <w:gridCol w:w="1916"/>
      </w:tblGrid>
      <w:tr>
        <w:trPr>
          <w:trHeight w:val="403"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766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5"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北京老虎宝典科技有限 责任公司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35" w:right="0"/>
              <w:jc w:val="left"/>
              <w:rPr>
                <w:rFonts w:ascii="Times New Roman" w:hAnsi="Times New Roman" w:cs="Times New Roman" w:eastAsia="Times New Roman" w:hint="default"/>
                <w:sz w:val="18"/>
                <w:szCs w:val="18"/>
              </w:rPr>
            </w:pPr>
            <w:r>
              <w:rPr>
                <w:rFonts w:ascii="Times New Roman"/>
                <w:sz w:val="18"/>
              </w:rPr>
              <w:t>100.00%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1160" w:left="980" w:right="980"/>
        </w:sectPr>
      </w:pPr>
    </w:p>
    <w:p>
      <w:pPr>
        <w:pStyle w:val="BodyText"/>
        <w:spacing w:line="240" w:lineRule="auto" w:before="49"/>
        <w:ind w:right="-20"/>
        <w:jc w:val="left"/>
      </w:pPr>
      <w:r>
        <w:rPr/>
        <w:t>组合中，按账龄分析法计提坏账准备的其他应收款：</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980"/>
          <w:cols w:num="2" w:equalWidth="0">
            <w:col w:w="4293" w:space="4536"/>
            <w:col w:w="1121"/>
          </w:cols>
        </w:sectPr>
      </w:pP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1"/>
        <w:gridCol w:w="2393"/>
        <w:gridCol w:w="2393"/>
        <w:gridCol w:w="2393"/>
      </w:tblGrid>
      <w:tr>
        <w:trPr>
          <w:trHeight w:val="403" w:hRule="exact"/>
        </w:trPr>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8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1"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3" w:hRule="exact"/>
        </w:trPr>
        <w:tc>
          <w:tcPr>
            <w:tcW w:w="957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w w:val="95"/>
                <w:sz w:val="18"/>
              </w:rPr>
              <w:t>46,211.45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462.11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w:t>
            </w:r>
          </w:p>
        </w:tc>
      </w:tr>
      <w:tr>
        <w:trPr>
          <w:trHeight w:val="40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245,000.00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495,895.94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495,895.94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1"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1,032,107.39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741,358.05</w:t>
            </w:r>
          </w:p>
        </w:tc>
        <w:tc>
          <w:tcPr>
            <w:tcW w:w="239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60" w:lineRule="auto" w:before="49"/>
        <w:ind w:right="5274"/>
        <w:jc w:val="left"/>
      </w:pPr>
      <w:r>
        <w:rPr/>
        <w:t>确定该组合依据的说明： 组合中，采用余额百分比法计提坏账准备的其他应收款：</w:t>
      </w:r>
    </w:p>
    <w:p>
      <w:pPr>
        <w:pStyle w:val="BodyText"/>
        <w:spacing w:line="340" w:lineRule="auto" w:before="25"/>
        <w:ind w:right="56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组合中，采用其他方法计提坏账准备的其他应收款：</w:t>
      </w:r>
    </w:p>
    <w:p>
      <w:pPr>
        <w:pStyle w:val="BodyText"/>
        <w:spacing w:line="240" w:lineRule="auto" w:before="41"/>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after="0" w:line="240" w:lineRule="auto"/>
        <w:jc w:val="left"/>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5" w:type="dxa"/>
        <w:tblLayout w:type="fixed"/>
        <w:tblCellMar>
          <w:top w:w="0" w:type="dxa"/>
          <w:left w:w="0" w:type="dxa"/>
          <w:bottom w:w="0" w:type="dxa"/>
          <w:right w:w="0" w:type="dxa"/>
        </w:tblCellMar>
        <w:tblLook w:val="01E0"/>
      </w:tblPr>
      <w:tblGrid>
        <w:gridCol w:w="2444"/>
        <w:gridCol w:w="2353"/>
        <w:gridCol w:w="2009"/>
        <w:gridCol w:w="2835"/>
      </w:tblGrid>
      <w:tr>
        <w:trPr>
          <w:trHeight w:val="348" w:hRule="exact"/>
        </w:trPr>
        <w:tc>
          <w:tcPr>
            <w:tcW w:w="2444"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7"/>
              <w:ind w:left="5"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7197"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right="0"/>
              <w:jc w:val="center"/>
              <w:rPr>
                <w:rFonts w:ascii="宋体" w:hAnsi="宋体" w:cs="宋体" w:eastAsia="宋体" w:hint="default"/>
                <w:sz w:val="20"/>
                <w:szCs w:val="20"/>
              </w:rPr>
            </w:pPr>
            <w:r>
              <w:rPr>
                <w:rFonts w:ascii="宋体" w:hAnsi="宋体" w:cs="宋体" w:eastAsia="宋体" w:hint="default"/>
                <w:sz w:val="20"/>
                <w:szCs w:val="20"/>
              </w:rPr>
              <w:t>期末余额</w:t>
            </w:r>
          </w:p>
        </w:tc>
      </w:tr>
      <w:tr>
        <w:trPr>
          <w:trHeight w:val="346" w:hRule="exact"/>
        </w:trPr>
        <w:tc>
          <w:tcPr>
            <w:tcW w:w="2444" w:type="dxa"/>
            <w:vMerge/>
            <w:tcBorders>
              <w:left w:val="single" w:sz="6" w:space="0" w:color="000000"/>
              <w:bottom w:val="single" w:sz="6" w:space="0" w:color="000000"/>
              <w:right w:val="single" w:sz="6" w:space="0" w:color="000000"/>
            </w:tcBorders>
            <w:shd w:val="clear" w:color="auto" w:fill="D9D9D9"/>
          </w:tcPr>
          <w:p>
            <w:pPr/>
          </w:p>
        </w:tc>
        <w:tc>
          <w:tcPr>
            <w:tcW w:w="23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670"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20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597"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28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729" w:right="0"/>
              <w:jc w:val="left"/>
              <w:rPr>
                <w:rFonts w:ascii="宋体" w:hAnsi="宋体" w:cs="宋体" w:eastAsia="宋体" w:hint="default"/>
                <w:sz w:val="20"/>
                <w:szCs w:val="20"/>
              </w:rPr>
            </w:pPr>
            <w:r>
              <w:rPr>
                <w:rFonts w:ascii="宋体" w:hAnsi="宋体" w:cs="宋体" w:eastAsia="宋体" w:hint="default"/>
                <w:sz w:val="20"/>
                <w:szCs w:val="20"/>
              </w:rPr>
              <w:t>计提比例（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p>
        </w:tc>
      </w:tr>
      <w:tr>
        <w:trPr>
          <w:trHeight w:val="348" w:hRule="exact"/>
        </w:trPr>
        <w:tc>
          <w:tcPr>
            <w:tcW w:w="2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款项性质组合</w:t>
            </w:r>
          </w:p>
        </w:tc>
        <w:tc>
          <w:tcPr>
            <w:tcW w:w="2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24,436,621.40</w:t>
            </w:r>
            <w:r>
              <w:rPr>
                <w:rFonts w:ascii="Times New Roman"/>
                <w:sz w:val="20"/>
              </w:rPr>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2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r>
      <w:tr>
        <w:trPr>
          <w:trHeight w:val="346" w:hRule="exact"/>
        </w:trPr>
        <w:tc>
          <w:tcPr>
            <w:tcW w:w="2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交易风险组合</w:t>
            </w:r>
          </w:p>
        </w:tc>
        <w:tc>
          <w:tcPr>
            <w:tcW w:w="2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5,522,246.09</w:t>
            </w:r>
            <w:r>
              <w:rPr>
                <w:rFonts w:ascii="Times New Roman"/>
                <w:sz w:val="20"/>
              </w:rPr>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2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r>
      <w:tr>
        <w:trPr>
          <w:trHeight w:val="331" w:hRule="exact"/>
        </w:trPr>
        <w:tc>
          <w:tcPr>
            <w:tcW w:w="24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3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29,958,867.49</w:t>
            </w:r>
            <w:r>
              <w:rPr>
                <w:rFonts w:ascii="Times New Roman"/>
                <w:sz w:val="20"/>
              </w:rPr>
            </w:r>
          </w:p>
        </w:tc>
        <w:tc>
          <w:tcPr>
            <w:tcW w:w="20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28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9"/>
              <w:ind w:left="3" w:right="0"/>
              <w:jc w:val="center"/>
              <w:rPr>
                <w:rFonts w:ascii="Times New Roman" w:hAnsi="Times New Roman" w:cs="Times New Roman" w:eastAsia="Times New Roman" w:hint="default"/>
                <w:sz w:val="22"/>
                <w:szCs w:val="22"/>
              </w:rPr>
            </w:pPr>
            <w:r>
              <w:rPr>
                <w:rFonts w:ascii="Times New Roman" w:hAnsi="Times New Roman" w:cs="Times New Roman" w:eastAsia="Times New Roman" w:hint="default"/>
                <w:w w:val="100"/>
                <w:sz w:val="22"/>
                <w:szCs w:val="22"/>
              </w:rPr>
              <w:t>—</w:t>
            </w:r>
          </w:p>
        </w:tc>
      </w:tr>
    </w:tbl>
    <w:p>
      <w:pPr>
        <w:spacing w:line="240" w:lineRule="auto" w:before="6"/>
        <w:rPr>
          <w:rFonts w:ascii="宋体" w:hAnsi="宋体" w:cs="宋体" w:eastAsia="宋体" w:hint="default"/>
          <w:sz w:val="20"/>
          <w:szCs w:val="20"/>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3611"/>
        <w:jc w:val="left"/>
      </w:pPr>
      <w:r>
        <w:rPr/>
        <w:t>本期计提坏账准备金额</w:t>
      </w:r>
      <w:r>
        <w:rPr>
          <w:spacing w:val="-46"/>
        </w:rPr>
        <w:t> </w:t>
      </w:r>
      <w:r>
        <w:rPr>
          <w:rFonts w:ascii="Times New Roman" w:hAnsi="Times New Roman" w:cs="Times New Roman" w:eastAsia="Times New Roman" w:hint="default"/>
        </w:rPr>
        <w:t>446,699.16 </w:t>
      </w:r>
      <w:r>
        <w:rPr/>
        <w:t>元；本期收回或转回坏账准备金额</w:t>
      </w:r>
      <w:r>
        <w:rPr>
          <w:spacing w:val="-46"/>
        </w:rPr>
        <w:t> </w:t>
      </w:r>
      <w:r>
        <w:rPr>
          <w:rFonts w:ascii="Times New Roman" w:hAnsi="Times New Roman" w:cs="Times New Roman" w:eastAsia="Times New Roman" w:hint="default"/>
        </w:rPr>
        <w:t>0.00 </w:t>
      </w:r>
      <w:r>
        <w:rPr/>
        <w:t>元。 其中本期坏账准备转回或收回金额重要的：</w:t>
      </w:r>
    </w:p>
    <w:p>
      <w:pPr>
        <w:pStyle w:val="BodyText"/>
        <w:spacing w:line="240" w:lineRule="auto" w:before="43"/>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1"/>
        <w:ind w:right="0"/>
        <w:jc w:val="left"/>
        <w:rPr>
          <w:b w:val="0"/>
          <w:bCs w:val="0"/>
        </w:rPr>
      </w:pP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782"/>
        <w:gridCol w:w="4789"/>
      </w:tblGrid>
      <w:tr>
        <w:trPr>
          <w:trHeight w:val="403" w:hRule="exact"/>
        </w:trPr>
        <w:tc>
          <w:tcPr>
            <w:tcW w:w="4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1" w:hRule="exact"/>
        </w:trPr>
        <w:tc>
          <w:tcPr>
            <w:tcW w:w="4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2,241,225.35</w:t>
            </w:r>
          </w:p>
        </w:tc>
      </w:tr>
    </w:tbl>
    <w:p>
      <w:pPr>
        <w:pStyle w:val="BodyText"/>
        <w:spacing w:line="360" w:lineRule="auto" w:before="49"/>
        <w:ind w:right="7074"/>
        <w:jc w:val="left"/>
      </w:pPr>
      <w:r>
        <w:rPr/>
        <w:t>其中重要的其他应收款核销情况： 无</w:t>
      </w:r>
    </w:p>
    <w:p>
      <w:pPr>
        <w:spacing w:line="240" w:lineRule="auto" w:before="2"/>
        <w:rPr>
          <w:rFonts w:ascii="宋体" w:hAnsi="宋体" w:cs="宋体" w:eastAsia="宋体" w:hint="default"/>
          <w:sz w:val="20"/>
          <w:szCs w:val="20"/>
        </w:rPr>
      </w:pPr>
    </w:p>
    <w:p>
      <w:pPr>
        <w:pStyle w:val="Heading5"/>
        <w:spacing w:line="240" w:lineRule="auto"/>
        <w:ind w:right="0"/>
        <w:jc w:val="left"/>
        <w:rPr>
          <w:b w:val="0"/>
          <w:bCs w:val="0"/>
        </w:rPr>
      </w:pP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51"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12,377,052.51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17,247,525.47</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10,292,139.16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10,453,572.30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8,727,888.73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11,851,507.88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应收退税款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747,406.26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2,456,785.26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2,207,988.22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4,666,467.86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34,352,474.88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46,675,858.77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6"/>
        <w:gridCol w:w="1594"/>
        <w:gridCol w:w="1594"/>
        <w:gridCol w:w="1597"/>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72"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2"/>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北京老虎宝典科技 有限责任公司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8.73%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管柯</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2,825,763.98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594"/>
        <w:gridCol w:w="1594"/>
        <w:gridCol w:w="1596"/>
        <w:gridCol w:w="1594"/>
        <w:gridCol w:w="1594"/>
        <w:gridCol w:w="1597"/>
      </w:tblGrid>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辽宁恒隆地产有限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1,420,666.71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4.13%</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18"/>
              <w:jc w:val="left"/>
              <w:rPr>
                <w:rFonts w:ascii="宋体" w:hAnsi="宋体" w:cs="宋体" w:eastAsia="宋体" w:hint="default"/>
                <w:sz w:val="18"/>
                <w:szCs w:val="18"/>
              </w:rPr>
            </w:pPr>
            <w:r>
              <w:rPr>
                <w:rFonts w:ascii="宋体" w:hAnsi="宋体" w:cs="宋体" w:eastAsia="宋体" w:hint="default"/>
                <w:sz w:val="18"/>
                <w:szCs w:val="18"/>
              </w:rPr>
              <w:t>北京卓明物业管理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1,067,287.85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3.11%</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18"/>
              <w:jc w:val="left"/>
              <w:rPr>
                <w:rFonts w:ascii="宋体" w:hAnsi="宋体" w:cs="宋体" w:eastAsia="宋体" w:hint="default"/>
                <w:sz w:val="18"/>
                <w:szCs w:val="18"/>
              </w:rPr>
            </w:pPr>
            <w:r>
              <w:rPr>
                <w:rFonts w:ascii="宋体" w:hAnsi="宋体" w:cs="宋体" w:eastAsia="宋体" w:hint="default"/>
                <w:sz w:val="18"/>
                <w:szCs w:val="18"/>
              </w:rPr>
              <w:t>上海杨浦中央社区 发展有限公司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961,668.04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9,275,386.58</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z w:val="18"/>
              </w:rPr>
              <w:t>27.00%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3,000,000.00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10</w:t>
      </w:r>
      <w:r>
        <w:rPr/>
        <w:t>、存货</w:t>
      </w:r>
      <w:r>
        <w:rPr>
          <w:b w:val="0"/>
          <w:bCs w:val="0"/>
        </w:rPr>
      </w:r>
    </w:p>
    <w:p>
      <w:pPr>
        <w:spacing w:line="240" w:lineRule="auto" w:before="2"/>
        <w:rPr>
          <w:rFonts w:ascii="宋体" w:hAnsi="宋体" w:cs="宋体" w:eastAsia="宋体" w:hint="default"/>
          <w:b/>
          <w:bCs/>
          <w:sz w:val="26"/>
          <w:szCs w:val="26"/>
        </w:rPr>
      </w:pPr>
    </w:p>
    <w:p>
      <w:pPr>
        <w:pStyle w:val="BodyText"/>
        <w:spacing w:line="360" w:lineRule="auto"/>
        <w:ind w:right="6534"/>
        <w:jc w:val="left"/>
      </w:pPr>
      <w:r>
        <w:rPr/>
        <w:t>公司是否需要遵守房地产行业的披露要求 否</w:t>
      </w:r>
    </w:p>
    <w:p>
      <w:pPr>
        <w:spacing w:line="240" w:lineRule="auto" w:before="4"/>
        <w:rPr>
          <w:rFonts w:ascii="宋体" w:hAnsi="宋体" w:cs="宋体" w:eastAsia="宋体" w:hint="default"/>
          <w:sz w:val="20"/>
          <w:szCs w:val="20"/>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）存货分类</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403"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18,076,976.65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18,076,976.65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44,154,989.10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184,207.33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43,970,781.77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29,237,981.77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1,357,726.45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27,880,255.32</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消耗性生物资产</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55"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建造合同形成的</w:t>
            </w:r>
          </w:p>
        </w:tc>
        <w:tc>
          <w:tcPr>
            <w:tcW w:w="1368" w:type="dxa"/>
            <w:tcBorders>
              <w:top w:val="single" w:sz="4" w:space="0" w:color="000000"/>
              <w:left w:val="single" w:sz="4" w:space="0" w:color="000000"/>
              <w:bottom w:val="nil" w:sz="6" w:space="0" w:color="auto"/>
              <w:right w:val="single" w:sz="4" w:space="0" w:color="000000"/>
            </w:tcBorders>
          </w:tcPr>
          <w:p>
            <w:pPr/>
          </w:p>
        </w:tc>
        <w:tc>
          <w:tcPr>
            <w:tcW w:w="1369" w:type="dxa"/>
            <w:tcBorders>
              <w:top w:val="single" w:sz="4" w:space="0" w:color="000000"/>
              <w:left w:val="single" w:sz="4" w:space="0" w:color="000000"/>
              <w:bottom w:val="nil" w:sz="6" w:space="0" w:color="auto"/>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已完工未结算资</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53"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产</w:t>
            </w:r>
          </w:p>
        </w:tc>
        <w:tc>
          <w:tcPr>
            <w:tcW w:w="1368" w:type="dxa"/>
            <w:tcBorders>
              <w:top w:val="nil" w:sz="6" w:space="0" w:color="auto"/>
              <w:left w:val="single" w:sz="4" w:space="0" w:color="000000"/>
              <w:bottom w:val="single" w:sz="4" w:space="0" w:color="000000"/>
              <w:right w:val="single" w:sz="4" w:space="0" w:color="000000"/>
            </w:tcBorders>
          </w:tcPr>
          <w:p>
            <w:pPr/>
          </w:p>
        </w:tc>
        <w:tc>
          <w:tcPr>
            <w:tcW w:w="1369" w:type="dxa"/>
            <w:tcBorders>
              <w:top w:val="nil" w:sz="6" w:space="0" w:color="auto"/>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劳务成本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17,840,629.59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17,840,629.59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30,025,531.56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30,025,531.56</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80,072,595.34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184,207.33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79,888,388.01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59,263,513.33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1,357,726.45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57,905,786.88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340" w:lineRule="auto" w:before="44"/>
        <w:ind w:right="1496"/>
        <w:jc w:val="left"/>
      </w:pPr>
      <w:r>
        <w:rPr/>
        <w:t>公司是否需遵守《深圳证券交易所行业信息披露指引第</w:t>
      </w:r>
      <w:r>
        <w:rPr>
          <w:spacing w:val="-46"/>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上市公司从事种业、种植业务》的披露要求 否</w:t>
      </w:r>
    </w:p>
    <w:p>
      <w:pPr>
        <w:spacing w:line="240" w:lineRule="auto" w:before="3"/>
        <w:rPr>
          <w:rFonts w:ascii="宋体" w:hAnsi="宋体" w:cs="宋体" w:eastAsia="宋体" w:hint="default"/>
          <w:sz w:val="21"/>
          <w:szCs w:val="21"/>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）存货跌价准备</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7"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1,357,726.45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1,173,519.12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184,207.33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周转材料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消耗性生物资产</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57"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建造合同形成的</w:t>
            </w:r>
          </w:p>
        </w:tc>
        <w:tc>
          <w:tcPr>
            <w:tcW w:w="1368" w:type="dxa"/>
            <w:tcBorders>
              <w:top w:val="single" w:sz="4" w:space="0" w:color="000000"/>
              <w:left w:val="single" w:sz="4" w:space="0" w:color="000000"/>
              <w:bottom w:val="nil" w:sz="6" w:space="0" w:color="auto"/>
              <w:right w:val="single" w:sz="4" w:space="0" w:color="000000"/>
            </w:tcBorders>
          </w:tcPr>
          <w:p>
            <w:pPr/>
          </w:p>
        </w:tc>
        <w:tc>
          <w:tcPr>
            <w:tcW w:w="1369" w:type="dxa"/>
            <w:tcBorders>
              <w:top w:val="single" w:sz="4" w:space="0" w:color="000000"/>
              <w:left w:val="single" w:sz="4" w:space="0" w:color="000000"/>
              <w:bottom w:val="nil" w:sz="6" w:space="0" w:color="auto"/>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3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
              <w:ind w:left="24" w:right="0"/>
              <w:jc w:val="left"/>
              <w:rPr>
                <w:rFonts w:ascii="宋体" w:hAnsi="宋体" w:cs="宋体" w:eastAsia="宋体" w:hint="default"/>
                <w:sz w:val="18"/>
                <w:szCs w:val="18"/>
              </w:rPr>
            </w:pPr>
            <w:r>
              <w:rPr>
                <w:rFonts w:ascii="宋体" w:hAnsi="宋体" w:cs="宋体" w:eastAsia="宋体" w:hint="default"/>
                <w:sz w:val="18"/>
                <w:szCs w:val="18"/>
              </w:rPr>
              <w:t>已完工未结算资</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54"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4"/>
              <w:ind w:left="24" w:right="0"/>
              <w:jc w:val="left"/>
              <w:rPr>
                <w:rFonts w:ascii="宋体" w:hAnsi="宋体" w:cs="宋体" w:eastAsia="宋体" w:hint="default"/>
                <w:sz w:val="18"/>
                <w:szCs w:val="18"/>
              </w:rPr>
            </w:pPr>
            <w:r>
              <w:rPr>
                <w:rFonts w:ascii="宋体" w:hAnsi="宋体" w:cs="宋体" w:eastAsia="宋体" w:hint="default"/>
                <w:sz w:val="18"/>
                <w:szCs w:val="18"/>
              </w:rPr>
              <w:t>产</w:t>
            </w:r>
          </w:p>
        </w:tc>
        <w:tc>
          <w:tcPr>
            <w:tcW w:w="1368" w:type="dxa"/>
            <w:tcBorders>
              <w:top w:val="nil" w:sz="6" w:space="0" w:color="auto"/>
              <w:left w:val="single" w:sz="4" w:space="0" w:color="000000"/>
              <w:bottom w:val="single" w:sz="4" w:space="0" w:color="000000"/>
              <w:right w:val="single" w:sz="4" w:space="0" w:color="000000"/>
            </w:tcBorders>
          </w:tcPr>
          <w:p>
            <w:pPr/>
          </w:p>
        </w:tc>
        <w:tc>
          <w:tcPr>
            <w:tcW w:w="1369" w:type="dxa"/>
            <w:tcBorders>
              <w:top w:val="nil" w:sz="6" w:space="0" w:color="auto"/>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1,357,726.45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1,173,519.12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184,207.33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11</w:t>
      </w:r>
      <w:r>
        <w:rPr/>
        <w:t>、持有待售的资产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12</w:t>
      </w:r>
      <w:r>
        <w:rPr/>
        <w:t>、一年内到期的非流动资产</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一年内到期的长期待摊费用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3,453,582.34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3,453,582.34</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13</w:t>
      </w:r>
      <w:r>
        <w:rPr/>
        <w:t>、其他流动资产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after="0" w:line="240" w:lineRule="auto"/>
        <w:jc w:val="right"/>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95,000,000.00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待抵扣增值税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30,486,163.14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6,998,354.69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待抵扣所得税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12,052,731.44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8,398,034.65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预缴所得税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17,611.67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406,066.35</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137,556,506.25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15,802,455.69</w:t>
            </w:r>
          </w:p>
        </w:tc>
      </w:tr>
    </w:tbl>
    <w:p>
      <w:pPr>
        <w:pStyle w:val="BodyText"/>
        <w:spacing w:line="240" w:lineRule="auto" w:before="49"/>
        <w:ind w:right="94"/>
        <w:jc w:val="left"/>
      </w:pPr>
      <w:r>
        <w:rPr/>
        <w:t>其他说明：</w:t>
      </w:r>
    </w:p>
    <w:p>
      <w:pPr>
        <w:spacing w:line="240" w:lineRule="auto" w:before="0"/>
        <w:rPr>
          <w:rFonts w:ascii="宋体" w:hAnsi="宋体" w:cs="宋体" w:eastAsia="宋体" w:hint="default"/>
          <w:sz w:val="15"/>
          <w:szCs w:val="15"/>
        </w:rPr>
      </w:pPr>
    </w:p>
    <w:p>
      <w:pPr>
        <w:pStyle w:val="BodyText"/>
        <w:spacing w:line="316" w:lineRule="auto"/>
        <w:ind w:right="94" w:firstLine="360"/>
        <w:jc w:val="left"/>
      </w:pPr>
      <w:r>
        <w:rPr/>
        <w:t>注：待抵扣所得税为本集团来源自境外业务，收入来源国根据当地税法扣除并缴纳的境外所得税，根据相关税收规定， 该部分所得税可在境内抵扣。</w:t>
      </w:r>
    </w:p>
    <w:p>
      <w:pPr>
        <w:spacing w:line="240" w:lineRule="auto" w:before="11"/>
        <w:rPr>
          <w:rFonts w:ascii="宋体" w:hAnsi="宋体" w:cs="宋体" w:eastAsia="宋体" w:hint="default"/>
          <w:sz w:val="22"/>
          <w:szCs w:val="22"/>
        </w:rPr>
      </w:pPr>
    </w:p>
    <w:p>
      <w:pPr>
        <w:pStyle w:val="Heading5"/>
        <w:spacing w:line="240" w:lineRule="auto"/>
        <w:ind w:right="94"/>
        <w:jc w:val="left"/>
        <w:rPr>
          <w:b w:val="0"/>
          <w:bCs w:val="0"/>
        </w:rPr>
      </w:pPr>
      <w:r>
        <w:rPr>
          <w:rFonts w:ascii="Times New Roman" w:hAnsi="Times New Roman" w:cs="Times New Roman" w:eastAsia="Times New Roman" w:hint="default"/>
        </w:rPr>
        <w:t>14</w:t>
      </w:r>
      <w:r>
        <w:rPr/>
        <w:t>、可供出售金融资产</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94"/>
        <w:jc w:val="left"/>
        <w:rPr>
          <w:b w:val="0"/>
          <w:bCs w:val="0"/>
        </w:rPr>
      </w:pP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9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000"/>
        <w:gridCol w:w="1196"/>
        <w:gridCol w:w="1198"/>
        <w:gridCol w:w="1196"/>
        <w:gridCol w:w="1248"/>
        <w:gridCol w:w="1369"/>
        <w:gridCol w:w="1366"/>
      </w:tblGrid>
      <w:tr>
        <w:trPr>
          <w:trHeight w:val="401" w:hRule="exact"/>
        </w:trPr>
        <w:tc>
          <w:tcPr>
            <w:tcW w:w="20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2000"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5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1"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235,984,046.35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11,298,846.69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224,685,199.66</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159,484,066.76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18,108,169.50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141,375,897.26</w:t>
            </w:r>
          </w:p>
        </w:tc>
      </w:tr>
      <w:tr>
        <w:trPr>
          <w:trHeight w:val="403"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按公允价值计量的</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按成本计量的</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235,984,046.35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11,298,846.69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224,685,199.66</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159,484,066.76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18,108,169.50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141,375,897.26</w:t>
            </w:r>
          </w:p>
        </w:tc>
      </w:tr>
      <w:tr>
        <w:trPr>
          <w:trHeight w:val="403" w:hRule="exact"/>
        </w:trPr>
        <w:tc>
          <w:tcPr>
            <w:tcW w:w="20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235,984,046.35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11,298,846.69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224,685,199.66</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159,484,066.76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18,108,169.50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141,375,897.26</w:t>
            </w:r>
          </w:p>
        </w:tc>
      </w:tr>
    </w:tbl>
    <w:p>
      <w:pPr>
        <w:spacing w:line="240" w:lineRule="auto" w:before="3"/>
        <w:rPr>
          <w:rFonts w:ascii="宋体" w:hAnsi="宋体" w:cs="宋体" w:eastAsia="宋体" w:hint="default"/>
          <w:sz w:val="19"/>
          <w:szCs w:val="19"/>
        </w:rPr>
      </w:pPr>
    </w:p>
    <w:p>
      <w:pPr>
        <w:pStyle w:val="Heading5"/>
        <w:spacing w:line="240" w:lineRule="auto" w:before="36"/>
        <w:ind w:right="94"/>
        <w:jc w:val="left"/>
        <w:rPr>
          <w:b w:val="0"/>
          <w:bCs w:val="0"/>
        </w:rPr>
      </w:pPr>
      <w:r>
        <w:rPr/>
        <w:t>（</w:t>
      </w:r>
      <w:r>
        <w:rPr>
          <w:rFonts w:ascii="Times New Roman" w:hAnsi="Times New Roman" w:cs="Times New Roman" w:eastAsia="Times New Roman" w:hint="default"/>
        </w:rPr>
        <w:t>2</w:t>
      </w:r>
      <w:r>
        <w:rPr/>
        <w:t>）期末按公允价值计量的可供出售金融资产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t>（</w:t>
      </w:r>
      <w:r>
        <w:rPr>
          <w:rFonts w:ascii="Times New Roman" w:hAnsi="Times New Roman" w:cs="Times New Roman" w:eastAsia="Times New Roman" w:hint="default"/>
        </w:rPr>
        <w:t>3</w:t>
      </w:r>
      <w:r>
        <w:rPr/>
        <w:t>）期末按成本计量的可供出售金融资产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9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1"/>
        <w:gridCol w:w="869"/>
        <w:gridCol w:w="871"/>
        <w:gridCol w:w="869"/>
        <w:gridCol w:w="872"/>
        <w:gridCol w:w="869"/>
        <w:gridCol w:w="871"/>
        <w:gridCol w:w="869"/>
        <w:gridCol w:w="871"/>
      </w:tblGrid>
      <w:tr>
        <w:trPr>
          <w:trHeight w:val="403" w:hRule="exact"/>
        </w:trPr>
        <w:tc>
          <w:tcPr>
            <w:tcW w:w="8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336" w:right="65"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8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6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0"/>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49" w:right="71"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64" w:type="dxa"/>
            <w:vMerge/>
            <w:tcBorders>
              <w:left w:val="single" w:sz="4" w:space="0" w:color="000000"/>
              <w:bottom w:val="single" w:sz="4" w:space="0" w:color="000000"/>
              <w:right w:val="single" w:sz="4" w:space="0" w:color="000000"/>
            </w:tcBorders>
            <w:shd w:val="clear" w:color="auto" w:fill="D2D2D2"/>
          </w:tcPr>
          <w:p>
            <w:pP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71"/>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68"/>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70"/>
              <w:jc w:val="right"/>
              <w:rPr>
                <w:rFonts w:ascii="宋体" w:hAnsi="宋体" w:cs="宋体" w:eastAsia="宋体" w:hint="default"/>
                <w:sz w:val="18"/>
                <w:szCs w:val="18"/>
              </w:rPr>
            </w:pPr>
            <w:r>
              <w:rPr>
                <w:rFonts w:ascii="宋体" w:hAnsi="宋体" w:cs="宋体" w:eastAsia="宋体" w:hint="default"/>
                <w:sz w:val="18"/>
                <w:szCs w:val="18"/>
              </w:rPr>
              <w:t>本期增加</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67"/>
              <w:jc w:val="right"/>
              <w:rPr>
                <w:rFonts w:ascii="宋体" w:hAnsi="宋体" w:cs="宋体" w:eastAsia="宋体" w:hint="default"/>
                <w:sz w:val="18"/>
                <w:szCs w:val="18"/>
              </w:rPr>
            </w:pPr>
            <w:r>
              <w:rPr>
                <w:rFonts w:ascii="宋体" w:hAnsi="宋体" w:cs="宋体" w:eastAsia="宋体" w:hint="default"/>
                <w:sz w:val="18"/>
                <w:szCs w:val="18"/>
              </w:rPr>
              <w:t>本期减少</w:t>
            </w:r>
          </w:p>
        </w:tc>
        <w:tc>
          <w:tcPr>
            <w:tcW w:w="8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69" w:type="dxa"/>
            <w:vMerge/>
            <w:tcBorders>
              <w:left w:val="single" w:sz="4" w:space="0" w:color="000000"/>
              <w:bottom w:val="single" w:sz="4" w:space="0" w:color="000000"/>
              <w:right w:val="single" w:sz="4" w:space="0" w:color="000000"/>
            </w:tcBorders>
            <w:shd w:val="clear" w:color="auto" w:fill="D2D2D2"/>
          </w:tcPr>
          <w:p>
            <w:pPr/>
          </w:p>
        </w:tc>
        <w:tc>
          <w:tcPr>
            <w:tcW w:w="871" w:type="dxa"/>
            <w:vMerge/>
            <w:tcBorders>
              <w:left w:val="single" w:sz="4" w:space="0" w:color="000000"/>
              <w:bottom w:val="single" w:sz="4" w:space="0" w:color="000000"/>
              <w:right w:val="single" w:sz="4" w:space="0" w:color="000000"/>
            </w:tcBorders>
            <w:shd w:val="clear" w:color="auto" w:fill="D2D2D2"/>
          </w:tcPr>
          <w:p>
            <w:pPr/>
          </w:p>
        </w:tc>
      </w:tr>
      <w:tr>
        <w:trPr>
          <w:trHeight w:val="355" w:hRule="exact"/>
        </w:trPr>
        <w:tc>
          <w:tcPr>
            <w:tcW w:w="8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广东好帮</w:t>
            </w: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2"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c>
          <w:tcPr>
            <w:tcW w:w="869" w:type="dxa"/>
            <w:tcBorders>
              <w:top w:val="single" w:sz="4" w:space="0" w:color="000000"/>
              <w:left w:val="single" w:sz="4" w:space="0" w:color="000000"/>
              <w:bottom w:val="nil" w:sz="6" w:space="0" w:color="auto"/>
              <w:right w:val="single" w:sz="4" w:space="0" w:color="000000"/>
            </w:tcBorders>
          </w:tcPr>
          <w:p>
            <w:pPr/>
          </w:p>
        </w:tc>
        <w:tc>
          <w:tcPr>
            <w:tcW w:w="871" w:type="dxa"/>
            <w:tcBorders>
              <w:top w:val="single" w:sz="4" w:space="0" w:color="000000"/>
              <w:left w:val="single" w:sz="4" w:space="0" w:color="000000"/>
              <w:bottom w:val="nil" w:sz="6" w:space="0" w:color="auto"/>
              <w:right w:val="single" w:sz="4" w:space="0" w:color="000000"/>
            </w:tcBorders>
          </w:tcPr>
          <w:p>
            <w:pPr/>
          </w:p>
        </w:tc>
      </w:tr>
      <w:tr>
        <w:trPr>
          <w:trHeight w:val="629" w:hRule="exact"/>
        </w:trPr>
        <w:tc>
          <w:tcPr>
            <w:tcW w:w="864"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108"/>
              <w:jc w:val="left"/>
              <w:rPr>
                <w:rFonts w:ascii="宋体" w:hAnsi="宋体" w:cs="宋体" w:eastAsia="宋体" w:hint="default"/>
                <w:sz w:val="18"/>
                <w:szCs w:val="18"/>
              </w:rPr>
            </w:pPr>
            <w:r>
              <w:rPr>
                <w:rFonts w:ascii="宋体" w:hAnsi="宋体" w:cs="宋体" w:eastAsia="宋体" w:hint="default"/>
                <w:sz w:val="18"/>
                <w:szCs w:val="18"/>
              </w:rPr>
              <w:t>手电子科 技股份有</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6" w:right="0"/>
              <w:jc w:val="left"/>
              <w:rPr>
                <w:rFonts w:ascii="Times New Roman" w:hAnsi="Times New Roman" w:cs="Times New Roman" w:eastAsia="Times New Roman" w:hint="default"/>
                <w:sz w:val="18"/>
                <w:szCs w:val="18"/>
              </w:rPr>
            </w:pPr>
            <w:r>
              <w:rPr>
                <w:rFonts w:ascii="Times New Roman"/>
                <w:sz w:val="18"/>
              </w:rPr>
              <w:t>108,000,00</w:t>
            </w:r>
          </w:p>
          <w:p>
            <w:pPr>
              <w:pStyle w:val="TableParagraph"/>
              <w:spacing w:line="240" w:lineRule="auto" w:before="105"/>
              <w:ind w:left="523" w:right="0"/>
              <w:jc w:val="left"/>
              <w:rPr>
                <w:rFonts w:ascii="Times New Roman" w:hAnsi="Times New Roman" w:cs="Times New Roman" w:eastAsia="Times New Roman" w:hint="default"/>
                <w:sz w:val="18"/>
                <w:szCs w:val="18"/>
              </w:rPr>
            </w:pPr>
            <w:r>
              <w:rPr>
                <w:rFonts w:ascii="Times New Roman"/>
                <w:sz w:val="18"/>
              </w:rPr>
              <w:t>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6" w:right="0"/>
              <w:jc w:val="left"/>
              <w:rPr>
                <w:rFonts w:ascii="Times New Roman" w:hAnsi="Times New Roman" w:cs="Times New Roman" w:eastAsia="Times New Roman" w:hint="default"/>
                <w:sz w:val="18"/>
                <w:szCs w:val="18"/>
              </w:rPr>
            </w:pPr>
            <w:r>
              <w:rPr>
                <w:rFonts w:ascii="Times New Roman"/>
                <w:sz w:val="18"/>
              </w:rPr>
              <w:t>108,000,00</w:t>
            </w:r>
          </w:p>
          <w:p>
            <w:pPr>
              <w:pStyle w:val="TableParagraph"/>
              <w:spacing w:line="240" w:lineRule="auto" w:before="105"/>
              <w:ind w:left="523" w:right="0"/>
              <w:jc w:val="left"/>
              <w:rPr>
                <w:rFonts w:ascii="Times New Roman" w:hAnsi="Times New Roman" w:cs="Times New Roman" w:eastAsia="Times New Roman" w:hint="default"/>
                <w:sz w:val="18"/>
                <w:szCs w:val="18"/>
              </w:rPr>
            </w:pPr>
            <w:r>
              <w:rPr>
                <w:rFonts w:ascii="Times New Roman"/>
                <w:sz w:val="18"/>
              </w:rPr>
              <w:t>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23" w:right="0"/>
              <w:jc w:val="left"/>
              <w:rPr>
                <w:rFonts w:ascii="Times New Roman" w:hAnsi="Times New Roman" w:cs="Times New Roman" w:eastAsia="Times New Roman" w:hint="default"/>
                <w:sz w:val="18"/>
                <w:szCs w:val="18"/>
              </w:rPr>
            </w:pPr>
            <w:r>
              <w:rPr>
                <w:rFonts w:ascii="Times New Roman"/>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pacing w:val="-1"/>
                <w:sz w:val="18"/>
              </w:rPr>
              <w:t>8,472,084.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pacing w:val="-1"/>
                <w:sz w:val="18"/>
              </w:rPr>
              <w:t>8,472,084.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53" w:hRule="exact"/>
        </w:trPr>
        <w:tc>
          <w:tcPr>
            <w:tcW w:w="8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2"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c>
          <w:tcPr>
            <w:tcW w:w="869" w:type="dxa"/>
            <w:tcBorders>
              <w:top w:val="nil" w:sz="6" w:space="0" w:color="auto"/>
              <w:left w:val="single" w:sz="4" w:space="0" w:color="000000"/>
              <w:bottom w:val="single" w:sz="4" w:space="0" w:color="000000"/>
              <w:right w:val="single" w:sz="4" w:space="0" w:color="000000"/>
            </w:tcBorders>
          </w:tcPr>
          <w:p>
            <w:pPr/>
          </w:p>
        </w:tc>
        <w:tc>
          <w:tcPr>
            <w:tcW w:w="871" w:type="dxa"/>
            <w:tcBorders>
              <w:top w:val="nil" w:sz="6" w:space="0" w:color="auto"/>
              <w:left w:val="single" w:sz="4" w:space="0" w:color="000000"/>
              <w:bottom w:val="single" w:sz="4" w:space="0" w:color="000000"/>
              <w:right w:val="single" w:sz="4" w:space="0" w:color="000000"/>
            </w:tcBorders>
          </w:tcPr>
          <w:p>
            <w:pPr/>
          </w:p>
        </w:tc>
      </w:tr>
      <w:tr>
        <w:trPr>
          <w:trHeight w:val="102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24" w:right="86"/>
              <w:jc w:val="left"/>
              <w:rPr>
                <w:rFonts w:ascii="Times New Roman" w:hAnsi="Times New Roman" w:cs="Times New Roman" w:eastAsia="Times New Roman" w:hint="default"/>
                <w:sz w:val="18"/>
                <w:szCs w:val="18"/>
              </w:rPr>
            </w:pPr>
            <w:r>
              <w:rPr>
                <w:rFonts w:ascii="Times New Roman"/>
                <w:sz w:val="18"/>
              </w:rPr>
              <w:t>Pachira Enterprise</w:t>
            </w:r>
            <w:r>
              <w:rPr>
                <w:rFonts w:ascii="Times New Roman"/>
                <w:w w:val="99"/>
                <w:sz w:val="18"/>
              </w:rPr>
              <w:t> </w:t>
            </w:r>
            <w:r>
              <w:rPr>
                <w:rFonts w:ascii="Times New Roman"/>
                <w:sz w:val="18"/>
              </w:rPr>
              <w:t>s</w:t>
            </w:r>
            <w:r>
              <w:rPr>
                <w:rFonts w:ascii="Times New Roman"/>
                <w:spacing w:val="-5"/>
                <w:sz w:val="18"/>
              </w:rPr>
              <w:t> </w:t>
            </w:r>
            <w:r>
              <w:rPr>
                <w:rFonts w:ascii="Times New Roman"/>
                <w:sz w:val="18"/>
              </w:rPr>
              <w:t>Limited</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28,184,066</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.76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4,897,679.</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59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33,081,746</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.35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523" w:right="0"/>
              <w:jc w:val="left"/>
              <w:rPr>
                <w:rFonts w:ascii="Times New Roman" w:hAnsi="Times New Roman" w:cs="Times New Roman" w:eastAsia="Times New Roman" w:hint="default"/>
                <w:sz w:val="18"/>
                <w:szCs w:val="18"/>
              </w:rPr>
            </w:pPr>
            <w:r>
              <w:rPr>
                <w:rFonts w:ascii="Times New Roman"/>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4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864"/>
        <w:gridCol w:w="869"/>
        <w:gridCol w:w="871"/>
        <w:gridCol w:w="869"/>
        <w:gridCol w:w="871"/>
        <w:gridCol w:w="869"/>
        <w:gridCol w:w="872"/>
        <w:gridCol w:w="869"/>
        <w:gridCol w:w="871"/>
        <w:gridCol w:w="869"/>
        <w:gridCol w:w="871"/>
      </w:tblGrid>
      <w:tr>
        <w:trPr>
          <w:trHeight w:val="713"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08"/>
              <w:jc w:val="left"/>
              <w:rPr>
                <w:rFonts w:ascii="宋体" w:hAnsi="宋体" w:cs="宋体" w:eastAsia="宋体" w:hint="default"/>
                <w:sz w:val="18"/>
                <w:szCs w:val="18"/>
              </w:rPr>
            </w:pPr>
            <w:r>
              <w:rPr>
                <w:rFonts w:ascii="宋体" w:hAnsi="宋体" w:cs="宋体" w:eastAsia="宋体" w:hint="default"/>
                <w:sz w:val="18"/>
                <w:szCs w:val="18"/>
              </w:rPr>
              <w:t>天地图有 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17,500,000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9,152,647.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61</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9,152,647.</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17.50%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9"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08"/>
              <w:jc w:val="left"/>
              <w:rPr>
                <w:rFonts w:ascii="宋体" w:hAnsi="宋体" w:cs="宋体" w:eastAsia="宋体" w:hint="default"/>
                <w:sz w:val="18"/>
                <w:szCs w:val="18"/>
              </w:rPr>
            </w:pPr>
            <w:r>
              <w:rPr>
                <w:rFonts w:ascii="宋体" w:hAnsi="宋体" w:cs="宋体" w:eastAsia="宋体" w:hint="default"/>
                <w:sz w:val="18"/>
                <w:szCs w:val="18"/>
              </w:rPr>
              <w:t>北斗导航 位置服务</w:t>
            </w:r>
          </w:p>
          <w:p>
            <w:pPr>
              <w:pStyle w:val="TableParagraph"/>
              <w:spacing w:line="316" w:lineRule="auto" w:before="20"/>
              <w:ind w:left="24" w:right="108"/>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483,437.89</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241,746.22</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725,184.11</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四维世景 科技（北 京）有限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1,300,000.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632,419.53</w:t>
            </w:r>
          </w:p>
        </w:tc>
      </w:tr>
      <w:tr>
        <w:trPr>
          <w:trHeight w:val="1028"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08"/>
              <w:jc w:val="both"/>
              <w:rPr>
                <w:rFonts w:ascii="宋体" w:hAnsi="宋体" w:cs="宋体" w:eastAsia="宋体" w:hint="default"/>
                <w:sz w:val="18"/>
                <w:szCs w:val="18"/>
              </w:rPr>
            </w:pPr>
            <w:r>
              <w:rPr>
                <w:rFonts w:ascii="宋体" w:hAnsi="宋体" w:cs="宋体" w:eastAsia="宋体" w:hint="default"/>
                <w:sz w:val="18"/>
                <w:szCs w:val="18"/>
              </w:rPr>
              <w:t>北京麦吉 姆科技有 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both"/>
              <w:rPr>
                <w:rFonts w:ascii="宋体" w:hAnsi="宋体" w:cs="宋体" w:eastAsia="宋体" w:hint="default"/>
                <w:sz w:val="18"/>
                <w:szCs w:val="18"/>
              </w:rPr>
            </w:pPr>
            <w:r>
              <w:rPr>
                <w:rFonts w:ascii="宋体" w:hAnsi="宋体" w:cs="宋体" w:eastAsia="宋体" w:hint="default"/>
                <w:sz w:val="18"/>
                <w:szCs w:val="18"/>
              </w:rPr>
              <w:t>中科劲点</w:t>
            </w:r>
          </w:p>
          <w:p>
            <w:pPr>
              <w:pStyle w:val="TableParagraph"/>
              <w:spacing w:line="316" w:lineRule="auto" w:before="76"/>
              <w:ind w:left="24" w:right="108"/>
              <w:jc w:val="both"/>
              <w:rPr>
                <w:rFonts w:ascii="宋体" w:hAnsi="宋体" w:cs="宋体" w:eastAsia="宋体" w:hint="default"/>
                <w:sz w:val="18"/>
                <w:szCs w:val="18"/>
              </w:rPr>
            </w:pPr>
            <w:r>
              <w:rPr>
                <w:rFonts w:ascii="宋体" w:hAnsi="宋体" w:cs="宋体" w:eastAsia="宋体" w:hint="default"/>
                <w:sz w:val="18"/>
                <w:szCs w:val="18"/>
              </w:rPr>
              <w:t>（北京） 科技有限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500,000.00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421,014.97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421,014.97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9"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08"/>
              <w:jc w:val="both"/>
              <w:rPr>
                <w:rFonts w:ascii="宋体" w:hAnsi="宋体" w:cs="宋体" w:eastAsia="宋体" w:hint="default"/>
                <w:sz w:val="18"/>
                <w:szCs w:val="18"/>
              </w:rPr>
            </w:pPr>
            <w:r>
              <w:rPr>
                <w:rFonts w:ascii="宋体" w:hAnsi="宋体" w:cs="宋体" w:eastAsia="宋体" w:hint="default"/>
                <w:sz w:val="18"/>
                <w:szCs w:val="18"/>
              </w:rPr>
              <w:t>北京车联 天下信息 技术有限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70,000,000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7.86%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禾多科技</w:t>
            </w:r>
          </w:p>
          <w:p>
            <w:pPr>
              <w:pStyle w:val="TableParagraph"/>
              <w:spacing w:line="316" w:lineRule="auto" w:before="76"/>
              <w:ind w:left="24" w:right="108"/>
              <w:jc w:val="left"/>
              <w:rPr>
                <w:rFonts w:ascii="宋体" w:hAnsi="宋体" w:cs="宋体" w:eastAsia="宋体" w:hint="default"/>
                <w:sz w:val="18"/>
                <w:szCs w:val="18"/>
              </w:rPr>
            </w:pPr>
            <w:r>
              <w:rPr>
                <w:rFonts w:ascii="宋体" w:hAnsi="宋体" w:cs="宋体" w:eastAsia="宋体" w:hint="default"/>
                <w:sz w:val="18"/>
                <w:szCs w:val="18"/>
              </w:rPr>
              <w:t>（北京）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4.08%</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9"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108"/>
              <w:jc w:val="both"/>
              <w:rPr>
                <w:rFonts w:ascii="宋体" w:hAnsi="宋体" w:cs="宋体" w:eastAsia="宋体" w:hint="default"/>
                <w:sz w:val="18"/>
                <w:szCs w:val="18"/>
              </w:rPr>
            </w:pPr>
            <w:r>
              <w:rPr>
                <w:rFonts w:ascii="宋体" w:hAnsi="宋体" w:cs="宋体" w:eastAsia="宋体" w:hint="default"/>
                <w:sz w:val="18"/>
                <w:szCs w:val="18"/>
              </w:rPr>
              <w:t>佛吉亚好 帮手电子 科技有限 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84,000,000</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2.69%</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08"/>
              <w:jc w:val="both"/>
              <w:rPr>
                <w:rFonts w:ascii="宋体" w:hAnsi="宋体" w:cs="宋体" w:eastAsia="宋体" w:hint="default"/>
                <w:sz w:val="18"/>
                <w:szCs w:val="18"/>
              </w:rPr>
            </w:pPr>
            <w:r>
              <w:rPr>
                <w:rFonts w:ascii="宋体" w:hAnsi="宋体" w:cs="宋体" w:eastAsia="宋体" w:hint="default"/>
                <w:sz w:val="18"/>
                <w:szCs w:val="18"/>
              </w:rPr>
              <w:t>北京未来 导航科技 有限公司</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1.32%</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4"/>
              <w:ind w:left="24" w:right="87"/>
              <w:jc w:val="left"/>
              <w:rPr>
                <w:rFonts w:ascii="Times New Roman" w:hAnsi="Times New Roman" w:cs="Times New Roman" w:eastAsia="Times New Roman" w:hint="default"/>
                <w:sz w:val="18"/>
                <w:szCs w:val="18"/>
              </w:rPr>
            </w:pPr>
            <w:r>
              <w:rPr>
                <w:rFonts w:ascii="Times New Roman"/>
                <w:sz w:val="18"/>
              </w:rPr>
              <w:t>Sixan PTE. </w:t>
            </w:r>
            <w:r>
              <w:rPr>
                <w:rFonts w:ascii="Times New Roman"/>
                <w:spacing w:val="-7"/>
                <w:sz w:val="18"/>
              </w:rPr>
              <w:t>LTD</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7,802,300.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7,802,300.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8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159,484,06</w:t>
            </w:r>
          </w:p>
          <w:p>
            <w:pPr>
              <w:pStyle w:val="TableParagraph"/>
              <w:spacing w:line="240" w:lineRule="auto" w:before="105"/>
              <w:ind w:left="523" w:right="0"/>
              <w:jc w:val="left"/>
              <w:rPr>
                <w:rFonts w:ascii="Times New Roman" w:hAnsi="Times New Roman" w:cs="Times New Roman" w:eastAsia="Times New Roman" w:hint="default"/>
                <w:sz w:val="18"/>
                <w:szCs w:val="18"/>
              </w:rPr>
            </w:pPr>
            <w:r>
              <w:rPr>
                <w:rFonts w:ascii="Times New Roman"/>
                <w:sz w:val="18"/>
              </w:rPr>
              <w:t>6.76</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184,499,97</w:t>
            </w:r>
          </w:p>
          <w:p>
            <w:pPr>
              <w:pStyle w:val="TableParagraph"/>
              <w:spacing w:line="240" w:lineRule="auto" w:before="105"/>
              <w:ind w:left="523" w:right="0"/>
              <w:jc w:val="left"/>
              <w:rPr>
                <w:rFonts w:ascii="Times New Roman" w:hAnsi="Times New Roman" w:cs="Times New Roman" w:eastAsia="Times New Roman" w:hint="default"/>
                <w:sz w:val="18"/>
                <w:szCs w:val="18"/>
              </w:rPr>
            </w:pPr>
            <w:r>
              <w:rPr>
                <w:rFonts w:ascii="Times New Roman"/>
                <w:sz w:val="18"/>
              </w:rPr>
              <w:t>9.59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108,000,00</w:t>
            </w:r>
          </w:p>
          <w:p>
            <w:pPr>
              <w:pStyle w:val="TableParagraph"/>
              <w:spacing w:line="240" w:lineRule="auto" w:before="105"/>
              <w:ind w:left="523" w:right="0"/>
              <w:jc w:val="left"/>
              <w:rPr>
                <w:rFonts w:ascii="Times New Roman" w:hAnsi="Times New Roman" w:cs="Times New Roman" w:eastAsia="Times New Roman" w:hint="default"/>
                <w:sz w:val="18"/>
                <w:szCs w:val="18"/>
              </w:rPr>
            </w:pPr>
            <w:r>
              <w:rPr>
                <w:rFonts w:ascii="Times New Roman"/>
                <w:sz w:val="18"/>
              </w:rPr>
              <w:t>0.00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235,984,04</w:t>
            </w:r>
          </w:p>
          <w:p>
            <w:pPr>
              <w:pStyle w:val="TableParagraph"/>
              <w:spacing w:line="240" w:lineRule="auto" w:before="105"/>
              <w:ind w:left="523" w:right="0"/>
              <w:jc w:val="left"/>
              <w:rPr>
                <w:rFonts w:ascii="Times New Roman" w:hAnsi="Times New Roman" w:cs="Times New Roman" w:eastAsia="Times New Roman" w:hint="default"/>
                <w:sz w:val="18"/>
                <w:szCs w:val="18"/>
              </w:rPr>
            </w:pPr>
            <w:r>
              <w:rPr>
                <w:rFonts w:ascii="Times New Roman"/>
                <w:sz w:val="18"/>
              </w:rPr>
              <w:t>6.35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18,108,169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.50</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1,662,761.</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19</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8,472,084.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11,298,846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.69</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632,419.53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）报告期内可供出售金融资产减值的变动情况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94"/>
        <w:gridCol w:w="2408"/>
        <w:gridCol w:w="2129"/>
        <w:gridCol w:w="2408"/>
      </w:tblGrid>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40"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24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80"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21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38"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24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94"/>
        <w:gridCol w:w="2408"/>
        <w:gridCol w:w="2129"/>
        <w:gridCol w:w="2408"/>
      </w:tblGrid>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期初已计提减值余额</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18,108,169.50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18,108,169.50</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本期计提</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1,662,761.19</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1,662,761.19</w:t>
            </w:r>
          </w:p>
        </w:tc>
      </w:tr>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其中：从其他综合收益转入</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8,472,084.00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8,472,084.00</w:t>
            </w:r>
          </w:p>
        </w:tc>
      </w:tr>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其中：期后公允价值回升转回</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期末已计提减值余额</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11,298,846.69</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11,298,846.69</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）可供出售权益工具期末公允价值严重下跌或非暂时性下跌但未计提减值准备的相关说明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1"/>
        <w:ind w:right="0"/>
        <w:jc w:val="left"/>
        <w:rPr>
          <w:b w:val="0"/>
          <w:bCs w:val="0"/>
        </w:rPr>
      </w:pPr>
      <w:r>
        <w:rPr>
          <w:rFonts w:ascii="Times New Roman" w:hAnsi="Times New Roman" w:cs="Times New Roman" w:eastAsia="Times New Roman" w:hint="default"/>
        </w:rPr>
        <w:t>15</w:t>
      </w:r>
      <w:r>
        <w:rPr/>
        <w:t>、持有至到期投资</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16</w:t>
      </w:r>
      <w:r>
        <w:rPr/>
        <w:t>、长期应收款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17</w:t>
      </w:r>
      <w:r>
        <w:rPr/>
        <w:t>、长期股权投资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800"/>
        <w:gridCol w:w="797"/>
      </w:tblGrid>
      <w:tr>
        <w:trPr>
          <w:trHeight w:val="402"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302" w:right="32"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31"/>
              <w:jc w:val="righ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32"/>
              <w:jc w:val="righ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314"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0"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60" w:lineRule="auto" w:before="93"/>
              <w:ind w:left="24" w:right="91"/>
              <w:jc w:val="left"/>
              <w:rPr>
                <w:rFonts w:ascii="Times New Roman" w:hAnsi="Times New Roman" w:cs="Times New Roman" w:eastAsia="Times New Roman" w:hint="default"/>
                <w:sz w:val="18"/>
                <w:szCs w:val="18"/>
              </w:rPr>
            </w:pPr>
            <w:r>
              <w:rPr>
                <w:rFonts w:ascii="Times New Roman"/>
                <w:spacing w:val="-2"/>
                <w:sz w:val="18"/>
              </w:rPr>
              <w:t>EvoVisio</w:t>
            </w:r>
            <w:r>
              <w:rPr>
                <w:rFonts w:ascii="Times New Roman"/>
                <w:spacing w:val="-40"/>
                <w:sz w:val="18"/>
              </w:rPr>
              <w:t> </w:t>
            </w:r>
            <w:r>
              <w:rPr>
                <w:rFonts w:ascii="Times New Roman"/>
                <w:spacing w:val="-40"/>
                <w:sz w:val="18"/>
              </w:rPr>
            </w:r>
            <w:r>
              <w:rPr>
                <w:rFonts w:ascii="Times New Roman"/>
                <w:sz w:val="18"/>
              </w:rPr>
              <w:t>n</w:t>
            </w:r>
            <w:r>
              <w:rPr>
                <w:rFonts w:ascii="Times New Roman"/>
                <w:spacing w:val="3"/>
                <w:sz w:val="18"/>
              </w:rPr>
              <w:t> </w:t>
            </w:r>
            <w:r>
              <w:rPr>
                <w:rFonts w:ascii="Times New Roman"/>
                <w:spacing w:val="-7"/>
                <w:sz w:val="18"/>
              </w:rPr>
              <w:t>B.V.</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18,405.83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-18,405.8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北京图新 瀚和科技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16,395,91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-2,814,58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3.18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18,405.83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16,395,91</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76" w:right="0"/>
              <w:jc w:val="left"/>
              <w:rPr>
                <w:rFonts w:ascii="Times New Roman" w:hAnsi="Times New Roman" w:cs="Times New Roman" w:eastAsia="Times New Roman" w:hint="default"/>
                <w:sz w:val="18"/>
                <w:szCs w:val="18"/>
              </w:rPr>
            </w:pPr>
            <w:r>
              <w:rPr>
                <w:rFonts w:ascii="Times New Roman"/>
                <w:sz w:val="18"/>
              </w:rPr>
              <w:t>-2,814,58</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3.18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-18,405.8</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45"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6.82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357" w:hRule="exact"/>
        </w:trPr>
        <w:tc>
          <w:tcPr>
            <w:tcW w:w="79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上海安吉</w:t>
            </w: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9"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0"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799"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c>
          <w:tcPr>
            <w:tcW w:w="800" w:type="dxa"/>
            <w:tcBorders>
              <w:top w:val="single" w:sz="4" w:space="0" w:color="000000"/>
              <w:left w:val="single" w:sz="4" w:space="0" w:color="000000"/>
              <w:bottom w:val="nil" w:sz="6" w:space="0" w:color="auto"/>
              <w:right w:val="single" w:sz="4" w:space="0" w:color="000000"/>
            </w:tcBorders>
          </w:tcPr>
          <w:p>
            <w:pPr/>
          </w:p>
        </w:tc>
        <w:tc>
          <w:tcPr>
            <w:tcW w:w="797" w:type="dxa"/>
            <w:tcBorders>
              <w:top w:val="single" w:sz="4" w:space="0" w:color="000000"/>
              <w:left w:val="single" w:sz="4" w:space="0" w:color="000000"/>
              <w:bottom w:val="nil" w:sz="6" w:space="0" w:color="auto"/>
              <w:right w:val="single" w:sz="4" w:space="0" w:color="000000"/>
            </w:tcBorders>
          </w:tcPr>
          <w:p>
            <w:pPr/>
          </w:p>
        </w:tc>
      </w:tr>
      <w:tr>
        <w:trPr>
          <w:trHeight w:val="628" w:hRule="exact"/>
        </w:trPr>
        <w:tc>
          <w:tcPr>
            <w:tcW w:w="797" w:type="dxa"/>
            <w:tcBorders>
              <w:top w:val="nil" w:sz="6" w:space="0" w:color="auto"/>
              <w:left w:val="single" w:sz="4" w:space="0" w:color="000000"/>
              <w:bottom w:val="nil" w:sz="6" w:space="0" w:color="auto"/>
              <w:right w:val="single" w:sz="4" w:space="0" w:color="000000"/>
            </w:tcBorders>
          </w:tcPr>
          <w:p>
            <w:pPr>
              <w:pStyle w:val="TableParagraph"/>
              <w:spacing w:line="316" w:lineRule="auto" w:before="9"/>
              <w:ind w:left="24" w:right="41"/>
              <w:jc w:val="left"/>
              <w:rPr>
                <w:rFonts w:ascii="宋体" w:hAnsi="宋体" w:cs="宋体" w:eastAsia="宋体" w:hint="default"/>
                <w:sz w:val="18"/>
                <w:szCs w:val="18"/>
              </w:rPr>
            </w:pPr>
            <w:r>
              <w:rPr>
                <w:rFonts w:ascii="宋体" w:hAnsi="宋体" w:cs="宋体" w:eastAsia="宋体" w:hint="default"/>
                <w:sz w:val="18"/>
                <w:szCs w:val="18"/>
              </w:rPr>
              <w:t>四维信息 技术有限</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45" w:right="0"/>
              <w:jc w:val="left"/>
              <w:rPr>
                <w:rFonts w:ascii="Times New Roman" w:hAnsi="Times New Roman" w:cs="Times New Roman" w:eastAsia="Times New Roman" w:hint="default"/>
                <w:sz w:val="18"/>
                <w:szCs w:val="18"/>
              </w:rPr>
            </w:pPr>
            <w:r>
              <w:rPr>
                <w:rFonts w:ascii="Times New Roman"/>
                <w:sz w:val="18"/>
              </w:rPr>
              <w:t>36,882,49</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0.65</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1"/>
              <w:jc w:val="right"/>
              <w:rPr>
                <w:rFonts w:ascii="Times New Roman" w:hAnsi="Times New Roman" w:cs="Times New Roman" w:eastAsia="Times New Roman" w:hint="default"/>
                <w:sz w:val="18"/>
                <w:szCs w:val="18"/>
              </w:rPr>
            </w:pPr>
            <w:r>
              <w:rPr>
                <w:rFonts w:ascii="Times New Roman"/>
                <w:spacing w:val="-1"/>
                <w:sz w:val="18"/>
              </w:rPr>
              <w:t>8,562,034</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45" w:right="0"/>
              <w:jc w:val="left"/>
              <w:rPr>
                <w:rFonts w:ascii="Times New Roman" w:hAnsi="Times New Roman" w:cs="Times New Roman" w:eastAsia="Times New Roman" w:hint="default"/>
                <w:sz w:val="18"/>
                <w:szCs w:val="18"/>
              </w:rPr>
            </w:pPr>
            <w:r>
              <w:rPr>
                <w:rFonts w:ascii="Times New Roman"/>
                <w:sz w:val="18"/>
              </w:rPr>
              <w:t>23,924,93</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3.06</w:t>
            </w:r>
          </w:p>
        </w:tc>
        <w:tc>
          <w:tcPr>
            <w:tcW w:w="79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45" w:right="0"/>
              <w:jc w:val="left"/>
              <w:rPr>
                <w:rFonts w:ascii="Times New Roman" w:hAnsi="Times New Roman" w:cs="Times New Roman" w:eastAsia="Times New Roman" w:hint="default"/>
                <w:sz w:val="18"/>
                <w:szCs w:val="18"/>
              </w:rPr>
            </w:pPr>
            <w:r>
              <w:rPr>
                <w:rFonts w:ascii="Times New Roman"/>
                <w:sz w:val="18"/>
              </w:rPr>
              <w:t>21,519,59</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2.03</w:t>
            </w:r>
          </w:p>
        </w:tc>
        <w:tc>
          <w:tcPr>
            <w:tcW w:w="797"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355" w:hRule="exact"/>
        </w:trPr>
        <w:tc>
          <w:tcPr>
            <w:tcW w:w="79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9"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0"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799"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c>
          <w:tcPr>
            <w:tcW w:w="800" w:type="dxa"/>
            <w:tcBorders>
              <w:top w:val="nil" w:sz="6" w:space="0" w:color="auto"/>
              <w:left w:val="single" w:sz="4" w:space="0" w:color="000000"/>
              <w:bottom w:val="single" w:sz="4" w:space="0" w:color="000000"/>
              <w:right w:val="single" w:sz="4" w:space="0" w:color="000000"/>
            </w:tcBorders>
          </w:tcPr>
          <w:p>
            <w:pPr/>
          </w:p>
        </w:tc>
        <w:tc>
          <w:tcPr>
            <w:tcW w:w="797" w:type="dxa"/>
            <w:tcBorders>
              <w:top w:val="nil" w:sz="6" w:space="0" w:color="auto"/>
              <w:left w:val="single" w:sz="4" w:space="0" w:color="000000"/>
              <w:bottom w:val="single" w:sz="4" w:space="0" w:color="000000"/>
              <w:right w:val="single" w:sz="4" w:space="0" w:color="000000"/>
            </w:tcBorders>
          </w:tcPr>
          <w:p>
            <w:pPr/>
          </w:p>
        </w:tc>
      </w:tr>
      <w:tr>
        <w:trPr>
          <w:trHeight w:val="403"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北京足迹</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9"/>
              <w:jc w:val="right"/>
              <w:rPr>
                <w:rFonts w:ascii="Times New Roman" w:hAnsi="Times New Roman" w:cs="Times New Roman" w:eastAsia="Times New Roman" w:hint="default"/>
                <w:sz w:val="18"/>
                <w:szCs w:val="18"/>
              </w:rPr>
            </w:pPr>
            <w:r>
              <w:rPr>
                <w:rFonts w:ascii="Times New Roman"/>
                <w:spacing w:val="-1"/>
                <w:sz w:val="18"/>
              </w:rPr>
              <w:t>101,493.1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-740.75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22"/>
              <w:jc w:val="right"/>
              <w:rPr>
                <w:rFonts w:ascii="Times New Roman" w:hAnsi="Times New Roman" w:cs="Times New Roman" w:eastAsia="Times New Roman" w:hint="default"/>
                <w:sz w:val="18"/>
                <w:szCs w:val="18"/>
              </w:rPr>
            </w:pPr>
            <w:r>
              <w:rPr>
                <w:rFonts w:ascii="Times New Roman"/>
                <w:spacing w:val="-1"/>
                <w:sz w:val="18"/>
              </w:rPr>
              <w:t>100,752.3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19"/>
              <w:jc w:val="right"/>
              <w:rPr>
                <w:rFonts w:ascii="Times New Roman" w:hAnsi="Times New Roman" w:cs="Times New Roman" w:eastAsia="Times New Roman" w:hint="default"/>
                <w:sz w:val="18"/>
                <w:szCs w:val="18"/>
              </w:rPr>
            </w:pPr>
            <w:r>
              <w:rPr>
                <w:rFonts w:ascii="Times New Roman"/>
                <w:spacing w:val="-1"/>
                <w:sz w:val="18"/>
              </w:rPr>
              <w:t>1,853,460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800"/>
        <w:gridCol w:w="797"/>
      </w:tblGrid>
      <w:tr>
        <w:trPr>
          <w:trHeight w:val="67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4" w:right="41"/>
              <w:jc w:val="left"/>
              <w:rPr>
                <w:rFonts w:ascii="宋体" w:hAnsi="宋体" w:cs="宋体" w:eastAsia="宋体" w:hint="default"/>
                <w:sz w:val="18"/>
                <w:szCs w:val="18"/>
              </w:rPr>
            </w:pPr>
            <w:r>
              <w:rPr>
                <w:rFonts w:ascii="宋体" w:hAnsi="宋体" w:cs="宋体" w:eastAsia="宋体" w:hint="default"/>
                <w:sz w:val="18"/>
                <w:szCs w:val="18"/>
              </w:rPr>
              <w:t>虎科技有 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0"/>
              <w:jc w:val="right"/>
              <w:rPr>
                <w:rFonts w:ascii="Times New Roman" w:hAnsi="Times New Roman" w:cs="Times New Roman" w:eastAsia="Times New Roman" w:hint="default"/>
                <w:sz w:val="18"/>
                <w:szCs w:val="18"/>
              </w:rPr>
            </w:pPr>
            <w:r>
              <w:rPr>
                <w:rFonts w:ascii="Times New Roman"/>
                <w:sz w:val="18"/>
              </w:rPr>
              <w:t>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9"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23"/>
              <w:jc w:val="right"/>
              <w:rPr>
                <w:rFonts w:ascii="Times New Roman" w:hAnsi="Times New Roman" w:cs="Times New Roman" w:eastAsia="Times New Roman" w:hint="default"/>
                <w:sz w:val="18"/>
                <w:szCs w:val="18"/>
              </w:rPr>
            </w:pPr>
            <w:r>
              <w:rPr>
                <w:rFonts w:ascii="Times New Roman"/>
                <w:sz w:val="18"/>
              </w:rPr>
              <w:t>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z w:val="18"/>
              </w:rPr>
              <w:t>.29</w:t>
            </w: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北京蜂云 科创信息 技术有限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-561,449.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1,438,550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嘉兴四维 智城信息 科技有限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2,398,028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.86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3,286.10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2,401,314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.96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北京图新 数聚科技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-337,873.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2,662,126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天盛投资 管理有限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1,440,000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62,504.13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1,502,504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4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互联基金 管理中心</w:t>
            </w:r>
          </w:p>
          <w:p>
            <w:pPr>
              <w:pStyle w:val="TableParagraph"/>
              <w:spacing w:line="319" w:lineRule="auto" w:before="19"/>
              <w:ind w:left="24" w:right="41"/>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-440,066.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39,559,93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pacing w:val="-8"/>
                <w:sz w:val="18"/>
              </w:rPr>
              <w:t>SIWAY</w:t>
            </w:r>
          </w:p>
          <w:p>
            <w:pPr>
              <w:pStyle w:val="TableParagraph"/>
              <w:spacing w:line="362" w:lineRule="auto" w:before="105"/>
              <w:ind w:left="24" w:right="51"/>
              <w:jc w:val="left"/>
              <w:rPr>
                <w:rFonts w:ascii="Times New Roman" w:hAnsi="Times New Roman" w:cs="Times New Roman" w:eastAsia="Times New Roman" w:hint="default"/>
                <w:sz w:val="18"/>
                <w:szCs w:val="18"/>
              </w:rPr>
            </w:pPr>
            <w:r>
              <w:rPr>
                <w:rFonts w:ascii="Times New Roman" w:hAnsi="Times New Roman"/>
                <w:sz w:val="18"/>
              </w:rPr>
              <w:t>Coöperati ef</w:t>
            </w:r>
            <w:r>
              <w:rPr>
                <w:rFonts w:ascii="Times New Roman" w:hAnsi="Times New Roman"/>
                <w:spacing w:val="-5"/>
                <w:sz w:val="18"/>
              </w:rPr>
              <w:t> </w:t>
            </w:r>
            <w:r>
              <w:rPr>
                <w:rFonts w:ascii="Times New Roman" w:hAnsi="Times New Roman"/>
                <w:sz w:val="18"/>
              </w:rPr>
              <w:t>U.A.</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41,382,01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2.63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41,440,00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7,287,694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23,924,93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3.06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69,184,77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3.62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1,853,460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.29</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41,400,41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8.46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57,835,91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4,473,110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23,924,93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3.06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2,981,594</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.17</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82,766,10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1,853,460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.29</w:t>
            </w:r>
          </w:p>
        </w:tc>
      </w:tr>
    </w:tbl>
    <w:p>
      <w:pPr>
        <w:pStyle w:val="BodyText"/>
        <w:spacing w:line="240" w:lineRule="auto" w:before="49"/>
        <w:ind w:right="0"/>
        <w:jc w:val="left"/>
      </w:pPr>
      <w:r>
        <w:rPr/>
        <w:t>其他说明</w:t>
      </w:r>
    </w:p>
    <w:p>
      <w:pPr>
        <w:spacing w:line="240" w:lineRule="auto" w:before="10"/>
        <w:rPr>
          <w:rFonts w:ascii="宋体" w:hAnsi="宋体" w:cs="宋体" w:eastAsia="宋体" w:hint="default"/>
          <w:sz w:val="17"/>
          <w:szCs w:val="17"/>
        </w:rPr>
      </w:pPr>
    </w:p>
    <w:p>
      <w:pPr>
        <w:pStyle w:val="BodyText"/>
        <w:spacing w:line="300" w:lineRule="auto"/>
        <w:ind w:right="152" w:firstLine="360"/>
        <w:jc w:val="both"/>
      </w:pPr>
      <w:r>
        <w:rPr/>
        <w:t>注</w:t>
      </w:r>
      <w:r>
        <w:rPr>
          <w:rFonts w:ascii="Times New Roman" w:hAnsi="Times New Roman" w:cs="Times New Roman" w:eastAsia="Times New Roman" w:hint="default"/>
        </w:rPr>
        <w:t>1</w:t>
      </w:r>
      <w:r>
        <w:rPr/>
        <w:t>：图新数聚科技有限公司（以下简称“图新数聚”）原为本公司之控股子公司，本报告期因第三方增资，导致本公 </w:t>
      </w:r>
      <w:r>
        <w:rPr>
          <w:spacing w:val="-3"/>
        </w:rPr>
        <w:t>司丧失对图新数聚的控制权，但仍保留重大影响，自</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1</w:t>
      </w:r>
      <w:r>
        <w:rPr>
          <w:spacing w:val="-3"/>
        </w:rPr>
        <w:t>日工商变更完成之日起，不再纳入本集团之合并报表范围，</w:t>
      </w:r>
      <w:r>
        <w:rPr/>
        <w:t> 相应增加本集团之长期股权投资，并进行权益法核算。</w:t>
      </w:r>
    </w:p>
    <w:p>
      <w:pPr>
        <w:spacing w:line="240" w:lineRule="auto" w:before="12"/>
        <w:rPr>
          <w:rFonts w:ascii="宋体" w:hAnsi="宋体" w:cs="宋体" w:eastAsia="宋体" w:hint="default"/>
          <w:sz w:val="10"/>
          <w:szCs w:val="10"/>
        </w:rPr>
      </w:pPr>
    </w:p>
    <w:p>
      <w:pPr>
        <w:pStyle w:val="BodyText"/>
        <w:spacing w:line="240" w:lineRule="auto" w:before="44"/>
        <w:ind w:left="513" w:right="0"/>
        <w:jc w:val="left"/>
      </w:pPr>
      <w:r>
        <w:rPr/>
        <w:t>注</w:t>
      </w:r>
      <w:r>
        <w:rPr>
          <w:rFonts w:ascii="Times New Roman" w:hAnsi="Times New Roman" w:cs="Times New Roman" w:eastAsia="Times New Roman" w:hint="default"/>
          <w:spacing w:val="1"/>
        </w:rPr>
        <w:t>2</w:t>
      </w:r>
      <w:r>
        <w:rPr>
          <w:spacing w:val="-53"/>
        </w:rPr>
        <w:t>：</w:t>
      </w:r>
      <w:r>
        <w:rPr/>
        <w:t>北京图新瀚和科技有限公司成立于</w:t>
      </w:r>
      <w:r>
        <w:rPr>
          <w:rFonts w:ascii="Times New Roman" w:hAnsi="Times New Roman" w:cs="Times New Roman" w:eastAsia="Times New Roman" w:hint="default"/>
          <w:spacing w:val="1"/>
        </w:rPr>
        <w:t>20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7</w:t>
      </w:r>
      <w:r>
        <w:rPr/>
        <w:t>年</w:t>
      </w:r>
      <w:r>
        <w:rPr>
          <w:rFonts w:ascii="Times New Roman" w:hAnsi="Times New Roman" w:cs="Times New Roman" w:eastAsia="Times New Roman" w:hint="default"/>
          <w:spacing w:val="1"/>
        </w:rPr>
        <w:t>5</w:t>
      </w:r>
      <w:r>
        <w:rPr/>
        <w:t>月</w:t>
      </w:r>
      <w:r>
        <w:rPr>
          <w:spacing w:val="-53"/>
        </w:rPr>
        <w:t>，</w:t>
      </w:r>
      <w:r>
        <w:rPr/>
        <w:t>系由本</w:t>
      </w:r>
      <w:r>
        <w:rPr>
          <w:spacing w:val="-3"/>
        </w:rPr>
        <w:t>公</w:t>
      </w:r>
      <w:r>
        <w:rPr/>
        <w:t>司和</w:t>
      </w:r>
      <w:r>
        <w:rPr>
          <w:rFonts w:ascii="Times New Roman" w:hAnsi="Times New Roman" w:cs="Times New Roman" w:eastAsia="Times New Roman" w:hint="default"/>
        </w:rPr>
        <w:t>HERE</w:t>
      </w:r>
      <w:r>
        <w:rPr>
          <w:rFonts w:ascii="Times New Roman" w:hAnsi="Times New Roman" w:cs="Times New Roman" w:eastAsia="Times New Roman" w:hint="default"/>
          <w:spacing w:val="-9"/>
        </w:rPr>
        <w:t> </w:t>
      </w:r>
      <w:r>
        <w:rPr>
          <w:rFonts w:ascii="Times New Roman" w:hAnsi="Times New Roman" w:cs="Times New Roman" w:eastAsia="Times New Roman" w:hint="default"/>
          <w:w w:val="99"/>
        </w:rPr>
        <w:t>S</w:t>
      </w:r>
      <w:r>
        <w:rPr>
          <w:rFonts w:ascii="Times New Roman" w:hAnsi="Times New Roman" w:cs="Times New Roman" w:eastAsia="Times New Roman" w:hint="default"/>
          <w:spacing w:val="1"/>
        </w:rPr>
        <w:t>o</w:t>
      </w:r>
      <w:r>
        <w:rPr>
          <w:rFonts w:ascii="Times New Roman" w:hAnsi="Times New Roman" w:cs="Times New Roman" w:eastAsia="Times New Roman" w:hint="default"/>
          <w:spacing w:val="-2"/>
        </w:rPr>
        <w:t>l</w:t>
      </w:r>
      <w:r>
        <w:rPr>
          <w:rFonts w:ascii="Times New Roman" w:hAnsi="Times New Roman" w:cs="Times New Roman" w:eastAsia="Times New Roman" w:hint="default"/>
          <w:spacing w:val="1"/>
        </w:rPr>
        <w:t>u</w:t>
      </w:r>
      <w:r>
        <w:rPr>
          <w:rFonts w:ascii="Times New Roman" w:hAnsi="Times New Roman" w:cs="Times New Roman" w:eastAsia="Times New Roman" w:hint="default"/>
        </w:rPr>
        <w:t>ti</w:t>
      </w:r>
      <w:r>
        <w:rPr>
          <w:rFonts w:ascii="Times New Roman" w:hAnsi="Times New Roman" w:cs="Times New Roman" w:eastAsia="Times New Roman" w:hint="default"/>
          <w:spacing w:val="-2"/>
        </w:rPr>
        <w:t>o</w:t>
      </w:r>
      <w:r>
        <w:rPr>
          <w:rFonts w:ascii="Times New Roman" w:hAnsi="Times New Roman" w:cs="Times New Roman" w:eastAsia="Times New Roman" w:hint="default"/>
          <w:spacing w:val="1"/>
        </w:rPr>
        <w:t>n</w:t>
      </w:r>
      <w:r>
        <w:rPr>
          <w:rFonts w:ascii="Times New Roman" w:hAnsi="Times New Roman" w:cs="Times New Roman" w:eastAsia="Times New Roman" w:hint="default"/>
          <w:w w:val="99"/>
        </w:rPr>
        <w:t>s</w:t>
      </w:r>
      <w:r>
        <w:rPr>
          <w:rFonts w:ascii="Times New Roman" w:hAnsi="Times New Roman" w:cs="Times New Roman" w:eastAsia="Times New Roman" w:hint="default"/>
          <w:spacing w:val="-10"/>
        </w:rPr>
        <w:t> </w:t>
      </w:r>
      <w:r>
        <w:rPr>
          <w:rFonts w:ascii="Times New Roman" w:hAnsi="Times New Roman" w:cs="Times New Roman" w:eastAsia="Times New Roman" w:hint="default"/>
          <w:w w:val="99"/>
        </w:rPr>
        <w:t>S</w:t>
      </w:r>
      <w:r>
        <w:rPr>
          <w:rFonts w:ascii="Times New Roman" w:hAnsi="Times New Roman" w:cs="Times New Roman" w:eastAsia="Times New Roman" w:hint="default"/>
          <w:spacing w:val="-2"/>
        </w:rPr>
        <w:t>i</w:t>
      </w:r>
      <w:r>
        <w:rPr>
          <w:rFonts w:ascii="Times New Roman" w:hAnsi="Times New Roman" w:cs="Times New Roman" w:eastAsia="Times New Roman" w:hint="default"/>
          <w:spacing w:val="1"/>
        </w:rPr>
        <w:t>n</w:t>
      </w:r>
      <w:r>
        <w:rPr>
          <w:rFonts w:ascii="Times New Roman" w:hAnsi="Times New Roman" w:cs="Times New Roman" w:eastAsia="Times New Roman" w:hint="default"/>
          <w:spacing w:val="-2"/>
        </w:rPr>
        <w:t>g</w:t>
      </w:r>
      <w:r>
        <w:rPr>
          <w:rFonts w:ascii="Times New Roman" w:hAnsi="Times New Roman" w:cs="Times New Roman" w:eastAsia="Times New Roman" w:hint="default"/>
          <w:spacing w:val="-1"/>
        </w:rPr>
        <w:t>a</w:t>
      </w:r>
      <w:r>
        <w:rPr>
          <w:rFonts w:ascii="Times New Roman" w:hAnsi="Times New Roman" w:cs="Times New Roman" w:eastAsia="Times New Roman" w:hint="default"/>
          <w:spacing w:val="1"/>
        </w:rPr>
        <w:t>po</w:t>
      </w:r>
      <w:r>
        <w:rPr>
          <w:rFonts w:ascii="Times New Roman" w:hAnsi="Times New Roman" w:cs="Times New Roman" w:eastAsia="Times New Roman" w:hint="default"/>
        </w:rPr>
        <w:t>re</w:t>
      </w:r>
      <w:r>
        <w:rPr>
          <w:rFonts w:ascii="Times New Roman" w:hAnsi="Times New Roman" w:cs="Times New Roman" w:eastAsia="Times New Roman" w:hint="default"/>
          <w:spacing w:val="-13"/>
        </w:rPr>
        <w:t> </w:t>
      </w:r>
      <w:r>
        <w:rPr>
          <w:rFonts w:ascii="Times New Roman" w:hAnsi="Times New Roman" w:cs="Times New Roman" w:eastAsia="Times New Roman" w:hint="default"/>
          <w:w w:val="99"/>
        </w:rPr>
        <w:t>P</w:t>
      </w:r>
      <w:r>
        <w:rPr>
          <w:rFonts w:ascii="Times New Roman" w:hAnsi="Times New Roman" w:cs="Times New Roman" w:eastAsia="Times New Roman" w:hint="default"/>
        </w:rPr>
        <w:t>te.</w:t>
      </w:r>
      <w:r>
        <w:rPr>
          <w:rFonts w:ascii="Times New Roman" w:hAnsi="Times New Roman" w:cs="Times New Roman" w:eastAsia="Times New Roman" w:hint="default"/>
          <w:spacing w:val="-9"/>
        </w:rPr>
        <w:t> </w:t>
      </w:r>
      <w:r>
        <w:rPr>
          <w:rFonts w:ascii="Times New Roman" w:hAnsi="Times New Roman" w:cs="Times New Roman" w:eastAsia="Times New Roman" w:hint="default"/>
          <w:spacing w:val="-2"/>
        </w:rPr>
        <w:t>L</w:t>
      </w:r>
      <w:r>
        <w:rPr>
          <w:rFonts w:ascii="Times New Roman" w:hAnsi="Times New Roman" w:cs="Times New Roman" w:eastAsia="Times New Roman" w:hint="default"/>
        </w:rPr>
        <w:t>t</w:t>
      </w:r>
      <w:r>
        <w:rPr>
          <w:rFonts w:ascii="Times New Roman" w:hAnsi="Times New Roman" w:cs="Times New Roman" w:eastAsia="Times New Roman" w:hint="default"/>
          <w:spacing w:val="-5"/>
        </w:rPr>
        <w:t>d</w:t>
      </w:r>
      <w:r>
        <w:rPr>
          <w:spacing w:val="-175"/>
        </w:rPr>
        <w:t>（</w:t>
      </w:r>
      <w:r>
        <w:rPr>
          <w:rFonts w:ascii="Times New Roman" w:hAnsi="Times New Roman" w:cs="Times New Roman" w:eastAsia="Times New Roman" w:hint="default"/>
        </w:rPr>
        <w:t>.  </w:t>
      </w:r>
      <w:r>
        <w:rPr>
          <w:rFonts w:ascii="Times New Roman" w:hAnsi="Times New Roman" w:cs="Times New Roman" w:eastAsia="Times New Roman" w:hint="default"/>
          <w:spacing w:val="-6"/>
        </w:rPr>
        <w:t> </w:t>
      </w:r>
      <w:r>
        <w:rPr/>
        <w:t>以下简称</w:t>
      </w:r>
      <w:r>
        <w:rPr>
          <w:spacing w:val="-18"/>
        </w:rPr>
        <w:t> </w:t>
      </w:r>
      <w:r>
        <w:rPr>
          <w:rFonts w:ascii="Times New Roman" w:hAnsi="Times New Roman" w:cs="Times New Roman" w:eastAsia="Times New Roman" w:hint="default"/>
        </w:rPr>
        <w:t>HERE</w:t>
      </w:r>
      <w:r>
        <w:rPr/>
        <w:t>）</w:t>
      </w:r>
    </w:p>
    <w:p>
      <w:pPr>
        <w:pStyle w:val="BodyText"/>
        <w:spacing w:line="300" w:lineRule="auto" w:before="63"/>
        <w:ind w:right="0"/>
        <w:jc w:val="left"/>
      </w:pPr>
      <w:r>
        <w:rPr/>
        <w:t>共同出资设立，注册资本</w:t>
      </w:r>
      <w:r>
        <w:rPr>
          <w:rFonts w:ascii="Times New Roman" w:hAnsi="Times New Roman" w:cs="Times New Roman" w:eastAsia="Times New Roman" w:hint="default"/>
        </w:rPr>
        <w:t>420</w:t>
      </w:r>
      <w:r>
        <w:rPr/>
        <w:t>万欧元，本公司和</w:t>
      </w:r>
      <w:r>
        <w:rPr>
          <w:rFonts w:ascii="Times New Roman" w:hAnsi="Times New Roman" w:cs="Times New Roman" w:eastAsia="Times New Roman" w:hint="default"/>
        </w:rPr>
        <w:t>HERE</w:t>
      </w:r>
      <w:r>
        <w:rPr/>
        <w:t>分别认缴出资</w:t>
      </w:r>
      <w:r>
        <w:rPr>
          <w:rFonts w:ascii="Times New Roman" w:hAnsi="Times New Roman" w:cs="Times New Roman" w:eastAsia="Times New Roman" w:hint="default"/>
        </w:rPr>
        <w:t>210</w:t>
      </w:r>
      <w:r>
        <w:rPr/>
        <w:t>万欧元，持股</w:t>
      </w:r>
      <w:r>
        <w:rPr>
          <w:rFonts w:ascii="Times New Roman" w:hAnsi="Times New Roman" w:cs="Times New Roman" w:eastAsia="Times New Roman" w:hint="default"/>
        </w:rPr>
        <w:t>50%</w:t>
      </w: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日，本公司实</w:t>
      </w:r>
      <w:r>
        <w:rPr>
          <w:spacing w:val="-77"/>
        </w:rPr>
        <w:t> </w:t>
      </w:r>
      <w:r>
        <w:rPr/>
        <w:t>际缴付出资</w:t>
      </w:r>
      <w:r>
        <w:rPr>
          <w:rFonts w:ascii="Times New Roman" w:hAnsi="Times New Roman" w:cs="Times New Roman" w:eastAsia="Times New Roman" w:hint="default"/>
        </w:rPr>
        <w:t>210</w:t>
      </w:r>
      <w:r>
        <w:rPr/>
        <w:t>万欧元。主要经营范围：技术咨询、技术服务。</w:t>
      </w:r>
    </w:p>
    <w:p>
      <w:pPr>
        <w:spacing w:line="240" w:lineRule="auto" w:before="12"/>
        <w:rPr>
          <w:rFonts w:ascii="宋体" w:hAnsi="宋体" w:cs="宋体" w:eastAsia="宋体" w:hint="default"/>
          <w:sz w:val="12"/>
          <w:szCs w:val="12"/>
        </w:rPr>
      </w:pPr>
    </w:p>
    <w:p>
      <w:pPr>
        <w:pStyle w:val="BodyText"/>
        <w:spacing w:line="312" w:lineRule="auto"/>
        <w:ind w:right="149" w:firstLine="360"/>
        <w:jc w:val="both"/>
      </w:pPr>
      <w:r>
        <w:rPr/>
        <w:t>注</w:t>
      </w:r>
      <w:r>
        <w:rPr>
          <w:rFonts w:ascii="Times New Roman" w:hAnsi="Times New Roman" w:cs="Times New Roman" w:eastAsia="Times New Roman" w:hint="default"/>
        </w:rPr>
        <w:t>3</w:t>
      </w:r>
      <w:r>
        <w:rPr/>
        <w:t>：北京四维互联基金管理中心（有限合伙）（以下简称“四维互联基金”）系本公司与北京市经济和信息化委员会 </w:t>
      </w:r>
      <w:r>
        <w:rPr>
          <w:spacing w:val="-2"/>
        </w:rPr>
        <w:t>经济技术市场发展中心、深圳市红塔资产管理有限公司（以下简称“红塔资产”）及北京金盛博基资产管理有限公司作为有</w:t>
      </w:r>
      <w:r>
        <w:rPr>
          <w:spacing w:val="-65"/>
        </w:rPr>
        <w:t> </w:t>
      </w:r>
      <w:r>
        <w:rPr>
          <w:spacing w:val="-65"/>
        </w:rPr>
      </w:r>
      <w:r>
        <w:rPr/>
        <w:t>限合伙人，北京四维天盛投资管理有限公司作为普通合伙人联合出资设立，基金总规模</w:t>
      </w:r>
      <w:r>
        <w:rPr>
          <w:rFonts w:ascii="宋体" w:hAnsi="宋体" w:cs="宋体" w:eastAsia="宋体" w:hint="default"/>
        </w:rPr>
        <w:t>100,000</w:t>
      </w:r>
      <w:r>
        <w:rPr/>
        <w:t>万元。其中本公司出资比例</w:t>
      </w:r>
      <w:r>
        <w:rPr>
          <w:spacing w:val="-85"/>
        </w:rPr>
        <w:t> </w:t>
      </w:r>
      <w:r>
        <w:rPr>
          <w:spacing w:val="-2"/>
        </w:rPr>
        <w:t>为总出资额的</w:t>
      </w:r>
      <w:r>
        <w:rPr>
          <w:rFonts w:ascii="宋体" w:hAnsi="宋体" w:cs="宋体" w:eastAsia="宋体" w:hint="default"/>
          <w:spacing w:val="-2"/>
        </w:rPr>
        <w:t>10%</w:t>
      </w:r>
      <w:r>
        <w:rPr>
          <w:spacing w:val="-2"/>
        </w:rPr>
        <w:t>，认缴出资金额</w:t>
      </w:r>
      <w:r>
        <w:rPr>
          <w:rFonts w:ascii="宋体" w:hAnsi="宋体" w:cs="宋体" w:eastAsia="宋体" w:hint="default"/>
          <w:spacing w:val="-2"/>
        </w:rPr>
        <w:t>10,000</w:t>
      </w:r>
      <w:r>
        <w:rPr>
          <w:spacing w:val="-2"/>
        </w:rPr>
        <w:t>万元，截至</w:t>
      </w:r>
      <w:r>
        <w:rPr>
          <w:rFonts w:ascii="宋体" w:hAnsi="宋体" w:cs="宋体" w:eastAsia="宋体" w:hint="default"/>
          <w:spacing w:val="-2"/>
        </w:rPr>
        <w:t>2017</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31</w:t>
      </w:r>
      <w:r>
        <w:rPr>
          <w:spacing w:val="-2"/>
        </w:rPr>
        <w:t>，本公司实际缴付出资</w:t>
      </w:r>
      <w:r>
        <w:rPr>
          <w:rFonts w:ascii="宋体" w:hAnsi="宋体" w:cs="宋体" w:eastAsia="宋体" w:hint="default"/>
          <w:spacing w:val="-2"/>
        </w:rPr>
        <w:t>4,000</w:t>
      </w:r>
      <w:r>
        <w:rPr>
          <w:spacing w:val="-2"/>
        </w:rPr>
        <w:t>万元。根据本公司与红塔资产</w:t>
      </w:r>
    </w:p>
    <w:p>
      <w:pPr>
        <w:spacing w:after="0" w:line="312" w:lineRule="auto"/>
        <w:jc w:val="both"/>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319" w:lineRule="auto" w:before="44"/>
        <w:ind w:right="150"/>
        <w:jc w:val="both"/>
        <w:rPr>
          <w:rFonts w:ascii="宋体" w:hAnsi="宋体" w:cs="宋体" w:eastAsia="宋体" w:hint="default"/>
        </w:rPr>
      </w:pPr>
      <w:r>
        <w:rPr/>
        <w:t>签署的《差额补足及回购协议》，本公司将对红塔资产在四维互联基金的合伙份额承担不超过</w:t>
      </w:r>
      <w:r>
        <w:rPr>
          <w:rFonts w:ascii="宋体" w:hAnsi="宋体" w:cs="宋体" w:eastAsia="宋体" w:hint="default"/>
        </w:rPr>
        <w:t>9</w:t>
      </w:r>
      <w:r>
        <w:rPr/>
        <w:t>亿元人民币的差额补足及到</w:t>
      </w:r>
      <w:r>
        <w:rPr>
          <w:spacing w:val="-83"/>
        </w:rPr>
        <w:t> </w:t>
      </w:r>
      <w:r>
        <w:rPr>
          <w:spacing w:val="-2"/>
        </w:rPr>
        <w:t>期回购义务，此事宜属于实质意义上的担保行为。鉴于以上原因，本公司实际应享有原归属于红塔基金的四维互联基金之净</w:t>
      </w:r>
      <w:r>
        <w:rPr>
          <w:spacing w:val="-63"/>
        </w:rPr>
        <w:t> </w:t>
      </w:r>
      <w:r>
        <w:rPr>
          <w:spacing w:val="-63"/>
        </w:rPr>
      </w:r>
      <w:r>
        <w:rPr/>
        <w:t>资产份额；但实质上，本公司对四维互联基金无法达到控制，按照权益法对此部分长期股权投资进行核算。</w:t>
      </w:r>
      <w:r>
        <w:rPr>
          <w:rFonts w:ascii="宋体" w:hAnsi="宋体" w:cs="宋体" w:eastAsia="宋体" w:hint="default"/>
        </w:rPr>
        <w:t> </w:t>
      </w:r>
    </w:p>
    <w:p>
      <w:pPr>
        <w:spacing w:line="240" w:lineRule="auto" w:before="9"/>
        <w:rPr>
          <w:rFonts w:ascii="宋体" w:hAnsi="宋体" w:cs="宋体" w:eastAsia="宋体" w:hint="default"/>
          <w:sz w:val="22"/>
          <w:szCs w:val="22"/>
        </w:rPr>
      </w:pPr>
    </w:p>
    <w:p>
      <w:pPr>
        <w:pStyle w:val="Heading5"/>
        <w:spacing w:line="240" w:lineRule="auto"/>
        <w:ind w:right="0"/>
        <w:jc w:val="both"/>
        <w:rPr>
          <w:b w:val="0"/>
          <w:bCs w:val="0"/>
        </w:rPr>
      </w:pPr>
      <w:r>
        <w:rPr>
          <w:rFonts w:ascii="Times New Roman" w:hAnsi="Times New Roman" w:cs="Times New Roman" w:eastAsia="Times New Roman" w:hint="default"/>
        </w:rPr>
        <w:t>18</w:t>
      </w:r>
      <w:r>
        <w:rPr/>
        <w:t>、投资性房地产</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both"/>
        <w:rPr>
          <w:b w:val="0"/>
          <w:bCs w:val="0"/>
        </w:rPr>
      </w:pP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both"/>
        <w:rPr>
          <w:b w:val="0"/>
          <w:bCs w:val="0"/>
        </w:rPr>
      </w:pP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both"/>
        <w:rPr>
          <w:b w:val="0"/>
          <w:bCs w:val="0"/>
        </w:rPr>
      </w:pP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both"/>
        <w:rPr>
          <w:b w:val="0"/>
          <w:bCs w:val="0"/>
        </w:rPr>
      </w:pPr>
      <w:r>
        <w:rPr>
          <w:rFonts w:ascii="Times New Roman" w:hAnsi="Times New Roman" w:cs="Times New Roman" w:eastAsia="Times New Roman" w:hint="default"/>
        </w:rPr>
        <w:t>19</w:t>
      </w:r>
      <w:r>
        <w:rPr/>
        <w:t>、固定资产</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both"/>
        <w:rPr>
          <w:b w:val="0"/>
          <w:bCs w:val="0"/>
        </w:rPr>
      </w:pPr>
      <w:r>
        <w:rPr/>
        <w:t>（</w:t>
      </w:r>
      <w:r>
        <w:rPr>
          <w:rFonts w:ascii="Times New Roman" w:hAnsi="Times New Roman" w:cs="Times New Roman" w:eastAsia="Times New Roman" w:hint="default"/>
        </w:rPr>
        <w:t>1</w:t>
      </w:r>
      <w:r>
        <w:rPr/>
        <w:t>）固定资产情况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9"/>
        <w:gridCol w:w="1366"/>
        <w:gridCol w:w="1368"/>
        <w:gridCol w:w="1369"/>
        <w:gridCol w:w="1366"/>
      </w:tblGrid>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楼宇设备</w:t>
            </w:r>
          </w:p>
        </w:tc>
        <w:tc>
          <w:tcPr>
            <w:tcW w:w="13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其他设备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31,151,354.87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282,834,872.22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48,909,804.69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23,548,388.55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386,444,420.33</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369,906,328.98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127,407,101.00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65,804,120.12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5,055,226.23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3,935,205.92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572,107,982.25</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52,940,647.25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5,055,226.23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2,692,509.21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60,688,382.69</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369,906,328.98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127,407,101.00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497,313,429.98</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12,863,472.87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1,242,696.71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14,106,169.58</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-2,185,042.65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43,090,165.21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4,386,691.71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3,094,636.62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48,386,450.89</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43,841,799.57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4,427,969.34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3,285,637.85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51,555,406.76</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2" w:right="19" w:firstLine="362"/>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）外币报</w:t>
            </w:r>
            <w:r>
              <w:rPr>
                <w:rFonts w:ascii="宋体" w:hAnsi="宋体" w:cs="宋体" w:eastAsia="宋体" w:hint="default"/>
                <w:sz w:val="18"/>
                <w:szCs w:val="18"/>
              </w:rPr>
              <w:t> 表折算差额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-2,185,042.65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-751,634.36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-41,277.63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-191,001.23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-3,168,955.87</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403,242,726.50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127,407,101.00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305,548,827.13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49,578,339.21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24,388,957.85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910,165,951.69</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9"/>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2,217,452.43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191,730,814.38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36,732,274.19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13,324,886.79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244,005,427.79</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8,713,561.21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4,251,587.54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39,640,959.34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4,314,272.61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4,101,952.68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61,022,333.38</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8,713,561.21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4,251,587.54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33,838,799.86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4,314,272.61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3,549,032.58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54,667,253.80</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4" w:right="19" w:firstLine="362"/>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）企业合</w:t>
            </w:r>
            <w:r>
              <w:rPr>
                <w:rFonts w:ascii="宋体" w:hAnsi="宋体" w:cs="宋体" w:eastAsia="宋体" w:hint="default"/>
                <w:sz w:val="18"/>
                <w:szCs w:val="18"/>
              </w:rPr>
              <w:t> 并增加</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5,802,159.48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552,920.10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6,355,079.58</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-134,571.36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36,881,036.09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3,816,696.33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2,015,830.08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42,578,991.13</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37,231,673.19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3,834,102.75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2,105,593.23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43,171,369.17</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19" w:firstLine="360"/>
              <w:jc w:val="left"/>
              <w:rPr>
                <w:rFonts w:ascii="宋体" w:hAnsi="宋体" w:cs="宋体" w:eastAsia="宋体" w:hint="default"/>
                <w:sz w:val="18"/>
                <w:szCs w:val="18"/>
              </w:rPr>
            </w:pPr>
            <w:r>
              <w:rPr>
                <w:rFonts w:ascii="宋体" w:hAnsi="宋体" w:cs="宋体" w:eastAsia="宋体" w:hint="default"/>
                <w:spacing w:val="-7"/>
                <w:sz w:val="18"/>
                <w:szCs w:val="18"/>
              </w:rPr>
              <w:t>（</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）外币报</w:t>
            </w:r>
            <w:r>
              <w:rPr>
                <w:rFonts w:ascii="宋体" w:hAnsi="宋体" w:cs="宋体" w:eastAsia="宋体" w:hint="default"/>
                <w:sz w:val="18"/>
                <w:szCs w:val="18"/>
              </w:rPr>
              <w:t> 表折算差额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-134,571.36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-350,637.10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-17,406.42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-89,763.15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-592,378.03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11,065,585.00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4,251,587.54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194,490,737.64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37,229,850.47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15,411,009.39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262,448,770.04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3,086,748.04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78,324.68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3,165,072.72</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2,891,882.86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2,891,882.86</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2,891,882.86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2,891,882.86</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194,865.18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78,324.68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273,189.86</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392,177,141.50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123,155,513.46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110,863,224.31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12,270,164.06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8,977,948.46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647,443,991.79</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28,933,902.44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88,017,309.80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12,099,205.82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10,223,501.76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139,273,919.82</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）暂时闲置的固定资产情况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t>（</w:t>
      </w:r>
      <w:r>
        <w:rPr>
          <w:rFonts w:ascii="Times New Roman" w:hAnsi="Times New Roman" w:cs="Times New Roman" w:eastAsia="Times New Roman" w:hint="default"/>
        </w:rPr>
        <w:t>3</w:t>
      </w:r>
      <w:r>
        <w:rPr/>
        <w:t>）通过融资租赁租入的固定资产情况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）通过经营租赁租出的固定资产</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t>（</w:t>
      </w:r>
      <w:r>
        <w:rPr>
          <w:rFonts w:ascii="Times New Roman" w:hAnsi="Times New Roman" w:cs="Times New Roman" w:eastAsia="Times New Roman" w:hint="default"/>
        </w:rPr>
        <w:t>5</w:t>
      </w:r>
      <w:r>
        <w:rPr/>
        <w:t>）未办妥产权证书的固定资产情况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835"/>
        <w:gridCol w:w="2696"/>
        <w:gridCol w:w="4040"/>
      </w:tblGrid>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40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115"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355" w:hRule="exact"/>
        </w:trPr>
        <w:tc>
          <w:tcPr>
            <w:tcW w:w="2835" w:type="dxa"/>
            <w:tcBorders>
              <w:top w:val="single" w:sz="4" w:space="0" w:color="000000"/>
              <w:left w:val="single" w:sz="4" w:space="0" w:color="000000"/>
              <w:bottom w:val="nil" w:sz="6" w:space="0" w:color="auto"/>
              <w:right w:val="single" w:sz="4" w:space="0" w:color="000000"/>
            </w:tcBorders>
          </w:tcPr>
          <w:p>
            <w:pPr/>
          </w:p>
        </w:tc>
        <w:tc>
          <w:tcPr>
            <w:tcW w:w="2696" w:type="dxa"/>
            <w:tcBorders>
              <w:top w:val="single" w:sz="4" w:space="0" w:color="000000"/>
              <w:left w:val="single" w:sz="4" w:space="0" w:color="000000"/>
              <w:bottom w:val="nil" w:sz="6" w:space="0" w:color="auto"/>
              <w:right w:val="single" w:sz="4" w:space="0" w:color="000000"/>
            </w:tcBorders>
          </w:tcPr>
          <w:p>
            <w:pPr/>
          </w:p>
        </w:tc>
        <w:tc>
          <w:tcPr>
            <w:tcW w:w="404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公司正在办理协议出让供地手续，因《北京市基准</w:t>
            </w:r>
          </w:p>
        </w:tc>
      </w:tr>
      <w:tr>
        <w:trPr>
          <w:trHeight w:val="317" w:hRule="exact"/>
        </w:trPr>
        <w:tc>
          <w:tcPr>
            <w:tcW w:w="28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永丰基地综合办公大楼</w:t>
            </w:r>
          </w:p>
        </w:tc>
        <w:tc>
          <w:tcPr>
            <w:tcW w:w="269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1536" w:right="0"/>
              <w:jc w:val="left"/>
              <w:rPr>
                <w:rFonts w:ascii="Times New Roman" w:hAnsi="Times New Roman" w:cs="Times New Roman" w:eastAsia="Times New Roman" w:hint="default"/>
                <w:sz w:val="18"/>
                <w:szCs w:val="18"/>
              </w:rPr>
            </w:pPr>
            <w:r>
              <w:rPr>
                <w:rFonts w:ascii="Times New Roman"/>
                <w:sz w:val="18"/>
              </w:rPr>
              <w:t>364,915,359.14</w:t>
            </w:r>
          </w:p>
        </w:tc>
        <w:tc>
          <w:tcPr>
            <w:tcW w:w="404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地价》需要定期调整，目前土地价格正在与相关部</w:t>
            </w:r>
          </w:p>
        </w:tc>
      </w:tr>
      <w:tr>
        <w:trPr>
          <w:trHeight w:val="355" w:hRule="exact"/>
        </w:trPr>
        <w:tc>
          <w:tcPr>
            <w:tcW w:w="2835" w:type="dxa"/>
            <w:tcBorders>
              <w:top w:val="nil" w:sz="6" w:space="0" w:color="auto"/>
              <w:left w:val="single" w:sz="4" w:space="0" w:color="000000"/>
              <w:bottom w:val="single" w:sz="4" w:space="0" w:color="000000"/>
              <w:right w:val="single" w:sz="4" w:space="0" w:color="000000"/>
            </w:tcBorders>
          </w:tcPr>
          <w:p>
            <w:pPr/>
          </w:p>
        </w:tc>
        <w:tc>
          <w:tcPr>
            <w:tcW w:w="2696" w:type="dxa"/>
            <w:tcBorders>
              <w:top w:val="nil" w:sz="6" w:space="0" w:color="auto"/>
              <w:left w:val="single" w:sz="4" w:space="0" w:color="000000"/>
              <w:bottom w:val="single" w:sz="4" w:space="0" w:color="000000"/>
              <w:right w:val="single" w:sz="4" w:space="0" w:color="000000"/>
            </w:tcBorders>
          </w:tcPr>
          <w:p>
            <w:pPr/>
          </w:p>
        </w:tc>
        <w:tc>
          <w:tcPr>
            <w:tcW w:w="404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门协商中，故房屋产权证办理还需一定时间</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20</w:t>
      </w:r>
      <w:r>
        <w:rPr/>
        <w:t>、在建工程</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）在建工程情况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401"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永丰基地综合大 楼项目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626,635,185.76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626,635,185.76</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626,635,185.76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626,635,185.76</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32"/>
        <w:gridCol w:w="737"/>
        <w:gridCol w:w="734"/>
        <w:gridCol w:w="737"/>
        <w:gridCol w:w="737"/>
        <w:gridCol w:w="734"/>
        <w:gridCol w:w="737"/>
        <w:gridCol w:w="737"/>
        <w:gridCol w:w="734"/>
        <w:gridCol w:w="737"/>
        <w:gridCol w:w="737"/>
        <w:gridCol w:w="734"/>
        <w:gridCol w:w="737"/>
      </w:tblGrid>
      <w:tr>
        <w:trPr>
          <w:trHeight w:val="1339"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1" w:right="89" w:hanging="181"/>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89"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93" w:right="92"/>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3"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3" w:right="93"/>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89"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3" w:right="22"/>
              <w:jc w:val="center"/>
              <w:rPr>
                <w:rFonts w:ascii="宋体" w:hAnsi="宋体" w:cs="宋体" w:eastAsia="宋体" w:hint="default"/>
                <w:sz w:val="18"/>
                <w:szCs w:val="18"/>
              </w:rPr>
            </w:pPr>
            <w:r>
              <w:rPr>
                <w:rFonts w:ascii="宋体" w:hAnsi="宋体" w:cs="宋体" w:eastAsia="宋体" w:hint="default"/>
                <w:spacing w:val="-11"/>
                <w:sz w:val="18"/>
                <w:szCs w:val="18"/>
              </w:rPr>
              <w:t>其中：本</w:t>
            </w:r>
            <w:r>
              <w:rPr>
                <w:rFonts w:ascii="宋体" w:hAnsi="宋体" w:cs="宋体" w:eastAsia="宋体" w:hint="default"/>
                <w:sz w:val="18"/>
                <w:szCs w:val="18"/>
              </w:rPr>
              <w:t> 期利息 资本化 金额</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89"/>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3"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r>
        <w:trPr>
          <w:trHeight w:val="354" w:hRule="exact"/>
        </w:trPr>
        <w:tc>
          <w:tcPr>
            <w:tcW w:w="732"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永丰基</w:t>
            </w: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628" w:hRule="exact"/>
        </w:trPr>
        <w:tc>
          <w:tcPr>
            <w:tcW w:w="732" w:type="dxa"/>
            <w:tcBorders>
              <w:top w:val="nil" w:sz="6" w:space="0" w:color="auto"/>
              <w:left w:val="single" w:sz="4" w:space="0" w:color="000000"/>
              <w:bottom w:val="nil" w:sz="6" w:space="0" w:color="auto"/>
              <w:right w:val="single" w:sz="4" w:space="0" w:color="000000"/>
            </w:tcBorders>
          </w:tcPr>
          <w:p>
            <w:pPr>
              <w:pStyle w:val="TableParagraph"/>
              <w:spacing w:line="319" w:lineRule="auto" w:before="9"/>
              <w:ind w:left="24" w:right="156"/>
              <w:jc w:val="left"/>
              <w:rPr>
                <w:rFonts w:ascii="宋体" w:hAnsi="宋体" w:cs="宋体" w:eastAsia="宋体" w:hint="default"/>
                <w:sz w:val="18"/>
                <w:szCs w:val="18"/>
              </w:rPr>
            </w:pPr>
            <w:r>
              <w:rPr>
                <w:rFonts w:ascii="宋体" w:hAnsi="宋体" w:cs="宋体" w:eastAsia="宋体" w:hint="default"/>
                <w:sz w:val="18"/>
                <w:szCs w:val="18"/>
              </w:rPr>
              <w:t>地综合 大楼项</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49" w:right="0"/>
              <w:jc w:val="center"/>
              <w:rPr>
                <w:rFonts w:ascii="Times New Roman" w:hAnsi="Times New Roman" w:cs="Times New Roman" w:eastAsia="Times New Roman" w:hint="default"/>
                <w:sz w:val="18"/>
                <w:szCs w:val="18"/>
              </w:rPr>
            </w:pPr>
            <w:r>
              <w:rPr>
                <w:rFonts w:ascii="Times New Roman"/>
                <w:sz w:val="18"/>
              </w:rPr>
              <w:t>743,400,</w:t>
            </w:r>
          </w:p>
          <w:p>
            <w:pPr>
              <w:pStyle w:val="TableParagraph"/>
              <w:spacing w:line="240" w:lineRule="auto" w:before="103"/>
              <w:ind w:left="185" w:right="0"/>
              <w:jc w:val="center"/>
              <w:rPr>
                <w:rFonts w:ascii="Times New Roman" w:hAnsi="Times New Roman" w:cs="Times New Roman" w:eastAsia="Times New Roman" w:hint="default"/>
                <w:sz w:val="18"/>
                <w:szCs w:val="18"/>
              </w:rPr>
            </w:pPr>
            <w:r>
              <w:rPr>
                <w:rFonts w:ascii="Times New Roman"/>
                <w:sz w:val="18"/>
              </w:rPr>
              <w:t>000.00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51" w:right="0"/>
              <w:jc w:val="center"/>
              <w:rPr>
                <w:rFonts w:ascii="Times New Roman" w:hAnsi="Times New Roman" w:cs="Times New Roman" w:eastAsia="Times New Roman" w:hint="default"/>
                <w:sz w:val="18"/>
                <w:szCs w:val="18"/>
              </w:rPr>
            </w:pPr>
            <w:r>
              <w:rPr>
                <w:rFonts w:ascii="Times New Roman"/>
                <w:sz w:val="18"/>
              </w:rPr>
              <w:t>626,635,</w:t>
            </w:r>
          </w:p>
          <w:p>
            <w:pPr>
              <w:pStyle w:val="TableParagraph"/>
              <w:spacing w:line="240" w:lineRule="auto" w:before="103"/>
              <w:ind w:left="187" w:right="0"/>
              <w:jc w:val="center"/>
              <w:rPr>
                <w:rFonts w:ascii="Times New Roman" w:hAnsi="Times New Roman" w:cs="Times New Roman" w:eastAsia="Times New Roman" w:hint="default"/>
                <w:sz w:val="18"/>
                <w:szCs w:val="18"/>
              </w:rPr>
            </w:pPr>
            <w:r>
              <w:rPr>
                <w:rFonts w:ascii="Times New Roman"/>
                <w:sz w:val="18"/>
              </w:rPr>
              <w:t>185.76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55" w:right="0"/>
              <w:jc w:val="center"/>
              <w:rPr>
                <w:rFonts w:ascii="Times New Roman" w:hAnsi="Times New Roman" w:cs="Times New Roman" w:eastAsia="Times New Roman" w:hint="default"/>
                <w:sz w:val="18"/>
                <w:szCs w:val="18"/>
              </w:rPr>
            </w:pPr>
            <w:r>
              <w:rPr>
                <w:rFonts w:ascii="Times New Roman"/>
                <w:sz w:val="18"/>
              </w:rPr>
              <w:t>116,764,</w:t>
            </w:r>
          </w:p>
          <w:p>
            <w:pPr>
              <w:pStyle w:val="TableParagraph"/>
              <w:spacing w:line="240" w:lineRule="auto" w:before="103"/>
              <w:ind w:left="184" w:right="0"/>
              <w:jc w:val="center"/>
              <w:rPr>
                <w:rFonts w:ascii="Times New Roman" w:hAnsi="Times New Roman" w:cs="Times New Roman" w:eastAsia="Times New Roman" w:hint="default"/>
                <w:sz w:val="18"/>
                <w:szCs w:val="18"/>
              </w:rPr>
            </w:pPr>
            <w:r>
              <w:rPr>
                <w:rFonts w:ascii="Times New Roman"/>
                <w:sz w:val="18"/>
              </w:rPr>
              <w:t>814.24</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48" w:right="0"/>
              <w:jc w:val="center"/>
              <w:rPr>
                <w:rFonts w:ascii="Times New Roman" w:hAnsi="Times New Roman" w:cs="Times New Roman" w:eastAsia="Times New Roman" w:hint="default"/>
                <w:sz w:val="18"/>
                <w:szCs w:val="18"/>
              </w:rPr>
            </w:pPr>
            <w:r>
              <w:rPr>
                <w:rFonts w:ascii="Times New Roman"/>
                <w:sz w:val="18"/>
              </w:rPr>
              <w:t>497,313,</w:t>
            </w:r>
          </w:p>
          <w:p>
            <w:pPr>
              <w:pStyle w:val="TableParagraph"/>
              <w:spacing w:line="240" w:lineRule="auto" w:before="103"/>
              <w:ind w:left="185" w:right="0"/>
              <w:jc w:val="center"/>
              <w:rPr>
                <w:rFonts w:ascii="Times New Roman" w:hAnsi="Times New Roman" w:cs="Times New Roman" w:eastAsia="Times New Roman" w:hint="default"/>
                <w:sz w:val="18"/>
                <w:szCs w:val="18"/>
              </w:rPr>
            </w:pPr>
            <w:r>
              <w:rPr>
                <w:rFonts w:ascii="Times New Roman"/>
                <w:sz w:val="18"/>
              </w:rPr>
              <w:t>429.98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left="51" w:right="0"/>
              <w:jc w:val="center"/>
              <w:rPr>
                <w:rFonts w:ascii="Times New Roman" w:hAnsi="Times New Roman" w:cs="Times New Roman" w:eastAsia="Times New Roman" w:hint="default"/>
                <w:sz w:val="18"/>
                <w:szCs w:val="18"/>
              </w:rPr>
            </w:pPr>
            <w:r>
              <w:rPr>
                <w:rFonts w:ascii="Times New Roman"/>
                <w:sz w:val="18"/>
              </w:rPr>
              <w:t>246,086,</w:t>
            </w:r>
          </w:p>
          <w:p>
            <w:pPr>
              <w:pStyle w:val="TableParagraph"/>
              <w:spacing w:line="240" w:lineRule="auto" w:before="103"/>
              <w:ind w:left="187" w:right="0"/>
              <w:jc w:val="center"/>
              <w:rPr>
                <w:rFonts w:ascii="Times New Roman" w:hAnsi="Times New Roman" w:cs="Times New Roman" w:eastAsia="Times New Roman" w:hint="default"/>
                <w:sz w:val="18"/>
                <w:szCs w:val="18"/>
              </w:rPr>
            </w:pPr>
            <w:r>
              <w:rPr>
                <w:rFonts w:ascii="Times New Roman"/>
                <w:sz w:val="18"/>
              </w:rPr>
              <w:t>570.02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100.00%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74"/>
              <w:jc w:val="right"/>
              <w:rPr>
                <w:rFonts w:ascii="Times New Roman" w:hAnsi="Times New Roman" w:cs="Times New Roman" w:eastAsia="Times New Roman" w:hint="default"/>
                <w:sz w:val="18"/>
                <w:szCs w:val="18"/>
              </w:rPr>
            </w:pPr>
            <w:r>
              <w:rPr>
                <w:rFonts w:ascii="Times New Roman"/>
                <w:sz w:val="18"/>
              </w:rPr>
              <w:t>100%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其他</w:t>
            </w:r>
          </w:p>
        </w:tc>
      </w:tr>
      <w:tr>
        <w:trPr>
          <w:trHeight w:val="355" w:hRule="exact"/>
        </w:trPr>
        <w:tc>
          <w:tcPr>
            <w:tcW w:w="73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4" w:right="0"/>
              <w:jc w:val="left"/>
              <w:rPr>
                <w:rFonts w:ascii="宋体" w:hAnsi="宋体" w:cs="宋体" w:eastAsia="宋体" w:hint="default"/>
                <w:sz w:val="18"/>
                <w:szCs w:val="18"/>
              </w:rPr>
            </w:pPr>
            <w:r>
              <w:rPr>
                <w:rFonts w:ascii="宋体" w:hAnsi="宋体" w:cs="宋体" w:eastAsia="宋体" w:hint="default"/>
                <w:sz w:val="18"/>
                <w:szCs w:val="18"/>
              </w:rPr>
              <w:t>目</w:t>
            </w: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715"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 w:right="0"/>
              <w:jc w:val="center"/>
              <w:rPr>
                <w:rFonts w:ascii="Times New Roman" w:hAnsi="Times New Roman" w:cs="Times New Roman" w:eastAsia="Times New Roman" w:hint="default"/>
                <w:sz w:val="18"/>
                <w:szCs w:val="18"/>
              </w:rPr>
            </w:pPr>
            <w:r>
              <w:rPr>
                <w:rFonts w:ascii="Times New Roman"/>
                <w:sz w:val="18"/>
              </w:rPr>
              <w:t>743,400,</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000.00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626,635,</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185.76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5" w:right="0"/>
              <w:jc w:val="center"/>
              <w:rPr>
                <w:rFonts w:ascii="Times New Roman" w:hAnsi="Times New Roman" w:cs="Times New Roman" w:eastAsia="Times New Roman" w:hint="default"/>
                <w:sz w:val="18"/>
                <w:szCs w:val="18"/>
              </w:rPr>
            </w:pPr>
            <w:r>
              <w:rPr>
                <w:rFonts w:ascii="Times New Roman"/>
                <w:sz w:val="18"/>
              </w:rPr>
              <w:t>116,764,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814.24</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 w:right="0"/>
              <w:jc w:val="center"/>
              <w:rPr>
                <w:rFonts w:ascii="Times New Roman" w:hAnsi="Times New Roman" w:cs="Times New Roman" w:eastAsia="Times New Roman" w:hint="default"/>
                <w:sz w:val="18"/>
                <w:szCs w:val="18"/>
              </w:rPr>
            </w:pPr>
            <w:r>
              <w:rPr>
                <w:rFonts w:ascii="Times New Roman"/>
                <w:sz w:val="18"/>
              </w:rPr>
              <w:t>497,313,</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429.98</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246,086,</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570.02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00"/>
              <w:jc w:val="right"/>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02"/>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）本期计提在建工程减值准备情况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21</w:t>
      </w:r>
      <w:r>
        <w:rPr/>
        <w:t>、工程物资</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22</w:t>
      </w:r>
      <w:r>
        <w:rPr/>
        <w:t>、固定资产清理</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23</w:t>
      </w:r>
      <w:r>
        <w:rPr/>
        <w:t>、生产性生物资产</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rFonts w:ascii="Times New Roman" w:hAnsi="Times New Roman" w:cs="Times New Roman" w:eastAsia="Times New Roman" w:hint="default"/>
        </w:rPr>
        <w:t>24</w:t>
      </w:r>
      <w:r>
        <w:rPr/>
        <w:t>、油气资产</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25</w:t>
      </w:r>
      <w:r>
        <w:rPr/>
        <w:t>、无形资产</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）无形资产情况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6"/>
        <w:gridCol w:w="1369"/>
        <w:gridCol w:w="1366"/>
        <w:gridCol w:w="1368"/>
        <w:gridCol w:w="1369"/>
        <w:gridCol w:w="1366"/>
      </w:tblGrid>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08"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8"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36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112,126,700.79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109,578,378.69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329,785,098.73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9,642,200.30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561,132,378.51</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246,086,570.02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188,787,775.97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72,003,177.23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506,877,523.22</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）购置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246,086,570.02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7,784,011.18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63,141,389.74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317,011,970.94</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）内部</w:t>
            </w:r>
            <w:r>
              <w:rPr>
                <w:rFonts w:ascii="宋体" w:hAnsi="宋体" w:cs="宋体" w:eastAsia="宋体" w:hint="default"/>
                <w:sz w:val="18"/>
                <w:szCs w:val="18"/>
              </w:rPr>
              <w:t> 研发</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7,431,245.15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7,431,245.15</w:t>
            </w:r>
          </w:p>
        </w:tc>
      </w:tr>
      <w:tr>
        <w:trPr>
          <w:trHeight w:val="713"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19"/>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w:t>
            </w:r>
            <w:r>
              <w:rPr>
                <w:rFonts w:ascii="宋体" w:hAnsi="宋体" w:cs="宋体" w:eastAsia="宋体" w:hint="default"/>
                <w:sz w:val="18"/>
                <w:szCs w:val="18"/>
              </w:rPr>
              <w:t> 合并增加</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181,003,764.79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1,430,542.34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182,434,307.13</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4" w:right="115"/>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-203,155.00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28,197,026.28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27,993,871.28</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pacing w:val="-19"/>
                <w:sz w:val="18"/>
                <w:szCs w:val="18"/>
              </w:rPr>
              <w:t> </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37,628,587.83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37,628,587.83</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4" w:right="19" w:firstLine="542"/>
              <w:jc w:val="left"/>
              <w:rPr>
                <w:rFonts w:ascii="宋体" w:hAnsi="宋体" w:cs="宋体" w:eastAsia="宋体" w:hint="default"/>
                <w:sz w:val="18"/>
                <w:szCs w:val="18"/>
              </w:rPr>
            </w:pP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）外币</w:t>
            </w:r>
            <w:r>
              <w:rPr>
                <w:rFonts w:ascii="宋体" w:hAnsi="宋体" w:cs="宋体" w:eastAsia="宋体" w:hint="default"/>
                <w:sz w:val="18"/>
                <w:szCs w:val="18"/>
              </w:rPr>
              <w:t> 报表折算差额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-203,155.00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-9,431,561.55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-9,634,716.55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7"/>
        <w:gridCol w:w="1366"/>
        <w:gridCol w:w="1369"/>
        <w:gridCol w:w="1366"/>
        <w:gridCol w:w="1368"/>
        <w:gridCol w:w="1369"/>
        <w:gridCol w:w="1366"/>
      </w:tblGrid>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246,086,570.02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112,329,855.79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298,366,154.66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373,591,249.68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9,642,200.30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1,040,016,030.45</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49,000,171.08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49,738,612.89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204,603,477.00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9,642,200.30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312,984,461.27</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2"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5,639,483.85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20,985,714.00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26,079,213.18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83,604,676.71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136,309,087.74</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5,639,483.85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20,985,714.00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25,722,245.03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83,507,345.92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135,854,788.80</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2" w:right="19" w:firstLine="182"/>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）企业合并</w:t>
            </w:r>
            <w:r>
              <w:rPr>
                <w:rFonts w:ascii="宋体" w:hAnsi="宋体" w:cs="宋体" w:eastAsia="宋体" w:hint="default"/>
                <w:sz w:val="18"/>
                <w:szCs w:val="18"/>
              </w:rPr>
              <w:t> 增加</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356,968.15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97,330.79</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454,298.94</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-142,208.50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33,115,054.05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32,972,845.55</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4"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37,628,587.83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37,628,587.83</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69" w:firstLine="274"/>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）外币报 表折算差额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-142,208.50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-4,513,533.78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-4,655,742.28</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5,639,483.85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70,128,093.58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75,817,826.07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255,093,099.66</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9,642,200.30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416,320,703.46</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26,635,000.00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26,635,000.00</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26,635,000.00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26,635,000.00</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240,447,086.17</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42,201,762.21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195,913,328.59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118,498,150.02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597,060,326.99</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97" w:lineRule="auto" w:before="51"/>
              <w:ind w:left="22" w:right="115"/>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63,126,529.71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33,204,765.80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125,181,621.73</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221,512,917.24</w:t>
            </w:r>
          </w:p>
        </w:tc>
      </w:tr>
    </w:tbl>
    <w:p>
      <w:pPr>
        <w:pStyle w:val="BodyText"/>
        <w:spacing w:line="240" w:lineRule="auto" w:before="49"/>
        <w:ind w:right="0"/>
        <w:jc w:val="left"/>
      </w:pPr>
      <w:r>
        <w:rPr/>
        <w:t>本期末通过公司内部研发形成的无形资产占无形资产余额的比例</w:t>
      </w:r>
      <w:r>
        <w:rPr>
          <w:spacing w:val="-44"/>
        </w:rPr>
        <w:t> </w:t>
      </w:r>
      <w:r>
        <w:rPr>
          <w:rFonts w:ascii="Times New Roman" w:hAnsi="Times New Roman" w:cs="Times New Roman" w:eastAsia="Times New Roman" w:hint="default"/>
        </w:rPr>
        <w:t>15.56%</w:t>
      </w:r>
      <w:r>
        <w:rPr/>
        <w:t>。</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）未办妥产权证书的土地使用权情况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BodyText"/>
        <w:spacing w:line="240" w:lineRule="auto" w:before="44"/>
        <w:ind w:left="0" w:right="159"/>
        <w:jc w:val="right"/>
      </w:pPr>
      <w:r>
        <w:rPr/>
        <w:pict>
          <v:shape style="position:absolute;margin-left:56.400002pt;margin-top:-20.888323pt;width:479.3pt;height:56.3pt;mso-position-horizontal-relative:page;mso-position-vertical-relative:paragraph;z-index:2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52"/>
                    <w:gridCol w:w="2552"/>
                    <w:gridCol w:w="4467"/>
                  </w:tblGrid>
                  <w:tr>
                    <w:trPr>
                      <w:trHeight w:val="403" w:hRule="exact"/>
                    </w:trPr>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44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2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713" w:hRule="exact"/>
                    </w:trPr>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永丰基地综合办公大楼</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95" w:right="0"/>
                          <w:jc w:val="left"/>
                          <w:rPr>
                            <w:rFonts w:ascii="Times New Roman" w:hAnsi="Times New Roman" w:cs="Times New Roman" w:eastAsia="Times New Roman" w:hint="default"/>
                            <w:sz w:val="18"/>
                            <w:szCs w:val="18"/>
                          </w:rPr>
                        </w:pPr>
                        <w:r>
                          <w:rPr>
                            <w:rFonts w:ascii="Times New Roman"/>
                            <w:sz w:val="18"/>
                          </w:rPr>
                          <w:t>240,447,086.17</w:t>
                        </w:r>
                      </w:p>
                    </w:tc>
                    <w:tc>
                      <w:tcPr>
                        <w:tcW w:w="446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111"/>
                          <w:jc w:val="left"/>
                          <w:rPr>
                            <w:rFonts w:ascii="宋体" w:hAnsi="宋体" w:cs="宋体" w:eastAsia="宋体" w:hint="default"/>
                            <w:sz w:val="18"/>
                            <w:szCs w:val="18"/>
                          </w:rPr>
                        </w:pPr>
                        <w:r>
                          <w:rPr>
                            <w:rFonts w:ascii="宋体" w:hAnsi="宋体" w:cs="宋体" w:eastAsia="宋体" w:hint="default"/>
                            <w:sz w:val="18"/>
                            <w:szCs w:val="18"/>
                          </w:rPr>
                          <w:t>公司正在办理协议出让供地手续，因《北京市基准地价 需要定期调整，目前土地价格正在与相关部门协商中</w:t>
                        </w:r>
                      </w:p>
                    </w:tc>
                  </w:tr>
                </w:tbl>
                <w:p>
                  <w:pPr/>
                </w:p>
              </w:txbxContent>
            </v:textbox>
            <w10:wrap type="none"/>
          </v:shape>
        </w:pict>
      </w:r>
      <w:r>
        <w:rPr/>
        <w:t>》</w:t>
      </w:r>
    </w:p>
    <w:p>
      <w:pPr>
        <w:spacing w:after="0" w:line="240" w:lineRule="auto"/>
        <w:jc w:val="righ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26</w:t>
      </w:r>
      <w:r>
        <w:rPr/>
        <w:t>、开发支出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842"/>
        <w:gridCol w:w="1419"/>
        <w:gridCol w:w="1416"/>
        <w:gridCol w:w="994"/>
        <w:gridCol w:w="1274"/>
        <w:gridCol w:w="1277"/>
        <w:gridCol w:w="1344"/>
      </w:tblGrid>
      <w:tr>
        <w:trPr>
          <w:trHeight w:val="403" w:hRule="exact"/>
        </w:trPr>
        <w:tc>
          <w:tcPr>
            <w:tcW w:w="18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1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41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60"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2"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4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842" w:type="dxa"/>
            <w:vMerge/>
            <w:tcBorders>
              <w:left w:val="single" w:sz="4" w:space="0" w:color="000000"/>
              <w:bottom w:val="single" w:sz="4" w:space="0" w:color="000000"/>
              <w:right w:val="single" w:sz="4" w:space="0" w:color="000000"/>
            </w:tcBorders>
            <w:shd w:val="clear" w:color="auto" w:fill="D2D2D2"/>
          </w:tcPr>
          <w:p>
            <w:pPr/>
          </w:p>
        </w:tc>
        <w:tc>
          <w:tcPr>
            <w:tcW w:w="1419" w:type="dxa"/>
            <w:vMerge/>
            <w:tcBorders>
              <w:left w:val="single" w:sz="4" w:space="0" w:color="000000"/>
              <w:bottom w:val="single" w:sz="4" w:space="0" w:color="000000"/>
              <w:right w:val="single" w:sz="4" w:space="0" w:color="000000"/>
            </w:tcBorders>
            <w:shd w:val="clear" w:color="auto" w:fill="D2D2D2"/>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内部开发支出</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42" w:right="89" w:hanging="449"/>
              <w:jc w:val="left"/>
              <w:rPr>
                <w:rFonts w:ascii="宋体" w:hAnsi="宋体" w:cs="宋体" w:eastAsia="宋体" w:hint="default"/>
                <w:sz w:val="18"/>
                <w:szCs w:val="18"/>
              </w:rPr>
            </w:pPr>
            <w:r>
              <w:rPr>
                <w:rFonts w:ascii="宋体" w:hAnsi="宋体" w:cs="宋体" w:eastAsia="宋体" w:hint="default"/>
                <w:sz w:val="18"/>
                <w:szCs w:val="18"/>
              </w:rPr>
              <w:t>确认为无形资 产</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转入当期损益</w:t>
            </w:r>
          </w:p>
        </w:tc>
        <w:tc>
          <w:tcPr>
            <w:tcW w:w="1344"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89"/>
              <w:jc w:val="left"/>
              <w:rPr>
                <w:rFonts w:ascii="宋体" w:hAnsi="宋体" w:cs="宋体" w:eastAsia="宋体" w:hint="default"/>
                <w:sz w:val="18"/>
                <w:szCs w:val="18"/>
              </w:rPr>
            </w:pPr>
            <w:r>
              <w:rPr>
                <w:rFonts w:ascii="宋体" w:hAnsi="宋体" w:cs="宋体" w:eastAsia="宋体" w:hint="default"/>
                <w:sz w:val="18"/>
                <w:szCs w:val="18"/>
              </w:rPr>
              <w:t>高精度智能驾驶电子 地图开发项目</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45,382,059.22</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65,760,402.46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111,142,461.68</w:t>
            </w:r>
          </w:p>
        </w:tc>
      </w:tr>
      <w:tr>
        <w:trPr>
          <w:trHeight w:val="401"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数据库</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106,866,426.60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52,489,945.59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101,738,861.91</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57,617,510.28</w:t>
            </w:r>
          </w:p>
        </w:tc>
      </w:tr>
      <w:tr>
        <w:trPr>
          <w:trHeight w:val="403"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WeNav</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智能导航产品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21,322,727.24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33,540,228.36</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54,862,955.60</w:t>
            </w:r>
          </w:p>
        </w:tc>
      </w:tr>
      <w:tr>
        <w:trPr>
          <w:trHeight w:val="713"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WELINK</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趣驾互联项 目产品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17,661,540.67</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20,322,554.45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37,984,095.12</w:t>
            </w:r>
          </w:p>
        </w:tc>
      </w:tr>
      <w:tr>
        <w:trPr>
          <w:trHeight w:val="715"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89"/>
              <w:jc w:val="left"/>
              <w:rPr>
                <w:rFonts w:ascii="宋体" w:hAnsi="宋体" w:cs="宋体" w:eastAsia="宋体" w:hint="default"/>
                <w:sz w:val="18"/>
                <w:szCs w:val="18"/>
              </w:rPr>
            </w:pPr>
            <w:r>
              <w:rPr>
                <w:rFonts w:ascii="宋体" w:hAnsi="宋体" w:cs="宋体" w:eastAsia="宋体" w:hint="default"/>
                <w:sz w:val="18"/>
                <w:szCs w:val="18"/>
              </w:rPr>
              <w:t>公共物流云位置综合 服务平台</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12,658,405.60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22,171,951.62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11,570,357.14</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23,260,000.08</w:t>
            </w:r>
          </w:p>
        </w:tc>
      </w:tr>
      <w:tr>
        <w:trPr>
          <w:trHeight w:val="713"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89"/>
              <w:jc w:val="left"/>
              <w:rPr>
                <w:rFonts w:ascii="宋体" w:hAnsi="宋体" w:cs="宋体" w:eastAsia="宋体" w:hint="default"/>
                <w:sz w:val="18"/>
                <w:szCs w:val="18"/>
              </w:rPr>
            </w:pPr>
            <w:r>
              <w:rPr>
                <w:rFonts w:ascii="宋体" w:hAnsi="宋体" w:cs="宋体" w:eastAsia="宋体" w:hint="default"/>
                <w:sz w:val="18"/>
                <w:szCs w:val="18"/>
              </w:rPr>
              <w:t>交通信息处理与发布 子系统</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15,853,423.38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12,115,469.69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5,584,647.67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22,384,245.40</w:t>
            </w:r>
          </w:p>
        </w:tc>
      </w:tr>
      <w:tr>
        <w:trPr>
          <w:trHeight w:val="403"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规划测绘平台</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1,477,353.90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549,481.74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1,292,670.02</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734,165.62</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GIS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基础平台</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1,083,595.54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330,305.13</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553,927.46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859,973.21</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8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222,305,532.15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207,280,339.04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7,431,245.15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114,903,357.88</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307,251,268.16</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27</w:t>
      </w:r>
      <w:r>
        <w:rPr/>
        <w:t>、商誉</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）商誉账面原值</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694"/>
        <w:gridCol w:w="1841"/>
        <w:gridCol w:w="1702"/>
        <w:gridCol w:w="1702"/>
        <w:gridCol w:w="1630"/>
      </w:tblGrid>
      <w:tr>
        <w:trPr>
          <w:trHeight w:val="713"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1252" w:right="82" w:hanging="1172"/>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 项</w:t>
            </w: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55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5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8"/>
                <w:sz w:val="18"/>
              </w:rPr>
              <w:t> </w:t>
            </w:r>
            <w:r>
              <w:rPr>
                <w:rFonts w:ascii="Times New Roman"/>
                <w:sz w:val="18"/>
              </w:rPr>
              <w:t>Limited</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148,324,198.63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148,324,198.63</w:t>
            </w:r>
          </w:p>
        </w:tc>
      </w:tr>
      <w:tr>
        <w:trPr>
          <w:trHeight w:val="71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22"/>
              <w:jc w:val="left"/>
              <w:rPr>
                <w:rFonts w:ascii="宋体" w:hAnsi="宋体" w:cs="宋体" w:eastAsia="宋体" w:hint="default"/>
                <w:sz w:val="18"/>
                <w:szCs w:val="18"/>
              </w:rPr>
            </w:pPr>
            <w:r>
              <w:rPr>
                <w:rFonts w:ascii="宋体" w:hAnsi="宋体" w:cs="宋体" w:eastAsia="宋体" w:hint="default"/>
                <w:spacing w:val="-5"/>
                <w:sz w:val="18"/>
                <w:szCs w:val="18"/>
              </w:rPr>
              <w:t>中交宇科（北京）空间信息技术有</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限公司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101,175,580.97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101,175,580.97</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Mapscape</w:t>
            </w:r>
            <w:r>
              <w:rPr>
                <w:rFonts w:ascii="Times New Roman"/>
                <w:spacing w:val="-2"/>
                <w:sz w:val="18"/>
              </w:rPr>
              <w:t> </w:t>
            </w:r>
            <w:r>
              <w:rPr>
                <w:rFonts w:ascii="Times New Roman"/>
                <w:spacing w:val="-6"/>
                <w:sz w:val="18"/>
              </w:rPr>
              <w:t>B.V.</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41,571,737.95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41,571,737.95</w:t>
            </w:r>
          </w:p>
        </w:tc>
      </w:tr>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北京世纪高通科技有限公司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33,633,989.19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33,633,989.19</w:t>
            </w:r>
          </w:p>
        </w:tc>
      </w:tr>
      <w:tr>
        <w:trPr>
          <w:trHeight w:val="715"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22"/>
              <w:jc w:val="left"/>
              <w:rPr>
                <w:rFonts w:ascii="宋体" w:hAnsi="宋体" w:cs="宋体" w:eastAsia="宋体" w:hint="default"/>
                <w:sz w:val="18"/>
                <w:szCs w:val="18"/>
              </w:rPr>
            </w:pPr>
            <w:r>
              <w:rPr>
                <w:rFonts w:ascii="宋体" w:hAnsi="宋体" w:cs="宋体" w:eastAsia="宋体" w:hint="default"/>
                <w:spacing w:val="-5"/>
                <w:sz w:val="18"/>
                <w:szCs w:val="18"/>
              </w:rPr>
              <w:t>和骊安（中国）汽车信息系统有限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18,572,463.30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18,572,463.30</w:t>
            </w:r>
          </w:p>
        </w:tc>
      </w:tr>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Smartautosoft Pte</w:t>
            </w:r>
            <w:r>
              <w:rPr>
                <w:rFonts w:ascii="Times New Roman"/>
                <w:spacing w:val="-7"/>
                <w:sz w:val="18"/>
              </w:rPr>
              <w:t> </w:t>
            </w:r>
            <w:r>
              <w:rPr>
                <w:rFonts w:ascii="Times New Roman"/>
                <w:sz w:val="18"/>
              </w:rPr>
              <w:t>Ltd.</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11,359,239.33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11,359,239.33</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北京腾瑞万里科技有限公司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9,546,182.09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9,546,182.09</w:t>
            </w:r>
          </w:p>
        </w:tc>
      </w:tr>
      <w:tr>
        <w:trPr>
          <w:trHeight w:val="71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141"/>
              <w:jc w:val="left"/>
              <w:rPr>
                <w:rFonts w:ascii="宋体" w:hAnsi="宋体" w:cs="宋体" w:eastAsia="宋体" w:hint="default"/>
                <w:sz w:val="18"/>
                <w:szCs w:val="18"/>
              </w:rPr>
            </w:pPr>
            <w:r>
              <w:rPr>
                <w:rFonts w:ascii="宋体" w:hAnsi="宋体" w:cs="宋体" w:eastAsia="宋体" w:hint="default"/>
                <w:sz w:val="18"/>
                <w:szCs w:val="18"/>
              </w:rPr>
              <w:t>北京中寰天畅卫星导航科技有限 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4,192,126.02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4,192,126.02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94"/>
        <w:gridCol w:w="1841"/>
        <w:gridCol w:w="1702"/>
        <w:gridCol w:w="1702"/>
        <w:gridCol w:w="1630"/>
      </w:tblGrid>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长沙市海图科技有限公司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1,401,529.55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1,401,529.55</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江苏中寰卫星导航通信有限公司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40,236.77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40,236.77</w:t>
            </w:r>
          </w:p>
        </w:tc>
      </w:tr>
      <w:tr>
        <w:trPr>
          <w:trHeight w:val="71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41"/>
              <w:jc w:val="left"/>
              <w:rPr>
                <w:rFonts w:ascii="宋体" w:hAnsi="宋体" w:cs="宋体" w:eastAsia="宋体" w:hint="default"/>
                <w:sz w:val="18"/>
                <w:szCs w:val="18"/>
              </w:rPr>
            </w:pPr>
            <w:r>
              <w:rPr>
                <w:rFonts w:ascii="宋体" w:hAnsi="宋体" w:cs="宋体" w:eastAsia="宋体" w:hint="default"/>
                <w:sz w:val="18"/>
                <w:szCs w:val="18"/>
              </w:rPr>
              <w:t>内蒙古中寰卫星导航通信有限公 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8,200.00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8,200.00</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3,042,899,505.82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3,042,899,505.82</w:t>
            </w:r>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369,825,483.80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3,042,899,505.82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3,412,724,989.62</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）商誉减值准备</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09"/>
        <w:gridCol w:w="2127"/>
        <w:gridCol w:w="1702"/>
        <w:gridCol w:w="1702"/>
        <w:gridCol w:w="1700"/>
      </w:tblGrid>
      <w:tr>
        <w:trPr>
          <w:trHeight w:val="713" w:hRule="exact"/>
        </w:trPr>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019" w:right="27" w:hanging="990"/>
              <w:jc w:val="left"/>
              <w:rPr>
                <w:rFonts w:ascii="宋体" w:hAnsi="宋体" w:cs="宋体" w:eastAsia="宋体" w:hint="default"/>
                <w:sz w:val="18"/>
                <w:szCs w:val="18"/>
              </w:rPr>
            </w:pPr>
            <w:r>
              <w:rPr>
                <w:rFonts w:ascii="宋体" w:hAnsi="宋体" w:cs="宋体" w:eastAsia="宋体" w:hint="default"/>
                <w:sz w:val="18"/>
                <w:szCs w:val="18"/>
              </w:rPr>
              <w:t>被投资单位名称或形成商誉的 事项</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69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5" w:hRule="exact"/>
        </w:trPr>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22" w:right="34"/>
              <w:jc w:val="left"/>
              <w:rPr>
                <w:rFonts w:ascii="宋体" w:hAnsi="宋体" w:cs="宋体" w:eastAsia="宋体" w:hint="default"/>
                <w:sz w:val="18"/>
                <w:szCs w:val="18"/>
              </w:rPr>
            </w:pPr>
            <w:r>
              <w:rPr>
                <w:rFonts w:ascii="宋体" w:hAnsi="宋体" w:cs="宋体" w:eastAsia="宋体" w:hint="default"/>
                <w:sz w:val="18"/>
                <w:szCs w:val="18"/>
              </w:rPr>
              <w:t>中交宇科（北京）空间信息技 术有限公司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30,189,899.76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31,456,866.50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61,646,766.26</w:t>
            </w:r>
          </w:p>
        </w:tc>
      </w:tr>
      <w:tr>
        <w:trPr>
          <w:trHeight w:val="401" w:hRule="exact"/>
        </w:trPr>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Smartautosoft Pte</w:t>
            </w:r>
            <w:r>
              <w:rPr>
                <w:rFonts w:ascii="Times New Roman"/>
                <w:spacing w:val="-7"/>
                <w:sz w:val="18"/>
              </w:rPr>
              <w:t> </w:t>
            </w:r>
            <w:r>
              <w:rPr>
                <w:rFonts w:ascii="Times New Roman"/>
                <w:sz w:val="18"/>
              </w:rPr>
              <w:t>Ltd.</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11,359,239.33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11,359,239.33</w:t>
            </w:r>
          </w:p>
        </w:tc>
      </w:tr>
      <w:tr>
        <w:trPr>
          <w:trHeight w:val="403" w:hRule="exact"/>
        </w:trPr>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北京腾瑞万里科技有限公司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9,546,182.09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9,546,182.09</w:t>
            </w:r>
          </w:p>
        </w:tc>
      </w:tr>
      <w:tr>
        <w:trPr>
          <w:trHeight w:val="713" w:hRule="exact"/>
        </w:trPr>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34"/>
              <w:jc w:val="left"/>
              <w:rPr>
                <w:rFonts w:ascii="宋体" w:hAnsi="宋体" w:cs="宋体" w:eastAsia="宋体" w:hint="default"/>
                <w:sz w:val="18"/>
                <w:szCs w:val="18"/>
              </w:rPr>
            </w:pPr>
            <w:r>
              <w:rPr>
                <w:rFonts w:ascii="宋体" w:hAnsi="宋体" w:cs="宋体" w:eastAsia="宋体" w:hint="default"/>
                <w:sz w:val="18"/>
                <w:szCs w:val="18"/>
              </w:rPr>
              <w:t>北京中寰天畅卫星导航科技有 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4,192,126.02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4,192,126.02</w:t>
            </w:r>
          </w:p>
        </w:tc>
      </w:tr>
      <w:tr>
        <w:trPr>
          <w:trHeight w:val="403" w:hRule="exact"/>
        </w:trPr>
        <w:tc>
          <w:tcPr>
            <w:tcW w:w="24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长沙市海图科技有限公司</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1,401,529.55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1,401,529.55</w:t>
            </w:r>
          </w:p>
        </w:tc>
      </w:tr>
      <w:tr>
        <w:trPr>
          <w:trHeight w:val="404" w:hRule="exact"/>
        </w:trPr>
        <w:tc>
          <w:tcPr>
            <w:tcW w:w="24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55,287,447.20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32,858,396.05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88,145,843.25</w:t>
            </w:r>
          </w:p>
        </w:tc>
      </w:tr>
    </w:tbl>
    <w:p>
      <w:pPr>
        <w:pStyle w:val="BodyText"/>
        <w:spacing w:line="240" w:lineRule="auto" w:before="49"/>
        <w:ind w:right="0"/>
        <w:jc w:val="left"/>
      </w:pPr>
      <w:r>
        <w:rPr/>
        <w:t>说明商誉减值测试过程、参数及商誉减值损失的确认方法：</w:t>
      </w:r>
    </w:p>
    <w:p>
      <w:pPr>
        <w:spacing w:line="240" w:lineRule="auto" w:before="12"/>
        <w:rPr>
          <w:rFonts w:ascii="宋体" w:hAnsi="宋体" w:cs="宋体" w:eastAsia="宋体" w:hint="default"/>
          <w:sz w:val="22"/>
          <w:szCs w:val="22"/>
        </w:rPr>
      </w:pPr>
    </w:p>
    <w:p>
      <w:pPr>
        <w:pStyle w:val="BodyText"/>
        <w:spacing w:line="364" w:lineRule="auto"/>
        <w:ind w:right="150" w:firstLine="360"/>
        <w:jc w:val="both"/>
      </w:pPr>
      <w:r>
        <w:rPr>
          <w:spacing w:val="-2"/>
        </w:rPr>
        <w:t>注：对于本公司因合并子公司产生的商誉，管理层依据批准的今后五年经营预算及盈利预测，采用现金流量预测方法计</w:t>
      </w:r>
      <w:r>
        <w:rPr/>
        <w:t> </w:t>
      </w:r>
      <w:r>
        <w:rPr>
          <w:spacing w:val="-2"/>
        </w:rPr>
        <w:t>算，对超过该五年期的现金流量按照一定比率的最终增长率进行推算，并根据历史经验及对市场发展的预测确定加权平均成</w:t>
      </w:r>
      <w:r>
        <w:rPr>
          <w:spacing w:val="-64"/>
        </w:rPr>
        <w:t> </w:t>
      </w:r>
      <w:r>
        <w:rPr>
          <w:spacing w:val="-64"/>
        </w:rPr>
      </w:r>
      <w:r>
        <w:rPr>
          <w:spacing w:val="-2"/>
        </w:rPr>
        <w:t>本，采用能够反映特定风险的税前利率作为折现率对包含商誉的资产组进行减值测试。基于上述假设，如相关资产组的可收</w:t>
      </w:r>
      <w:r>
        <w:rPr>
          <w:spacing w:val="-63"/>
        </w:rPr>
        <w:t> </w:t>
      </w:r>
      <w:r>
        <w:rPr>
          <w:spacing w:val="-63"/>
        </w:rPr>
      </w:r>
      <w:r>
        <w:rPr/>
        <w:t>回金额低于其账面价值，确认相应的资产减值损失。</w:t>
      </w:r>
    </w:p>
    <w:p>
      <w:pPr>
        <w:spacing w:line="240" w:lineRule="auto" w:before="7"/>
        <w:rPr>
          <w:rFonts w:ascii="宋体" w:hAnsi="宋体" w:cs="宋体" w:eastAsia="宋体" w:hint="default"/>
          <w:sz w:val="18"/>
          <w:szCs w:val="18"/>
        </w:rPr>
      </w:pPr>
    </w:p>
    <w:p>
      <w:pPr>
        <w:pStyle w:val="Heading5"/>
        <w:spacing w:line="240" w:lineRule="auto"/>
        <w:ind w:right="0"/>
        <w:jc w:val="left"/>
        <w:rPr>
          <w:b w:val="0"/>
          <w:bCs w:val="0"/>
        </w:rPr>
      </w:pPr>
      <w:r>
        <w:rPr>
          <w:rFonts w:ascii="Times New Roman" w:hAnsi="Times New Roman" w:cs="Times New Roman" w:eastAsia="Times New Roman" w:hint="default"/>
        </w:rPr>
        <w:t>28</w:t>
      </w:r>
      <w:r>
        <w:rPr/>
        <w:t>、长期待摊费用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8,993,792.22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26,921,884.42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5,724,129.19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2,137.88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30,189,409.57</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8,993,792.22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26,921,884.42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5,724,129.19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w w:val="95"/>
                <w:sz w:val="18"/>
              </w:rPr>
              <w:t>2,137.88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30,189,409.57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29</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after="0" w:line="240" w:lineRule="auto"/>
        <w:jc w:val="right"/>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45,326,556.54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7,067,742.62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42,724,738.30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6,480,677.88</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可抵扣时间性差异</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213,071,507.89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32,812,939.60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146,240,356.65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23,979,361.52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258,398,064.43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39,880,682.22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188,965,094.95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30,460,039.40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412"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321"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412" w:right="48"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321" w:right="51" w:hanging="269"/>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39,880,682.22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30,460,039.40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）未确认递延所得税资产明细</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299,183,194.48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182,917,180.41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299,183,194.48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182,917,180.41</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）未确认递延所得税资产的可抵扣亏损将于以下年度到期</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53,728,523.60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55,577,601.85</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60,748,555.52</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62,865,219.72</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73,008,064.45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64,474,358.84</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2"/>
                <w:sz w:val="18"/>
              </w:rPr>
              <w:t>111,698,050.91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299,183,194.48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182,917,180.41</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30</w:t>
      </w:r>
      <w:r>
        <w:rPr/>
        <w:t>、其他非流动资产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预付投资款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15,702,485.00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14,884,900.00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预付工程款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14,915,174.26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10,519,785.48</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预付技术服务费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3,460,625.65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预付设备款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917,656.14</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30,617,659.26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29,782,967.27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31</w:t>
      </w:r>
      <w:r>
        <w:rPr/>
        <w:t>、短期借款</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）短期借款分类</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21,920,400.00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21,920,400.00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）已逾期未偿还的短期借款情况</w:t>
      </w:r>
      <w:r>
        <w:rPr>
          <w:b w:val="0"/>
          <w:bCs w:val="0"/>
        </w:rPr>
      </w:r>
    </w:p>
    <w:p>
      <w:pPr>
        <w:spacing w:line="240" w:lineRule="auto" w:before="2"/>
        <w:rPr>
          <w:rFonts w:ascii="宋体" w:hAnsi="宋体" w:cs="宋体" w:eastAsia="宋体" w:hint="default"/>
          <w:b/>
          <w:bCs/>
          <w:sz w:val="26"/>
          <w:szCs w:val="26"/>
        </w:rPr>
      </w:pPr>
    </w:p>
    <w:p>
      <w:pPr>
        <w:pStyle w:val="BodyText"/>
        <w:spacing w:line="360" w:lineRule="auto"/>
        <w:ind w:right="2574"/>
        <w:jc w:val="left"/>
      </w:pPr>
      <w:r>
        <w:rPr/>
        <w:t>本期末已逾期未偿还的短期借款总额为元，其中重要的已逾期未偿还的短期借款情况如下： 无</w:t>
      </w:r>
    </w:p>
    <w:p>
      <w:pPr>
        <w:spacing w:line="240" w:lineRule="auto" w:before="4"/>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32</w:t>
      </w:r>
      <w:r>
        <w:rPr/>
        <w:t>、以公允价值计量且其变动计入当期损益的金融负债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33</w:t>
      </w:r>
      <w:r>
        <w:rPr/>
        <w:t>、衍生金融负债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3"/>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34</w:t>
      </w:r>
      <w:r>
        <w:rPr/>
        <w:t>、应付票据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5,724,911.00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771,579.00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5,724,911.00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771,579.00</w:t>
            </w:r>
          </w:p>
        </w:tc>
      </w:tr>
    </w:tbl>
    <w:p>
      <w:pPr>
        <w:pStyle w:val="BodyText"/>
        <w:spacing w:line="240" w:lineRule="auto" w:before="49"/>
        <w:ind w:right="0"/>
        <w:jc w:val="left"/>
      </w:pPr>
      <w:r>
        <w:rPr/>
        <w:t>本期末已到期未支付的应付票据总额为</w:t>
      </w:r>
      <w:r>
        <w:rPr>
          <w:spacing w:val="-45"/>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35</w:t>
      </w:r>
      <w:r>
        <w:rPr/>
        <w:t>、应付账款</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）应付账款列示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应付项目款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116,651,648.93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114,287,355.93</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116,651,648.93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114,287,355.93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年的重要应付账款</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河南北斗测绘工程有限公司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2,957,480.00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广州艾乐特电子科技有限公司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2,269,597.04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呼和浩特市交通综合信息中心</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1,790,280.75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北斗地面总站</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铁道第三勘察设计院集团有限公司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项目未完成结算</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9,867,357.79</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36</w:t>
      </w:r>
      <w:r>
        <w:rPr/>
        <w:t>、预收款项</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）预收款项列示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预收项目款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42,104,914.52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57,485,537.41</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42,104,914.52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57,485,537.41</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年的重要预收款项</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日产（中国）投资有限公司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6,507,180.10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根据合同预先收款，分期确认收入</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东风英菲尼迪汽车有限公司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5,733,709.10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根据合同预先收款，分期确认收入</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北京高德泰利信息科技有限公司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根据合同预先收款，分期确认收入</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中国电信股份有限公司云计算分公司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1,282,499.98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根据合同预先收款，分期确认收入</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青岛海信网络科技股份有限公司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1,153,846.21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根据合同预先收款，分期确认收入</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7"/>
        <w:gridCol w:w="3194"/>
        <w:gridCol w:w="3189"/>
      </w:tblGrid>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16,177,235.39</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）期末建造合同形成的已结算未完工项目情况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37</w:t>
      </w:r>
      <w:r>
        <w:rPr/>
        <w:t>、应付职工薪酬</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）应付职工薪酬列示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151,992,242.33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962,021,492.20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822,358,437.52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291,655,297.01</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3"/>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 存计划</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4,157,669.06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62,798,119.23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61,891,443.03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5,064,345.26</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4,662,041.22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4,662,041.22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7"/>
              <w:jc w:val="left"/>
              <w:rPr>
                <w:rFonts w:ascii="宋体" w:hAnsi="宋体" w:cs="宋体" w:eastAsia="宋体" w:hint="default"/>
                <w:sz w:val="18"/>
                <w:szCs w:val="18"/>
              </w:rPr>
            </w:pPr>
            <w:r>
              <w:rPr>
                <w:rFonts w:ascii="宋体" w:hAnsi="宋体" w:cs="宋体" w:eastAsia="宋体" w:hint="default"/>
                <w:sz w:val="18"/>
                <w:szCs w:val="18"/>
              </w:rPr>
              <w:t>四、一年内到期的其他 福利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156,149,911.39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1,029,481,652.65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888,911,921.77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296,719,642.27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）短期薪酬列示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22"/>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、工资、奖金、津贴和</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补贴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99,861,949.12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832,278,160.50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704,542,105.70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227,598,003.92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1,003,949.71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25,192,904.40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25,300,569.37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896,284.74</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280,476.41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36,037,321.99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35,891,484.63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426,313.78</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其中：医疗保险费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224,844.83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30,581,120.34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30,427,619.55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378,345.66</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工伤保险费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35,744.68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1,324,644.42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1,346,348.29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14,040.81</w:t>
            </w: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生育保险费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19,886.90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2,426,934.01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2,412,893.57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33,927.31</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924" w:right="0"/>
              <w:jc w:val="left"/>
              <w:rPr>
                <w:rFonts w:ascii="宋体" w:hAnsi="宋体" w:cs="宋体" w:eastAsia="宋体" w:hint="default"/>
                <w:sz w:val="18"/>
                <w:szCs w:val="18"/>
              </w:rPr>
            </w:pPr>
            <w:r>
              <w:rPr>
                <w:rFonts w:ascii="宋体" w:hAnsi="宋体" w:cs="宋体" w:eastAsia="宋体" w:hint="default"/>
                <w:sz w:val="18"/>
                <w:szCs w:val="18"/>
              </w:rPr>
              <w:t>补充医疗保</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1,704,623.22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1,704,623.22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418,377.83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46,332,777.25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46,309,383.43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441,771.64</w:t>
            </w:r>
          </w:p>
        </w:tc>
      </w:tr>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4" w:right="2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、工会经费和职工教育</w:t>
            </w:r>
            <w:r>
              <w:rPr>
                <w:rFonts w:ascii="宋体" w:hAnsi="宋体" w:cs="宋体" w:eastAsia="宋体" w:hint="default"/>
                <w:sz w:val="18"/>
                <w:szCs w:val="18"/>
              </w:rPr>
              <w:t> 经费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50,427,489.26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22,180,328.06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10,314,894.39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62,292,922.93</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、短期带薪缺勤</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、短期利润分享计划</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8" w:right="0"/>
              <w:jc w:val="left"/>
              <w:rPr>
                <w:rFonts w:ascii="Times New Roman" w:hAnsi="Times New Roman" w:cs="Times New Roman" w:eastAsia="Times New Roman" w:hint="default"/>
                <w:sz w:val="18"/>
                <w:szCs w:val="18"/>
              </w:rPr>
            </w:pPr>
            <w:r>
              <w:rPr>
                <w:rFonts w:ascii="Times New Roman"/>
                <w:sz w:val="18"/>
              </w:rPr>
              <w:t>151,992,242.33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962,021,492.20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5" w:right="0"/>
              <w:jc w:val="left"/>
              <w:rPr>
                <w:rFonts w:ascii="Times New Roman" w:hAnsi="Times New Roman" w:cs="Times New Roman" w:eastAsia="Times New Roman" w:hint="default"/>
                <w:sz w:val="18"/>
                <w:szCs w:val="18"/>
              </w:rPr>
            </w:pPr>
            <w:r>
              <w:rPr>
                <w:rFonts w:ascii="Times New Roman"/>
                <w:sz w:val="18"/>
              </w:rPr>
              <w:t>822,358,437.52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291,655,297.01</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）设定提存计划列示</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4,134,461.51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60,445,860.11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59,542,218.07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5,038,103.55</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23,207.55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2,352,259.12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2,349,224.96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26,241.71</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、企业年金缴费</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4,157,669.06</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62,798,119.23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61,891,443.03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5,064,345.26</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38</w:t>
      </w:r>
      <w:r>
        <w:rPr/>
        <w:t>、应交税费</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14,340,724.65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26,503,355.12</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46,304,386.71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23,315,818.66</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4,360,895.86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3,592,832.61</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1,763,661.50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1,374,497.30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746,868.67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581,109.20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496,856.17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381,440.75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142,164.57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残疾人就业保障金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4,248,174.53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1,345,650.07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858,662.97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73,607,218.16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56,749,881.18</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39</w:t>
      </w:r>
      <w:r>
        <w:rPr/>
        <w:t>、应付利息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企业债券利息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327,710.00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划分为金融负债的优先股</w:t>
            </w:r>
            <w:r>
              <w:rPr>
                <w:rFonts w:ascii="Times New Roman" w:hAnsi="Times New Roman" w:cs="Times New Roman" w:eastAsia="Times New Roman" w:hint="default"/>
                <w:sz w:val="18"/>
                <w:szCs w:val="18"/>
              </w:rPr>
              <w:t>\</w:t>
            </w:r>
            <w:r>
              <w:rPr>
                <w:rFonts w:ascii="宋体" w:hAnsi="宋体" w:cs="宋体" w:eastAsia="宋体" w:hint="default"/>
                <w:sz w:val="18"/>
                <w:szCs w:val="18"/>
              </w:rPr>
              <w:t>永续债利息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327,710.00</w:t>
            </w:r>
          </w:p>
        </w:tc>
      </w:tr>
    </w:tbl>
    <w:p>
      <w:pPr>
        <w:pStyle w:val="BodyText"/>
        <w:spacing w:line="240" w:lineRule="auto" w:before="49"/>
        <w:ind w:right="0"/>
        <w:jc w:val="left"/>
      </w:pPr>
      <w:r>
        <w:rPr/>
        <w:t>重要的已逾期未支付的利息情况：</w:t>
      </w:r>
    </w:p>
    <w:p>
      <w:pPr>
        <w:spacing w:after="0" w:line="240" w:lineRule="auto"/>
        <w:jc w:val="left"/>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40</w:t>
      </w:r>
      <w:r>
        <w:rPr/>
        <w:t>、应付股利</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41</w:t>
      </w:r>
      <w:r>
        <w:rPr/>
        <w:t>、其他应付款</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）按款项性质列示其他应付款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应付投资及股权转让款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1,839,002,861.72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11,549,300.00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应付工程款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163,324,868.55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80,576,937.28</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77,973,177.02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157,907,497.44</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应付土地款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74,441,640.00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74,441,640.00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往来及代垫款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34,780,497.73</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22,646,048.85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技术支持费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38,814,397.23</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10,011,528.88</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备用金保证金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1,677,283.32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86,076,011.92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3"/>
              <w:jc w:val="right"/>
              <w:rPr>
                <w:rFonts w:ascii="Times New Roman" w:hAnsi="Times New Roman" w:cs="Times New Roman" w:eastAsia="Times New Roman" w:hint="default"/>
                <w:sz w:val="20"/>
                <w:szCs w:val="20"/>
              </w:rPr>
            </w:pPr>
            <w:r>
              <w:rPr>
                <w:rFonts w:ascii="Times New Roman"/>
                <w:w w:val="95"/>
                <w:sz w:val="20"/>
              </w:rPr>
              <w:t>10,983,971.47</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15,958,822.42</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2,240,998,697.04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459,167,786.79</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）账龄超过</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 </w:t>
      </w:r>
      <w:r>
        <w:rPr/>
        <w:t>年的重要其他应付款</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北京市土地整理储备中心海淀分中心</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74,441,640.00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中铁三局集团有限公司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66,152,709.67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GCEK Technologies</w:t>
            </w:r>
            <w:r>
              <w:rPr>
                <w:rFonts w:ascii="Times New Roman"/>
                <w:spacing w:val="-27"/>
                <w:sz w:val="18"/>
              </w:rPr>
              <w:t> </w:t>
            </w:r>
            <w:r>
              <w:rPr>
                <w:rFonts w:ascii="Times New Roman"/>
                <w:sz w:val="18"/>
              </w:rPr>
              <w:t>Co.,Limited</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2,920,787.40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中国公路工程咨询集团公司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2,832,651.70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根据投资协议，未到付款期</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Alpine</w:t>
            </w:r>
            <w:r>
              <w:rPr>
                <w:rFonts w:ascii="Times New Roman"/>
                <w:spacing w:val="-4"/>
                <w:sz w:val="18"/>
              </w:rPr>
              <w:t> </w:t>
            </w:r>
            <w:r>
              <w:rPr>
                <w:rFonts w:ascii="Times New Roman"/>
                <w:sz w:val="18"/>
              </w:rPr>
              <w:t>Electronics,Inc.</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2,727,312.00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DENSO</w:t>
            </w:r>
            <w:r>
              <w:rPr>
                <w:rFonts w:ascii="Times New Roman"/>
                <w:spacing w:val="9"/>
                <w:sz w:val="18"/>
              </w:rPr>
              <w:t> </w:t>
            </w:r>
            <w:r>
              <w:rPr>
                <w:rFonts w:ascii="Times New Roman"/>
                <w:spacing w:val="-3"/>
                <w:sz w:val="18"/>
              </w:rPr>
              <w:t>CORPORATION</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2,492,248.49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未到结算期</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黑龙江省地理信息产业园有限公司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2,250,194.80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根据投资协议，未到付款期</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北京光启达科技发展有限公司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1,781,000.00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根据投资协议，未到付款期</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155,598,544.06</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42</w:t>
      </w:r>
      <w:r>
        <w:rPr/>
        <w:t>、持有待售的负债</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footerReference w:type="default" r:id="rId46"/>
          <w:pgSz w:w="11910" w:h="16840"/>
          <w:pgMar w:footer="979" w:header="745" w:top="1060" w:bottom="1160" w:left="980" w:right="980"/>
          <w:pgNumType w:start="166"/>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43</w:t>
      </w:r>
      <w:r>
        <w:rPr/>
        <w:t>、一年内到期的非流动负债</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44</w:t>
      </w:r>
      <w:r>
        <w:rPr/>
        <w:t>、其他流动负债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短期应付债券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5,971,885.49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8,790,543.70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46,767,241.11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50,792,307.34</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52,739,126.60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59,582,851.04</w:t>
            </w:r>
          </w:p>
        </w:tc>
      </w:tr>
    </w:tbl>
    <w:p>
      <w:pPr>
        <w:pStyle w:val="BodyText"/>
        <w:spacing w:line="360" w:lineRule="auto" w:before="49"/>
        <w:ind w:right="7614"/>
        <w:jc w:val="left"/>
      </w:pPr>
      <w:r>
        <w:rPr/>
        <w:t>短期应付债券的增减变动： 无</w:t>
      </w:r>
    </w:p>
    <w:p>
      <w:pPr>
        <w:pStyle w:val="BodyText"/>
        <w:spacing w:line="240" w:lineRule="auto" w:before="25"/>
        <w:ind w:right="0"/>
        <w:jc w:val="left"/>
      </w:pPr>
      <w:r>
        <w:rPr/>
        <w:t>其他说明：</w:t>
      </w:r>
    </w:p>
    <w:p>
      <w:pPr>
        <w:spacing w:line="240" w:lineRule="auto" w:before="3"/>
        <w:rPr>
          <w:rFonts w:ascii="宋体" w:hAnsi="宋体" w:cs="宋体" w:eastAsia="宋体" w:hint="default"/>
          <w:sz w:val="15"/>
          <w:szCs w:val="15"/>
        </w:rPr>
      </w:pPr>
    </w:p>
    <w:p>
      <w:pPr>
        <w:pStyle w:val="BodyText"/>
        <w:spacing w:line="240" w:lineRule="auto"/>
        <w:ind w:left="513" w:right="0"/>
        <w:jc w:val="left"/>
      </w:pPr>
      <w:r>
        <w:rPr/>
        <w:t>注：其他系公司已根据服务协议条款开出发票，根据收入确认原则，应当根据服务期限按期递延确认的收入。</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45</w:t>
      </w:r>
      <w:r>
        <w:rPr/>
        <w:t>、长期借款</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）长期借款分类</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46</w:t>
      </w:r>
      <w:r>
        <w:rPr/>
        <w:t>、应付债券</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）应付债券</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公司债券</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8"/>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276"/>
        <w:gridCol w:w="991"/>
        <w:gridCol w:w="709"/>
        <w:gridCol w:w="569"/>
        <w:gridCol w:w="991"/>
        <w:gridCol w:w="708"/>
        <w:gridCol w:w="1136"/>
        <w:gridCol w:w="852"/>
        <w:gridCol w:w="708"/>
        <w:gridCol w:w="709"/>
        <w:gridCol w:w="991"/>
      </w:tblGrid>
      <w:tr>
        <w:trPr>
          <w:trHeight w:val="714"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债券名称</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59" w:right="77" w:hanging="180"/>
              <w:jc w:val="left"/>
              <w:rPr>
                <w:rFonts w:ascii="宋体" w:hAnsi="宋体" w:cs="宋体" w:eastAsia="宋体" w:hint="default"/>
                <w:sz w:val="18"/>
                <w:szCs w:val="18"/>
              </w:rPr>
            </w:pPr>
            <w:r>
              <w:rPr>
                <w:rFonts w:ascii="宋体" w:hAnsi="宋体" w:cs="宋体" w:eastAsia="宋体" w:hint="default"/>
                <w:sz w:val="18"/>
                <w:szCs w:val="18"/>
              </w:rPr>
              <w:t>发行日 期</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100" w:right="96"/>
              <w:jc w:val="left"/>
              <w:rPr>
                <w:rFonts w:ascii="宋体" w:hAnsi="宋体" w:cs="宋体" w:eastAsia="宋体" w:hint="default"/>
                <w:sz w:val="18"/>
                <w:szCs w:val="18"/>
              </w:rPr>
            </w:pPr>
            <w:r>
              <w:rPr>
                <w:rFonts w:ascii="宋体" w:hAnsi="宋体" w:cs="宋体" w:eastAsia="宋体" w:hint="default"/>
                <w:sz w:val="18"/>
                <w:szCs w:val="18"/>
              </w:rPr>
              <w:t>债券 期限</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发行金额</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59" w:right="77"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本期发行</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151" w:right="60" w:hanging="92"/>
              <w:jc w:val="left"/>
              <w:rPr>
                <w:rFonts w:ascii="宋体" w:hAnsi="宋体" w:cs="宋体" w:eastAsia="宋体" w:hint="default"/>
                <w:sz w:val="18"/>
                <w:szCs w:val="18"/>
              </w:rPr>
            </w:pPr>
            <w:r>
              <w:rPr>
                <w:rFonts w:ascii="宋体" w:hAnsi="宋体" w:cs="宋体" w:eastAsia="宋体" w:hint="default"/>
                <w:sz w:val="18"/>
                <w:szCs w:val="18"/>
              </w:rPr>
              <w:t>按面值计 提利息</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170" w:right="77" w:hanging="92"/>
              <w:jc w:val="left"/>
              <w:rPr>
                <w:rFonts w:ascii="宋体" w:hAnsi="宋体" w:cs="宋体" w:eastAsia="宋体" w:hint="default"/>
                <w:sz w:val="18"/>
                <w:szCs w:val="18"/>
              </w:rPr>
            </w:pPr>
            <w:r>
              <w:rPr>
                <w:rFonts w:ascii="宋体" w:hAnsi="宋体" w:cs="宋体" w:eastAsia="宋体" w:hint="default"/>
                <w:sz w:val="18"/>
                <w:szCs w:val="18"/>
              </w:rPr>
              <w:t>溢折价 摊销</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59" w:right="77" w:hanging="181"/>
              <w:jc w:val="left"/>
              <w:rPr>
                <w:rFonts w:ascii="宋体" w:hAnsi="宋体" w:cs="宋体" w:eastAsia="宋体" w:hint="default"/>
                <w:sz w:val="18"/>
                <w:szCs w:val="18"/>
              </w:rPr>
            </w:pPr>
            <w:r>
              <w:rPr>
                <w:rFonts w:ascii="宋体" w:hAnsi="宋体" w:cs="宋体" w:eastAsia="宋体" w:hint="default"/>
                <w:sz w:val="18"/>
                <w:szCs w:val="18"/>
              </w:rPr>
              <w:t>本期偿 还</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6" w:hRule="exact"/>
        </w:trPr>
        <w:tc>
          <w:tcPr>
            <w:tcW w:w="127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北京四维图新</w:t>
            </w:r>
          </w:p>
        </w:tc>
        <w:tc>
          <w:tcPr>
            <w:tcW w:w="991"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56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1136"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946" w:hRule="exact"/>
        </w:trPr>
        <w:tc>
          <w:tcPr>
            <w:tcW w:w="127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09" w:lineRule="auto" w:before="20"/>
              <w:ind w:left="22" w:right="67"/>
              <w:jc w:val="left"/>
              <w:rPr>
                <w:rFonts w:ascii="宋体" w:hAnsi="宋体" w:cs="宋体" w:eastAsia="宋体" w:hint="default"/>
                <w:sz w:val="18"/>
                <w:szCs w:val="18"/>
              </w:rPr>
            </w:pPr>
            <w:r>
              <w:rPr>
                <w:rFonts w:ascii="宋体" w:hAnsi="宋体" w:cs="宋体" w:eastAsia="宋体" w:hint="default"/>
                <w:sz w:val="18"/>
                <w:szCs w:val="18"/>
              </w:rPr>
              <w:t>科技股份有限 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年面 向合格投资者</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23</w:t>
            </w:r>
          </w:p>
          <w:p>
            <w:pPr>
              <w:pStyle w:val="TableParagraph"/>
              <w:spacing w:line="240" w:lineRule="auto" w:before="6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569"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left="362" w:right="0"/>
              <w:jc w:val="left"/>
              <w:rPr>
                <w:rFonts w:ascii="Times New Roman" w:hAnsi="Times New Roman" w:cs="Times New Roman" w:eastAsia="Times New Roman" w:hint="default"/>
                <w:sz w:val="18"/>
                <w:szCs w:val="18"/>
              </w:rPr>
            </w:pPr>
            <w:r>
              <w:rPr>
                <w:rFonts w:ascii="Times New Roman"/>
                <w:sz w:val="18"/>
              </w:rPr>
              <w:t>0.00</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left="47" w:right="0"/>
              <w:jc w:val="center"/>
              <w:rPr>
                <w:rFonts w:ascii="Times New Roman" w:hAnsi="Times New Roman" w:cs="Times New Roman" w:eastAsia="Times New Roman" w:hint="default"/>
                <w:sz w:val="18"/>
                <w:szCs w:val="18"/>
              </w:rPr>
            </w:pPr>
            <w:r>
              <w:rPr>
                <w:rFonts w:ascii="Times New Roman"/>
                <w:sz w:val="18"/>
              </w:rPr>
              <w:t>50,000,000.00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320,547.9</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left="362" w:right="0"/>
              <w:jc w:val="left"/>
              <w:rPr>
                <w:rFonts w:ascii="Times New Roman" w:hAnsi="Times New Roman" w:cs="Times New Roman" w:eastAsia="Times New Roman" w:hint="default"/>
                <w:sz w:val="18"/>
                <w:szCs w:val="18"/>
              </w:rPr>
            </w:pPr>
            <w:r>
              <w:rPr>
                <w:rFonts w:ascii="Times New Roman"/>
                <w:sz w:val="18"/>
              </w:rPr>
              <w:t>0.00</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9"/>
              <w:ind w:left="362" w:right="0"/>
              <w:jc w:val="left"/>
              <w:rPr>
                <w:rFonts w:ascii="Times New Roman" w:hAnsi="Times New Roman" w:cs="Times New Roman" w:eastAsia="Times New Roman" w:hint="default"/>
                <w:sz w:val="18"/>
                <w:szCs w:val="18"/>
              </w:rPr>
            </w:pPr>
            <w:r>
              <w:rPr>
                <w:rFonts w:ascii="Times New Roman"/>
                <w:sz w:val="18"/>
              </w:rPr>
              <w:t>0.00</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r>
      <w:tr>
        <w:trPr>
          <w:trHeight w:val="319" w:hRule="exact"/>
        </w:trPr>
        <w:tc>
          <w:tcPr>
            <w:tcW w:w="127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公开发行公司</w:t>
            </w:r>
          </w:p>
        </w:tc>
        <w:tc>
          <w:tcPr>
            <w:tcW w:w="991"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56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1136"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276"/>
        <w:gridCol w:w="991"/>
        <w:gridCol w:w="709"/>
        <w:gridCol w:w="569"/>
        <w:gridCol w:w="991"/>
        <w:gridCol w:w="708"/>
        <w:gridCol w:w="1136"/>
        <w:gridCol w:w="852"/>
        <w:gridCol w:w="708"/>
        <w:gridCol w:w="709"/>
        <w:gridCol w:w="991"/>
      </w:tblGrid>
      <w:tr>
        <w:trPr>
          <w:trHeight w:val="363" w:hRule="exact"/>
        </w:trPr>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22" w:right="-17"/>
              <w:jc w:val="center"/>
              <w:rPr>
                <w:rFonts w:ascii="宋体" w:hAnsi="宋体" w:cs="宋体" w:eastAsia="宋体" w:hint="default"/>
                <w:sz w:val="18"/>
                <w:szCs w:val="18"/>
              </w:rPr>
            </w:pPr>
            <w:r>
              <w:rPr>
                <w:rFonts w:ascii="宋体" w:hAnsi="宋体" w:cs="宋体" w:eastAsia="宋体" w:hint="default"/>
                <w:sz w:val="18"/>
                <w:szCs w:val="18"/>
              </w:rPr>
              <w:t>债券（第一期）</w:t>
            </w:r>
          </w:p>
        </w:tc>
        <w:tc>
          <w:tcPr>
            <w:tcW w:w="991"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569"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62" w:right="0"/>
              <w:jc w:val="left"/>
              <w:rPr>
                <w:rFonts w:ascii="Times New Roman" w:hAnsi="Times New Roman" w:cs="Times New Roman" w:eastAsia="Times New Roman" w:hint="default"/>
                <w:sz w:val="18"/>
                <w:szCs w:val="18"/>
              </w:rPr>
            </w:pPr>
            <w:r>
              <w:rPr>
                <w:rFonts w:ascii="Times New Roman"/>
                <w:sz w:val="18"/>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69" w:right="0"/>
              <w:jc w:val="left"/>
              <w:rPr>
                <w:rFonts w:ascii="Times New Roman" w:hAnsi="Times New Roman" w:cs="Times New Roman" w:eastAsia="Times New Roman" w:hint="default"/>
                <w:sz w:val="18"/>
                <w:szCs w:val="18"/>
              </w:rPr>
            </w:pPr>
            <w:r>
              <w:rPr>
                <w:rFonts w:ascii="Times New Roman"/>
                <w:sz w:val="18"/>
              </w:rPr>
              <w:t>50,000,000.00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320,547.9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62" w:right="0"/>
              <w:jc w:val="left"/>
              <w:rPr>
                <w:rFonts w:ascii="Times New Roman" w:hAnsi="Times New Roman" w:cs="Times New Roman" w:eastAsia="Times New Roman" w:hint="default"/>
                <w:sz w:val="18"/>
                <w:szCs w:val="18"/>
              </w:rPr>
            </w:pPr>
            <w:r>
              <w:rPr>
                <w:rFonts w:ascii="Times New Roman"/>
                <w:sz w:val="18"/>
              </w:rPr>
              <w:t>0.00</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62" w:right="0"/>
              <w:jc w:val="left"/>
              <w:rPr>
                <w:rFonts w:ascii="Times New Roman" w:hAnsi="Times New Roman" w:cs="Times New Roman" w:eastAsia="Times New Roman" w:hint="default"/>
                <w:sz w:val="18"/>
                <w:szCs w:val="18"/>
              </w:rPr>
            </w:pPr>
            <w:r>
              <w:rPr>
                <w:rFonts w:ascii="Times New Roman"/>
                <w:sz w:val="18"/>
              </w:rPr>
              <w:t>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50,000,000.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r>
    </w:tbl>
    <w:p>
      <w:pPr>
        <w:spacing w:line="240" w:lineRule="auto" w:before="3"/>
        <w:rPr>
          <w:rFonts w:ascii="宋体" w:hAnsi="宋体" w:cs="宋体" w:eastAsia="宋体" w:hint="default"/>
          <w:b/>
          <w:bCs/>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）可转换公司债券的转股条件、转股时间说明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4</w:t>
      </w:r>
      <w:r>
        <w:rPr/>
        <w:t>）划分为金融负债的其他金融工具说明</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5274"/>
        <w:jc w:val="left"/>
      </w:pPr>
      <w:r>
        <w:rPr/>
        <w:t>期末发行在外的优先股、永续债等其他金融工具基本情况 无</w:t>
      </w:r>
    </w:p>
    <w:p>
      <w:pPr>
        <w:pStyle w:val="BodyText"/>
        <w:spacing w:line="360" w:lineRule="auto" w:before="29"/>
        <w:ind w:right="5454"/>
        <w:jc w:val="left"/>
      </w:pPr>
      <w:r>
        <w:rPr/>
        <w:t>期末发行在外的优先股、永续债等金融工具变动情况表 无</w:t>
      </w:r>
    </w:p>
    <w:p>
      <w:pPr>
        <w:spacing w:line="240" w:lineRule="auto" w:before="4"/>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47</w:t>
      </w:r>
      <w:r>
        <w:rPr/>
        <w:t>、长期应付款</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48</w:t>
      </w:r>
      <w:r>
        <w:rPr/>
        <w:t>、长期应付职工薪酬</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）长期应付职工薪酬表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t>（</w:t>
      </w:r>
      <w:r>
        <w:rPr>
          <w:rFonts w:ascii="Times New Roman" w:hAnsi="Times New Roman" w:cs="Times New Roman" w:eastAsia="Times New Roman" w:hint="default"/>
        </w:rPr>
        <w:t>2</w:t>
      </w:r>
      <w:r>
        <w:rPr/>
        <w:t>）设定受益计划变动情况</w:t>
      </w:r>
      <w:r>
        <w:rPr>
          <w:b w:val="0"/>
          <w:bCs w:val="0"/>
        </w:rPr>
      </w:r>
    </w:p>
    <w:p>
      <w:pPr>
        <w:spacing w:line="240" w:lineRule="auto" w:before="4"/>
        <w:rPr>
          <w:rFonts w:ascii="宋体" w:hAnsi="宋体" w:cs="宋体" w:eastAsia="宋体" w:hint="default"/>
          <w:b/>
          <w:bCs/>
          <w:sz w:val="26"/>
          <w:szCs w:val="26"/>
        </w:rPr>
      </w:pPr>
    </w:p>
    <w:p>
      <w:pPr>
        <w:pStyle w:val="BodyText"/>
        <w:spacing w:line="360" w:lineRule="auto"/>
        <w:ind w:right="7794"/>
        <w:jc w:val="left"/>
      </w:pPr>
      <w:r>
        <w:rPr/>
        <w:t>设定受益计划义务现值： 无</w:t>
      </w:r>
    </w:p>
    <w:p>
      <w:pPr>
        <w:pStyle w:val="BodyText"/>
        <w:spacing w:line="357" w:lineRule="auto" w:before="27"/>
        <w:ind w:right="8874"/>
        <w:jc w:val="left"/>
      </w:pPr>
      <w:r>
        <w:rPr/>
        <w:t>计划资产： 无</w:t>
      </w:r>
    </w:p>
    <w:p>
      <w:pPr>
        <w:pStyle w:val="BodyText"/>
        <w:spacing w:line="360" w:lineRule="auto" w:before="29"/>
        <w:ind w:right="7254"/>
        <w:jc w:val="left"/>
      </w:pPr>
      <w:r>
        <w:rPr/>
        <w:t>设定受益计划净负债（净资产） 无</w:t>
      </w:r>
    </w:p>
    <w:p>
      <w:pPr>
        <w:spacing w:line="240" w:lineRule="auto" w:before="2"/>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49</w:t>
      </w:r>
      <w:r>
        <w:rPr/>
        <w:t>、专项应付款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50</w:t>
      </w:r>
      <w:r>
        <w:rPr/>
        <w:t>、预计负债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r>
        <w:rPr/>
        <w:pict>
          <v:group style="position:absolute;margin-left:127.82pt;margin-top:357.169983pt;width:49.2pt;height:50.8pt;mso-position-horizontal-relative:page;mso-position-vertical-relative:page;z-index:-1264744" coordorigin="2556,7143" coordsize="984,1016">
            <v:group style="position:absolute;left:2556;top:7143;width:984;height:1016" coordorigin="2556,7143" coordsize="984,1016">
              <v:shape style="position:absolute;left:2556;top:7143;width:984;height:1016" coordorigin="2556,7143" coordsize="984,1016" path="m2556,8159l3540,8159,3540,7143,2556,7143,2556,8159xe" filled="true" fillcolor="#ffffff" stroked="false">
                <v:path arrowok="t"/>
                <v:fill type="solid"/>
              </v:shape>
            </v:group>
            <v:group style="position:absolute;left:2580;top:7455;width:936;height:392" coordorigin="2580,7455" coordsize="936,392">
              <v:shape style="position:absolute;left:2580;top:7455;width:936;height:392" coordorigin="2580,7455" coordsize="936,392" path="m2580,7847l3516,7847,3516,7455,2580,7455,2580,7847xe" filled="true" fillcolor="#ffffff" stroked="false">
                <v:path arrowok="t"/>
                <v:fill type="solid"/>
              </v:shape>
            </v:group>
            <w10:wrap type="none"/>
          </v:group>
        </w:pict>
      </w:r>
    </w:p>
    <w:p>
      <w:pPr>
        <w:pStyle w:val="Heading5"/>
        <w:spacing w:line="240" w:lineRule="auto" w:before="36"/>
        <w:ind w:right="0"/>
        <w:jc w:val="left"/>
        <w:rPr>
          <w:b w:val="0"/>
          <w:bCs w:val="0"/>
        </w:rPr>
      </w:pPr>
      <w:r>
        <w:rPr>
          <w:rFonts w:ascii="Times New Roman" w:hAnsi="Times New Roman" w:cs="Times New Roman" w:eastAsia="Times New Roman" w:hint="default"/>
        </w:rPr>
        <w:t>51</w:t>
      </w:r>
      <w:r>
        <w:rPr/>
        <w:t>、递延收益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594"/>
        <w:gridCol w:w="1597"/>
        <w:gridCol w:w="1594"/>
        <w:gridCol w:w="1596"/>
        <w:gridCol w:w="1594"/>
        <w:gridCol w:w="1594"/>
      </w:tblGrid>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24,203,355.39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31,196,452.81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9,300,000.00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46,099,808.20</w:t>
            </w: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24,203,355.39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31,196,452.81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9,300,000.00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46,099,808.20</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涉及政府补助的项目：</w:t>
      </w:r>
    </w:p>
    <w:p>
      <w:pPr>
        <w:pStyle w:val="BodyText"/>
        <w:spacing w:line="240" w:lineRule="auto" w:before="115"/>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18"/>
        <w:gridCol w:w="991"/>
        <w:gridCol w:w="1136"/>
        <w:gridCol w:w="1133"/>
        <w:gridCol w:w="994"/>
        <w:gridCol w:w="1133"/>
        <w:gridCol w:w="852"/>
        <w:gridCol w:w="850"/>
        <w:gridCol w:w="1063"/>
      </w:tblGrid>
      <w:tr>
        <w:trPr>
          <w:trHeight w:val="1025"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41"/>
              <w:jc w:val="right"/>
              <w:rPr>
                <w:rFonts w:ascii="宋体" w:hAnsi="宋体" w:cs="宋体" w:eastAsia="宋体" w:hint="default"/>
                <w:sz w:val="18"/>
                <w:szCs w:val="18"/>
              </w:rPr>
            </w:pPr>
            <w:r>
              <w:rPr>
                <w:rFonts w:ascii="宋体" w:hAnsi="宋体" w:cs="宋体" w:eastAsia="宋体" w:hint="default"/>
                <w:sz w:val="18"/>
                <w:szCs w:val="18"/>
              </w:rPr>
              <w:t>负债项目</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92" w:right="111"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112" w:right="108"/>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0" w:right="41"/>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12" w:right="108"/>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60"/>
              <w:jc w:val="right"/>
              <w:rPr>
                <w:rFonts w:ascii="宋体" w:hAnsi="宋体" w:cs="宋体" w:eastAsia="宋体" w:hint="default"/>
                <w:sz w:val="18"/>
                <w:szCs w:val="18"/>
              </w:rPr>
            </w:pPr>
            <w:r>
              <w:rPr>
                <w:rFonts w:ascii="宋体" w:hAnsi="宋体" w:cs="宋体" w:eastAsia="宋体" w:hint="default"/>
                <w:sz w:val="18"/>
                <w:szCs w:val="18"/>
              </w:rPr>
              <w:t>其他变动</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76" w:right="48" w:hanging="24"/>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027"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3"/>
              <w:jc w:val="both"/>
              <w:rPr>
                <w:rFonts w:ascii="宋体" w:hAnsi="宋体" w:cs="宋体" w:eastAsia="宋体" w:hint="default"/>
                <w:sz w:val="18"/>
                <w:szCs w:val="18"/>
              </w:rPr>
            </w:pPr>
            <w:r>
              <w:rPr>
                <w:rFonts w:ascii="宋体" w:hAnsi="宋体" w:cs="宋体" w:eastAsia="宋体" w:hint="default"/>
                <w:sz w:val="18"/>
                <w:szCs w:val="18"/>
              </w:rPr>
              <w:t>天津滨海高新技 术产业开发区落 户项目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12,000,000.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12,000,00</w:t>
            </w:r>
          </w:p>
          <w:p>
            <w:pPr>
              <w:pStyle w:val="TableParagraph"/>
              <w:spacing w:line="240" w:lineRule="auto" w:before="102"/>
              <w:ind w:left="504" w:right="0"/>
              <w:jc w:val="left"/>
              <w:rPr>
                <w:rFonts w:ascii="Times New Roman" w:hAnsi="Times New Roman" w:cs="Times New Roman" w:eastAsia="Times New Roman" w:hint="default"/>
                <w:sz w:val="18"/>
                <w:szCs w:val="18"/>
              </w:rPr>
            </w:pPr>
            <w:r>
              <w:rPr>
                <w:rFonts w:ascii="Times New Roman"/>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38"/>
              <w:jc w:val="left"/>
              <w:rPr>
                <w:rFonts w:ascii="宋体" w:hAnsi="宋体" w:cs="宋体" w:eastAsia="宋体" w:hint="default"/>
                <w:sz w:val="18"/>
                <w:szCs w:val="18"/>
              </w:rPr>
            </w:pPr>
            <w:r>
              <w:rPr>
                <w:rFonts w:ascii="Times New Roman" w:hAnsi="Times New Roman" w:cs="Times New Roman" w:eastAsia="Times New Roman" w:hint="default"/>
                <w:sz w:val="18"/>
                <w:szCs w:val="18"/>
              </w:rPr>
              <w:t>4G</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车联网芯片及 方案项目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11,700,000.00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11,700,00</w:t>
            </w:r>
          </w:p>
          <w:p>
            <w:pPr>
              <w:pStyle w:val="TableParagraph"/>
              <w:spacing w:line="240" w:lineRule="auto" w:before="105"/>
              <w:ind w:left="504" w:right="0"/>
              <w:jc w:val="left"/>
              <w:rPr>
                <w:rFonts w:ascii="Times New Roman" w:hAnsi="Times New Roman" w:cs="Times New Roman" w:eastAsia="Times New Roman" w:hint="default"/>
                <w:sz w:val="18"/>
                <w:szCs w:val="18"/>
              </w:rPr>
            </w:pPr>
            <w:r>
              <w:rPr>
                <w:rFonts w:ascii="Times New Roman"/>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22" w:right="123"/>
              <w:jc w:val="left"/>
              <w:rPr>
                <w:rFonts w:ascii="宋体" w:hAnsi="宋体" w:cs="宋体" w:eastAsia="宋体" w:hint="default"/>
                <w:sz w:val="18"/>
                <w:szCs w:val="18"/>
              </w:rPr>
            </w:pPr>
            <w:r>
              <w:rPr>
                <w:rFonts w:ascii="宋体" w:hAnsi="宋体" w:cs="宋体" w:eastAsia="宋体" w:hint="default"/>
                <w:sz w:val="18"/>
                <w:szCs w:val="18"/>
              </w:rPr>
              <w:t>高新区经贸局一 事一议政策兑现</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（智能驾驶系统</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645"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60"/>
              <w:ind w:left="-135" w:right="0"/>
              <w:jc w:val="left"/>
              <w:rPr>
                <w:rFonts w:ascii="宋体" w:hAnsi="宋体" w:cs="宋体" w:eastAsia="宋体" w:hint="default"/>
                <w:sz w:val="18"/>
                <w:szCs w:val="18"/>
              </w:rPr>
            </w:pPr>
            <w:r>
              <w:rPr>
                <w:rFonts w:ascii="宋体" w:hAnsi="宋体" w:cs="宋体" w:eastAsia="宋体" w:hint="default"/>
                <w:sz w:val="18"/>
                <w:szCs w:val="18"/>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49"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22" w:right="123"/>
              <w:jc w:val="both"/>
              <w:rPr>
                <w:rFonts w:ascii="宋体" w:hAnsi="宋体" w:cs="宋体" w:eastAsia="宋体" w:hint="default"/>
                <w:sz w:val="18"/>
                <w:szCs w:val="18"/>
              </w:rPr>
            </w:pPr>
            <w:r>
              <w:rPr>
                <w:rFonts w:ascii="宋体" w:hAnsi="宋体" w:cs="宋体" w:eastAsia="宋体" w:hint="default"/>
                <w:sz w:val="18"/>
                <w:szCs w:val="18"/>
              </w:rPr>
              <w:t>可追溯商用车高 效物流服务平台 北京市工程实验 室创新能力建设 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6,330,000.0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6,330,000.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9"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3"/>
              <w:jc w:val="both"/>
              <w:rPr>
                <w:rFonts w:ascii="宋体" w:hAnsi="宋体" w:cs="宋体" w:eastAsia="宋体" w:hint="default"/>
                <w:sz w:val="18"/>
                <w:szCs w:val="18"/>
              </w:rPr>
            </w:pPr>
            <w:r>
              <w:rPr>
                <w:rFonts w:ascii="宋体" w:hAnsi="宋体" w:cs="宋体" w:eastAsia="宋体" w:hint="default"/>
                <w:sz w:val="18"/>
                <w:szCs w:val="18"/>
              </w:rPr>
              <w:t>上海交通大数据 服务平台构建与 应用关键技术研 究项目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3,169,811.2</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3</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792,452.81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3,962,264.</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23"/>
              <w:jc w:val="both"/>
              <w:rPr>
                <w:rFonts w:ascii="宋体" w:hAnsi="宋体" w:cs="宋体" w:eastAsia="宋体" w:hint="default"/>
                <w:sz w:val="18"/>
                <w:szCs w:val="18"/>
              </w:rPr>
            </w:pPr>
            <w:r>
              <w:rPr>
                <w:rFonts w:ascii="宋体" w:hAnsi="宋体" w:cs="宋体" w:eastAsia="宋体" w:hint="default"/>
                <w:sz w:val="18"/>
                <w:szCs w:val="18"/>
              </w:rPr>
              <w:t>广域实时精密定 位技术与示范系 统项目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1,703,544.1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1,703,544.</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16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室内高精度测图 与实时</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GIS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技术</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1,204,000.00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1,204,000.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324"/>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小巨人</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23"/>
              <w:jc w:val="both"/>
              <w:rPr>
                <w:rFonts w:ascii="宋体" w:hAnsi="宋体" w:cs="宋体" w:eastAsia="宋体" w:hint="default"/>
                <w:sz w:val="18"/>
                <w:szCs w:val="18"/>
              </w:rPr>
            </w:pPr>
            <w:r>
              <w:rPr>
                <w:rFonts w:ascii="宋体" w:hAnsi="宋体" w:cs="宋体" w:eastAsia="宋体" w:hint="default"/>
                <w:sz w:val="18"/>
                <w:szCs w:val="18"/>
              </w:rPr>
              <w:t>星基相位增强系 统关键技术与示 范项目</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23"/>
              <w:jc w:val="left"/>
              <w:rPr>
                <w:rFonts w:ascii="宋体" w:hAnsi="宋体" w:cs="宋体" w:eastAsia="宋体" w:hint="default"/>
                <w:sz w:val="18"/>
                <w:szCs w:val="18"/>
              </w:rPr>
            </w:pPr>
            <w:r>
              <w:rPr>
                <w:rFonts w:ascii="宋体" w:hAnsi="宋体" w:cs="宋体" w:eastAsia="宋体" w:hint="default"/>
                <w:sz w:val="18"/>
                <w:szCs w:val="18"/>
              </w:rPr>
              <w:t>杨浦创新专项资 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18"/>
        <w:gridCol w:w="991"/>
        <w:gridCol w:w="1136"/>
        <w:gridCol w:w="1133"/>
        <w:gridCol w:w="994"/>
        <w:gridCol w:w="1133"/>
        <w:gridCol w:w="852"/>
        <w:gridCol w:w="850"/>
        <w:gridCol w:w="1063"/>
      </w:tblGrid>
      <w:tr>
        <w:trPr>
          <w:trHeight w:val="713"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74"/>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年集成电路 引导资金</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45" w:right="0"/>
              <w:jc w:val="left"/>
              <w:rPr>
                <w:rFonts w:ascii="Times New Roman" w:hAnsi="Times New Roman" w:cs="Times New Roman" w:eastAsia="Times New Roman" w:hint="default"/>
                <w:sz w:val="18"/>
                <w:szCs w:val="18"/>
              </w:rPr>
            </w:pPr>
            <w:r>
              <w:rPr>
                <w:rFonts w:ascii="Times New Roman"/>
                <w:sz w:val="18"/>
              </w:rPr>
              <w:t>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6,000,000.00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4" w:right="0"/>
              <w:jc w:val="left"/>
              <w:rPr>
                <w:rFonts w:ascii="Times New Roman" w:hAnsi="Times New Roman" w:cs="Times New Roman" w:eastAsia="Times New Roman" w:hint="default"/>
                <w:sz w:val="18"/>
                <w:szCs w:val="18"/>
              </w:rPr>
            </w:pPr>
            <w:r>
              <w:rPr>
                <w:rFonts w:ascii="Times New Roman"/>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24,203,355.</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39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31,196,452.81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9,300,000.00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98" w:right="0"/>
              <w:jc w:val="left"/>
              <w:rPr>
                <w:rFonts w:ascii="Times New Roman" w:hAnsi="Times New Roman" w:cs="Times New Roman" w:eastAsia="Times New Roman" w:hint="default"/>
                <w:sz w:val="18"/>
                <w:szCs w:val="18"/>
              </w:rPr>
            </w:pPr>
            <w:r>
              <w:rPr>
                <w:rFonts w:ascii="Times New Roman"/>
                <w:sz w:val="18"/>
              </w:rPr>
              <w:t>46,099,80</w:t>
            </w:r>
          </w:p>
          <w:p>
            <w:pPr>
              <w:pStyle w:val="TableParagraph"/>
              <w:spacing w:line="240" w:lineRule="auto" w:before="102"/>
              <w:ind w:left="504" w:right="0"/>
              <w:jc w:val="left"/>
              <w:rPr>
                <w:rFonts w:ascii="Times New Roman" w:hAnsi="Times New Roman" w:cs="Times New Roman" w:eastAsia="Times New Roman" w:hint="default"/>
                <w:sz w:val="18"/>
                <w:szCs w:val="18"/>
              </w:rPr>
            </w:pPr>
            <w:r>
              <w:rPr>
                <w:rFonts w:ascii="Times New Roman"/>
                <w:sz w:val="18"/>
              </w:rPr>
              <w:t>8.20</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5"/>
        <w:spacing w:line="240" w:lineRule="auto" w:before="36"/>
        <w:ind w:right="94"/>
        <w:jc w:val="left"/>
        <w:rPr>
          <w:b w:val="0"/>
          <w:bCs w:val="0"/>
        </w:rPr>
      </w:pPr>
      <w:r>
        <w:rPr>
          <w:rFonts w:ascii="Times New Roman" w:hAnsi="Times New Roman" w:cs="Times New Roman" w:eastAsia="Times New Roman" w:hint="default"/>
        </w:rPr>
        <w:t>52</w:t>
      </w:r>
      <w:r>
        <w:rPr/>
        <w:t>、其他非流动负债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94"/>
        <w:jc w:val="left"/>
        <w:rPr>
          <w:b w:val="0"/>
          <w:bCs w:val="0"/>
        </w:rPr>
      </w:pPr>
      <w:r>
        <w:rPr>
          <w:rFonts w:ascii="Times New Roman" w:hAnsi="Times New Roman" w:cs="Times New Roman" w:eastAsia="Times New Roman" w:hint="default"/>
        </w:rPr>
        <w:t>53</w:t>
      </w:r>
      <w:r>
        <w:rPr/>
        <w:t>、股本</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91"/>
        <w:jc w:val="right"/>
      </w:pPr>
      <w:r>
        <w:rPr/>
        <w:t>单位：元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196"/>
        <w:gridCol w:w="1198"/>
        <w:gridCol w:w="1196"/>
        <w:gridCol w:w="1195"/>
        <w:gridCol w:w="1198"/>
        <w:gridCol w:w="1195"/>
        <w:gridCol w:w="1196"/>
        <w:gridCol w:w="1198"/>
      </w:tblGrid>
      <w:tr>
        <w:trPr>
          <w:trHeight w:val="402" w:hRule="exact"/>
        </w:trPr>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198"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发行新股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43"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198"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1,066,527,265.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 w:right="0"/>
              <w:jc w:val="center"/>
              <w:rPr>
                <w:rFonts w:ascii="Times New Roman" w:hAnsi="Times New Roman" w:cs="Times New Roman" w:eastAsia="Times New Roman" w:hint="default"/>
                <w:sz w:val="18"/>
                <w:szCs w:val="18"/>
              </w:rPr>
            </w:pPr>
            <w:r>
              <w:rPr>
                <w:rFonts w:ascii="Times New Roman"/>
                <w:sz w:val="18"/>
              </w:rPr>
              <w:t>216,341,748.00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2" w:right="0"/>
              <w:jc w:val="left"/>
              <w:rPr>
                <w:rFonts w:ascii="Times New Roman" w:hAnsi="Times New Roman" w:cs="Times New Roman" w:eastAsia="Times New Roman" w:hint="default"/>
                <w:sz w:val="18"/>
                <w:szCs w:val="18"/>
              </w:rPr>
            </w:pPr>
            <w:r>
              <w:rPr>
                <w:rFonts w:ascii="Times New Roman"/>
                <w:sz w:val="18"/>
              </w:rPr>
              <w:t>-254,000.00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 w:right="0"/>
              <w:jc w:val="center"/>
              <w:rPr>
                <w:rFonts w:ascii="Times New Roman" w:hAnsi="Times New Roman" w:cs="Times New Roman" w:eastAsia="Times New Roman" w:hint="default"/>
                <w:sz w:val="18"/>
                <w:szCs w:val="18"/>
              </w:rPr>
            </w:pPr>
            <w:r>
              <w:rPr>
                <w:rFonts w:ascii="Times New Roman"/>
                <w:sz w:val="18"/>
              </w:rPr>
              <w:t>216,087,748.00</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1,282,615,013.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00</w:t>
            </w:r>
          </w:p>
        </w:tc>
      </w:tr>
    </w:tbl>
    <w:p>
      <w:pPr>
        <w:pStyle w:val="BodyText"/>
        <w:spacing w:line="240" w:lineRule="auto" w:before="49"/>
        <w:ind w:right="94"/>
        <w:jc w:val="left"/>
      </w:pPr>
      <w:r>
        <w:rPr/>
        <w:t>其他说明：</w:t>
      </w:r>
    </w:p>
    <w:p>
      <w:pPr>
        <w:spacing w:line="240" w:lineRule="auto" w:before="2"/>
        <w:rPr>
          <w:rFonts w:ascii="宋体" w:hAnsi="宋体" w:cs="宋体" w:eastAsia="宋体" w:hint="default"/>
          <w:sz w:val="24"/>
          <w:szCs w:val="24"/>
        </w:rPr>
      </w:pPr>
    </w:p>
    <w:p>
      <w:pPr>
        <w:pStyle w:val="BodyText"/>
        <w:spacing w:line="307" w:lineRule="auto"/>
        <w:ind w:right="189" w:firstLine="439"/>
        <w:jc w:val="both"/>
      </w:pPr>
      <w:r>
        <w:rPr>
          <w:spacing w:val="-2"/>
        </w:rPr>
        <w:t>注</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7</w:t>
      </w:r>
      <w:r>
        <w:rPr>
          <w:spacing w:val="-2"/>
        </w:rPr>
        <w:t>日，根据本公司</w:t>
      </w:r>
      <w:r>
        <w:rPr>
          <w:rFonts w:ascii="Times New Roman" w:hAnsi="Times New Roman" w:cs="Times New Roman" w:eastAsia="Times New Roman" w:hint="default"/>
          <w:spacing w:val="-2"/>
        </w:rPr>
        <w:t>2016</w:t>
      </w:r>
      <w:r>
        <w:rPr>
          <w:spacing w:val="-2"/>
        </w:rPr>
        <w:t>年第三届董事会第二十一次会议、</w:t>
      </w:r>
      <w:r>
        <w:rPr>
          <w:rFonts w:ascii="Times New Roman" w:hAnsi="Times New Roman" w:cs="Times New Roman" w:eastAsia="Times New Roman" w:hint="default"/>
          <w:spacing w:val="-2"/>
        </w:rPr>
        <w:t>2015</w:t>
      </w:r>
      <w:r>
        <w:rPr>
          <w:spacing w:val="-2"/>
        </w:rPr>
        <w:t>年度股东大会审议批准，并经中国证券监</w:t>
      </w:r>
      <w:r>
        <w:rPr/>
        <w:t> </w:t>
      </w:r>
      <w:r>
        <w:rPr>
          <w:spacing w:val="-2"/>
        </w:rPr>
        <w:t>督管理委员会《关于核准北京四维图新科技股份有限公司向合肥高新科技创业投资有限公司等发行股份购买资产并募集配套</w:t>
      </w:r>
      <w:r>
        <w:rPr>
          <w:spacing w:val="-64"/>
        </w:rPr>
        <w:t> </w:t>
      </w:r>
      <w:r>
        <w:rPr>
          <w:spacing w:val="-64"/>
        </w:rPr>
      </w:r>
      <w:r>
        <w:rPr>
          <w:spacing w:val="-1"/>
        </w:rPr>
        <w:t>资金的批复》（证监许可</w:t>
      </w:r>
      <w:r>
        <w:rPr>
          <w:rFonts w:ascii="Times New Roman" w:hAnsi="Times New Roman" w:cs="Times New Roman" w:eastAsia="Times New Roman" w:hint="default"/>
          <w:spacing w:val="-1"/>
        </w:rPr>
        <w:t>[2017]22</w:t>
      </w:r>
      <w:r>
        <w:rPr>
          <w:spacing w:val="-1"/>
        </w:rPr>
        <w:t>号）的核准，同意本公司向合肥高新科技创业投资有限公司、宁波杰康投资管理合伙企业</w:t>
      </w:r>
    </w:p>
    <w:p>
      <w:pPr>
        <w:pStyle w:val="BodyText"/>
        <w:spacing w:line="304" w:lineRule="auto" w:before="7"/>
        <w:ind w:right="94"/>
        <w:jc w:val="left"/>
      </w:pPr>
      <w:r>
        <w:rPr>
          <w:spacing w:val="-2"/>
        </w:rPr>
        <w:t>（有限合伙）、宁波杰浩投资管理合伙企业（有限合伙）、宁波杰朗投资管理合伙企业（有限合伙）、宁波杰晟投资管理合</w:t>
      </w:r>
      <w:r>
        <w:rPr>
          <w:spacing w:val="-65"/>
        </w:rPr>
        <w:t> </w:t>
      </w:r>
      <w:r>
        <w:rPr>
          <w:spacing w:val="-65"/>
        </w:rPr>
      </w:r>
      <w:r>
        <w:rPr/>
        <w:t>伙企业（有限合伙）共</w:t>
      </w:r>
      <w:r>
        <w:rPr>
          <w:rFonts w:ascii="Times New Roman" w:hAnsi="Times New Roman" w:cs="Times New Roman" w:eastAsia="Times New Roman" w:hint="default"/>
        </w:rPr>
        <w:t>5</w:t>
      </w:r>
      <w:r>
        <w:rPr/>
        <w:t>位交易对方共计发行</w:t>
      </w:r>
      <w:r>
        <w:rPr>
          <w:rFonts w:ascii="Times New Roman" w:hAnsi="Times New Roman" w:cs="Times New Roman" w:eastAsia="Times New Roman" w:hint="default"/>
        </w:rPr>
        <w:t>19,418,723</w:t>
      </w:r>
      <w:r>
        <w:rPr/>
        <w:t>股新股购买其持有的合肥杰发科技有限公司（原名杰发科技（合肥） 有限公司，以下简称杰发科技）股权。本公司本次实际发行数量为</w:t>
      </w:r>
      <w:r>
        <w:rPr>
          <w:rFonts w:ascii="Times New Roman" w:hAnsi="Times New Roman" w:cs="Times New Roman" w:eastAsia="Times New Roman" w:hint="default"/>
        </w:rPr>
        <w:t>19,418,723</w:t>
      </w:r>
      <w:r>
        <w:rPr/>
        <w:t>股新股，股票的每股面值人民币</w:t>
      </w:r>
      <w:r>
        <w:rPr>
          <w:rFonts w:ascii="Times New Roman" w:hAnsi="Times New Roman" w:cs="Times New Roman" w:eastAsia="Times New Roman" w:hint="default"/>
        </w:rPr>
        <w:t>1.00</w:t>
      </w:r>
      <w:r>
        <w:rPr/>
        <w:t>元，发行</w:t>
      </w:r>
      <w:r>
        <w:rPr>
          <w:spacing w:val="-45"/>
        </w:rPr>
        <w:t> </w:t>
      </w:r>
      <w:r>
        <w:rPr>
          <w:spacing w:val="-45"/>
        </w:rPr>
      </w:r>
      <w:r>
        <w:rPr>
          <w:spacing w:val="-2"/>
        </w:rPr>
        <w:t>价格为每股人民币</w:t>
      </w:r>
      <w:r>
        <w:rPr>
          <w:rFonts w:ascii="Times New Roman" w:hAnsi="Times New Roman" w:cs="Times New Roman" w:eastAsia="Times New Roman" w:hint="default"/>
          <w:spacing w:val="-2"/>
        </w:rPr>
        <w:t>17.02</w:t>
      </w:r>
      <w:r>
        <w:rPr>
          <w:spacing w:val="-2"/>
        </w:rPr>
        <w:t>元，本次实际增加股本人民币</w:t>
      </w:r>
      <w:r>
        <w:rPr>
          <w:rFonts w:ascii="Times New Roman" w:hAnsi="Times New Roman" w:cs="Times New Roman" w:eastAsia="Times New Roman" w:hint="default"/>
          <w:spacing w:val="-2"/>
        </w:rPr>
        <w:t>19,418,723.00</w:t>
      </w:r>
      <w:r>
        <w:rPr>
          <w:spacing w:val="-2"/>
        </w:rPr>
        <w:t>元，变更后的股本为</w:t>
      </w:r>
      <w:r>
        <w:rPr>
          <w:rFonts w:ascii="Times New Roman" w:hAnsi="Times New Roman" w:cs="Times New Roman" w:eastAsia="Times New Roman" w:hint="default"/>
          <w:spacing w:val="-2"/>
        </w:rPr>
        <w:t>1,085,945,988.00</w:t>
      </w:r>
      <w:r>
        <w:rPr>
          <w:spacing w:val="-2"/>
        </w:rPr>
        <w:t>元。此次变更业经信</w:t>
      </w:r>
      <w:r>
        <w:rPr>
          <w:spacing w:val="-35"/>
        </w:rPr>
        <w:t> </w:t>
      </w:r>
      <w:r>
        <w:rPr>
          <w:spacing w:val="-35"/>
        </w:rPr>
      </w:r>
      <w:r>
        <w:rPr/>
        <w:t>永中和会计师事务所（特殊普通合伙）出具</w:t>
      </w:r>
      <w:r>
        <w:rPr>
          <w:rFonts w:ascii="Times New Roman" w:hAnsi="Times New Roman" w:cs="Times New Roman" w:eastAsia="Times New Roman" w:hint="default"/>
        </w:rPr>
        <w:t>“XYZH/2017BJA70061”</w:t>
      </w:r>
      <w:r>
        <w:rPr>
          <w:rFonts w:ascii="Times New Roman" w:hAnsi="Times New Roman" w:cs="Times New Roman" w:eastAsia="Times New Roman" w:hint="default"/>
          <w:spacing w:val="26"/>
        </w:rPr>
        <w:t> </w:t>
      </w:r>
      <w:r>
        <w:rPr/>
        <w:t>号验资报告予以审验。</w:t>
      </w:r>
    </w:p>
    <w:p>
      <w:pPr>
        <w:spacing w:line="240" w:lineRule="auto" w:before="0"/>
        <w:rPr>
          <w:rFonts w:ascii="宋体" w:hAnsi="宋体" w:cs="宋体" w:eastAsia="宋体" w:hint="default"/>
          <w:sz w:val="19"/>
          <w:szCs w:val="19"/>
        </w:rPr>
      </w:pPr>
    </w:p>
    <w:p>
      <w:pPr>
        <w:pStyle w:val="BodyText"/>
        <w:spacing w:line="304" w:lineRule="auto"/>
        <w:ind w:right="177" w:firstLine="439"/>
        <w:jc w:val="both"/>
      </w:pPr>
      <w:r>
        <w:rPr/>
        <w:t>注</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10</w:t>
      </w:r>
      <w:r>
        <w:rPr/>
        <w:t>日，根据本公司</w:t>
      </w:r>
      <w:r>
        <w:rPr>
          <w:rFonts w:ascii="Times New Roman" w:hAnsi="Times New Roman" w:cs="Times New Roman" w:eastAsia="Times New Roman" w:hint="default"/>
        </w:rPr>
        <w:t>2016</w:t>
      </w:r>
      <w:r>
        <w:rPr/>
        <w:t>年第三届董事会第二十一次会议、</w:t>
      </w:r>
      <w:r>
        <w:rPr>
          <w:rFonts w:ascii="Times New Roman" w:hAnsi="Times New Roman" w:cs="Times New Roman" w:eastAsia="Times New Roman" w:hint="default"/>
        </w:rPr>
        <w:t>2015</w:t>
      </w:r>
      <w:r>
        <w:rPr/>
        <w:t>年度股东大会审议批准，并经中国证券 </w:t>
      </w:r>
      <w:r>
        <w:rPr>
          <w:spacing w:val="-2"/>
        </w:rPr>
        <w:t>监督管理委员会《关于核准北京四维图新科技股份有限公司向合肥高新科技创业投资有限公司等发行股份购买资产并募集配</w:t>
      </w:r>
      <w:r>
        <w:rPr>
          <w:spacing w:val="-64"/>
        </w:rPr>
        <w:t> </w:t>
      </w:r>
      <w:r>
        <w:rPr>
          <w:spacing w:val="-64"/>
        </w:rPr>
      </w:r>
      <w:r>
        <w:rPr>
          <w:spacing w:val="-1"/>
        </w:rPr>
        <w:t>套资金的批复》（证监许可</w:t>
      </w:r>
      <w:r>
        <w:rPr>
          <w:rFonts w:ascii="Times New Roman" w:hAnsi="Times New Roman" w:cs="Times New Roman" w:eastAsia="Times New Roman" w:hint="default"/>
          <w:spacing w:val="-1"/>
        </w:rPr>
        <w:t>[2017]22</w:t>
      </w:r>
      <w:r>
        <w:rPr>
          <w:spacing w:val="-1"/>
        </w:rPr>
        <w:t>号）的核准，同意本公司非公开发行不超过</w:t>
      </w:r>
      <w:r>
        <w:rPr>
          <w:rFonts w:ascii="Times New Roman" w:hAnsi="Times New Roman" w:cs="Times New Roman" w:eastAsia="Times New Roman" w:hint="default"/>
          <w:spacing w:val="-1"/>
        </w:rPr>
        <w:t>223,266,740</w:t>
      </w:r>
      <w:r>
        <w:rPr>
          <w:spacing w:val="-1"/>
        </w:rPr>
        <w:t>股新股。本公司本次实际发行数</w:t>
      </w:r>
      <w:r>
        <w:rPr>
          <w:spacing w:val="-58"/>
        </w:rPr>
        <w:t> </w:t>
      </w:r>
      <w:r>
        <w:rPr>
          <w:spacing w:val="-58"/>
        </w:rPr>
      </w:r>
      <w:r>
        <w:rPr>
          <w:spacing w:val="2"/>
        </w:rPr>
        <w:t>量为</w:t>
      </w:r>
      <w:r>
        <w:rPr>
          <w:rFonts w:ascii="Times New Roman" w:hAnsi="Times New Roman" w:cs="Times New Roman" w:eastAsia="Times New Roman" w:hint="default"/>
          <w:spacing w:val="2"/>
        </w:rPr>
        <w:t>196,923,025</w:t>
      </w:r>
      <w:r>
        <w:rPr>
          <w:rFonts w:ascii="Times New Roman" w:hAnsi="Times New Roman" w:cs="Times New Roman" w:eastAsia="Times New Roman" w:hint="default"/>
          <w:spacing w:val="-26"/>
        </w:rPr>
        <w:t> </w:t>
      </w:r>
      <w:r>
        <w:rPr>
          <w:spacing w:val="11"/>
        </w:rPr>
        <w:t>股新股，股票的每股面值人民币</w:t>
      </w:r>
      <w:r>
        <w:rPr>
          <w:rFonts w:ascii="Times New Roman" w:hAnsi="Times New Roman" w:cs="Times New Roman" w:eastAsia="Times New Roman" w:hint="default"/>
          <w:spacing w:val="11"/>
        </w:rPr>
        <w:t>1.00</w:t>
      </w:r>
      <w:r>
        <w:rPr>
          <w:rFonts w:ascii="Times New Roman" w:hAnsi="Times New Roman" w:cs="Times New Roman" w:eastAsia="Times New Roman" w:hint="default"/>
          <w:spacing w:val="-26"/>
        </w:rPr>
        <w:t> </w:t>
      </w:r>
      <w:r>
        <w:rPr>
          <w:spacing w:val="12"/>
        </w:rPr>
        <w:t>元，发行价格为每股人民币</w:t>
      </w:r>
      <w:r>
        <w:rPr>
          <w:spacing w:val="-71"/>
        </w:rPr>
        <w:t> </w:t>
      </w:r>
      <w:r>
        <w:rPr>
          <w:rFonts w:ascii="Times New Roman" w:hAnsi="Times New Roman" w:cs="Times New Roman" w:eastAsia="Times New Roman" w:hint="default"/>
        </w:rPr>
        <w:t>17.02</w:t>
      </w:r>
      <w:r>
        <w:rPr>
          <w:rFonts w:ascii="Times New Roman" w:hAnsi="Times New Roman" w:cs="Times New Roman" w:eastAsia="Times New Roman" w:hint="default"/>
          <w:spacing w:val="-26"/>
        </w:rPr>
        <w:t> </w:t>
      </w:r>
      <w:r>
        <w:rPr>
          <w:spacing w:val="14"/>
        </w:rPr>
        <w:t>元，本次实际增加股本人民币</w:t>
      </w:r>
      <w:r>
        <w:rPr>
          <w:spacing w:val="-85"/>
        </w:rPr>
        <w:t> </w:t>
      </w:r>
      <w:r>
        <w:rPr>
          <w:spacing w:val="-85"/>
        </w:rPr>
      </w:r>
      <w:r>
        <w:rPr>
          <w:rFonts w:ascii="Times New Roman" w:hAnsi="Times New Roman" w:cs="Times New Roman" w:eastAsia="Times New Roman" w:hint="default"/>
        </w:rPr>
        <w:t>196,923,025.00</w:t>
      </w:r>
      <w:r>
        <w:rPr>
          <w:rFonts w:ascii="Times New Roman" w:hAnsi="Times New Roman" w:cs="Times New Roman" w:eastAsia="Times New Roman" w:hint="default"/>
          <w:spacing w:val="-27"/>
        </w:rPr>
        <w:t> </w:t>
      </w:r>
      <w:r>
        <w:rPr>
          <w:spacing w:val="7"/>
        </w:rPr>
        <w:t>元，</w:t>
      </w:r>
      <w:r>
        <w:rPr>
          <w:spacing w:val="-75"/>
        </w:rPr>
        <w:t> </w:t>
      </w:r>
      <w:r>
        <w:rPr>
          <w:spacing w:val="12"/>
        </w:rPr>
        <w:t>变更后的股本为</w:t>
      </w:r>
      <w:r>
        <w:rPr>
          <w:spacing w:val="-75"/>
        </w:rPr>
        <w:t> </w:t>
      </w:r>
      <w:r>
        <w:rPr>
          <w:rFonts w:ascii="Times New Roman" w:hAnsi="Times New Roman" w:cs="Times New Roman" w:eastAsia="Times New Roman" w:hint="default"/>
        </w:rPr>
        <w:t>1,282,869,013.00</w:t>
      </w:r>
      <w:r>
        <w:rPr>
          <w:rFonts w:ascii="Times New Roman" w:hAnsi="Times New Roman" w:cs="Times New Roman" w:eastAsia="Times New Roman" w:hint="default"/>
          <w:spacing w:val="-27"/>
        </w:rPr>
        <w:t> </w:t>
      </w:r>
      <w:r>
        <w:rPr>
          <w:spacing w:val="7"/>
        </w:rPr>
        <w:t>元。</w:t>
      </w:r>
      <w:r>
        <w:rPr>
          <w:spacing w:val="-75"/>
        </w:rPr>
        <w:t> </w:t>
      </w:r>
      <w:r>
        <w:rPr>
          <w:spacing w:val="14"/>
        </w:rPr>
        <w:t>此次变更业经信永中和会计师事务所（</w:t>
      </w:r>
      <w:r>
        <w:rPr>
          <w:spacing w:val="-75"/>
        </w:rPr>
        <w:t> </w:t>
      </w:r>
      <w:r>
        <w:rPr>
          <w:spacing w:val="13"/>
        </w:rPr>
        <w:t>特殊普通合伙）出具</w:t>
      </w:r>
      <w:r>
        <w:rPr/>
        <w:t> </w:t>
      </w:r>
      <w:r>
        <w:rPr>
          <w:rFonts w:ascii="Times New Roman" w:hAnsi="Times New Roman" w:cs="Times New Roman" w:eastAsia="Times New Roman" w:hint="default"/>
        </w:rPr>
        <w:t>“XYZH/2017BJA70066”</w:t>
      </w:r>
      <w:r>
        <w:rPr>
          <w:rFonts w:ascii="Times New Roman" w:hAnsi="Times New Roman" w:cs="Times New Roman" w:eastAsia="Times New Roman" w:hint="default"/>
          <w:spacing w:val="23"/>
        </w:rPr>
        <w:t> </w:t>
      </w:r>
      <w:r>
        <w:rPr/>
        <w:t>号验资报告予以审验。</w:t>
      </w:r>
    </w:p>
    <w:p>
      <w:pPr>
        <w:spacing w:line="240" w:lineRule="auto" w:before="1"/>
        <w:rPr>
          <w:rFonts w:ascii="宋体" w:hAnsi="宋体" w:cs="宋体" w:eastAsia="宋体" w:hint="default"/>
          <w:sz w:val="19"/>
          <w:szCs w:val="19"/>
        </w:rPr>
      </w:pPr>
    </w:p>
    <w:p>
      <w:pPr>
        <w:pStyle w:val="BodyText"/>
        <w:spacing w:line="300" w:lineRule="auto"/>
        <w:ind w:right="191" w:firstLine="439"/>
        <w:jc w:val="both"/>
      </w:pPr>
      <w:r>
        <w:rPr>
          <w:spacing w:val="-3"/>
        </w:rPr>
        <w:t>注</w:t>
      </w:r>
      <w:r>
        <w:rPr>
          <w:rFonts w:ascii="Times New Roman" w:hAnsi="Times New Roman" w:cs="Times New Roman" w:eastAsia="Times New Roman" w:hint="default"/>
          <w:spacing w:val="-3"/>
        </w:rPr>
        <w:t>3</w:t>
      </w:r>
      <w:r>
        <w:rPr>
          <w:spacing w:val="-3"/>
        </w:rPr>
        <w:t>：</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15</w:t>
      </w:r>
      <w:r>
        <w:rPr>
          <w:spacing w:val="-3"/>
        </w:rPr>
        <w:t>日，根据本公司第三届董事会第二十八次会议审议通过的《关于回购注销部分限制性股票的议案》，</w:t>
      </w:r>
      <w:r>
        <w:rPr/>
        <w:t> </w:t>
      </w:r>
      <w:r>
        <w:rPr>
          <w:spacing w:val="14"/>
        </w:rPr>
        <w:t>本公司申请减少注册资本人民币</w:t>
      </w:r>
      <w:r>
        <w:rPr>
          <w:spacing w:val="-70"/>
        </w:rPr>
        <w:t> </w:t>
      </w:r>
      <w:r>
        <w:rPr>
          <w:rFonts w:ascii="Times New Roman" w:hAnsi="Times New Roman" w:cs="Times New Roman" w:eastAsia="Times New Roman" w:hint="default"/>
        </w:rPr>
        <w:t>254,000.00</w:t>
      </w:r>
      <w:r>
        <w:rPr>
          <w:rFonts w:ascii="Times New Roman" w:hAnsi="Times New Roman" w:cs="Times New Roman" w:eastAsia="Times New Roman" w:hint="default"/>
          <w:spacing w:val="-26"/>
        </w:rPr>
        <w:t> </w:t>
      </w:r>
      <w:r>
        <w:rPr>
          <w:spacing w:val="13"/>
        </w:rPr>
        <w:t>元，回购有限售条件股份</w:t>
      </w:r>
      <w:r>
        <w:rPr>
          <w:spacing w:val="-71"/>
        </w:rPr>
        <w:t> </w:t>
      </w:r>
      <w:r>
        <w:rPr>
          <w:rFonts w:ascii="Times New Roman" w:hAnsi="Times New Roman" w:cs="Times New Roman" w:eastAsia="Times New Roman" w:hint="default"/>
        </w:rPr>
        <w:t>254,000</w:t>
      </w:r>
      <w:r>
        <w:rPr>
          <w:rFonts w:ascii="Times New Roman" w:hAnsi="Times New Roman" w:cs="Times New Roman" w:eastAsia="Times New Roman" w:hint="default"/>
          <w:spacing w:val="-29"/>
        </w:rPr>
        <w:t> </w:t>
      </w:r>
      <w:r>
        <w:rPr>
          <w:spacing w:val="14"/>
        </w:rPr>
        <w:t>股后予以注销，变更后本公司的股本为</w:t>
      </w:r>
      <w:r>
        <w:rPr/>
        <w:t> </w:t>
      </w:r>
      <w:r>
        <w:rPr>
          <w:rFonts w:ascii="Times New Roman" w:hAnsi="Times New Roman" w:cs="Times New Roman" w:eastAsia="Times New Roman" w:hint="default"/>
        </w:rPr>
        <w:t>1,282,615,013.00</w:t>
      </w:r>
      <w:r>
        <w:rPr/>
        <w:t>元。此次变更业经信永中和会计师事务所（特殊普通合伙）出具</w:t>
      </w:r>
      <w:r>
        <w:rPr>
          <w:rFonts w:ascii="Times New Roman" w:hAnsi="Times New Roman" w:cs="Times New Roman" w:eastAsia="Times New Roman" w:hint="default"/>
        </w:rPr>
        <w:t>“XYZH/2017BJA70231”</w:t>
      </w:r>
      <w:r>
        <w:rPr>
          <w:rFonts w:ascii="Times New Roman" w:hAnsi="Times New Roman" w:cs="Times New Roman" w:eastAsia="Times New Roman" w:hint="default"/>
          <w:spacing w:val="9"/>
        </w:rPr>
        <w:t> </w:t>
      </w:r>
      <w:r>
        <w:rPr/>
        <w:t>号验资报告予以审 验。</w:t>
      </w:r>
    </w:p>
    <w:p>
      <w:pPr>
        <w:spacing w:line="240" w:lineRule="auto" w:before="10"/>
        <w:rPr>
          <w:rFonts w:ascii="宋体" w:hAnsi="宋体" w:cs="宋体" w:eastAsia="宋体" w:hint="default"/>
          <w:sz w:val="23"/>
          <w:szCs w:val="23"/>
        </w:rPr>
      </w:pPr>
    </w:p>
    <w:p>
      <w:pPr>
        <w:pStyle w:val="Heading5"/>
        <w:spacing w:line="240" w:lineRule="auto"/>
        <w:ind w:right="94"/>
        <w:jc w:val="left"/>
        <w:rPr>
          <w:b w:val="0"/>
          <w:bCs w:val="0"/>
        </w:rPr>
      </w:pPr>
      <w:r>
        <w:rPr>
          <w:rFonts w:ascii="Times New Roman" w:hAnsi="Times New Roman" w:cs="Times New Roman" w:eastAsia="Times New Roman" w:hint="default"/>
        </w:rPr>
        <w:t>54</w:t>
      </w:r>
      <w:r>
        <w:rPr/>
        <w:t>、其他权益工具</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94"/>
        <w:jc w:val="left"/>
        <w:rPr>
          <w:b w:val="0"/>
          <w:bCs w:val="0"/>
        </w:rPr>
      </w:pPr>
      <w:r>
        <w:rPr/>
        <w:t>（</w:t>
      </w:r>
      <w:r>
        <w:rPr>
          <w:rFonts w:ascii="Times New Roman" w:hAnsi="Times New Roman" w:cs="Times New Roman" w:eastAsia="Times New Roman" w:hint="default"/>
        </w:rPr>
        <w:t>1</w:t>
      </w:r>
      <w:r>
        <w:rPr/>
        <w:t>）期末发行在外的优先股、永续债等其他金融工具基本情况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4"/>
        <w:jc w:val="left"/>
      </w:pPr>
      <w:r>
        <w:rPr/>
        <w:t>无</w:t>
      </w:r>
    </w:p>
    <w:p>
      <w:pPr>
        <w:spacing w:after="0" w:line="240" w:lineRule="auto"/>
        <w:jc w:val="left"/>
        <w:sectPr>
          <w:pgSz w:w="11910" w:h="16840"/>
          <w:pgMar w:header="745" w:footer="979" w:top="1060" w:bottom="1160" w:left="980" w:right="94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）期末发行在外的优先股、永续债等金融工具变动情况表</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55</w:t>
      </w:r>
      <w:r>
        <w:rPr/>
        <w:t>、资本公积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830,436,768.79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3,484,779,006.95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145,270,631.69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4,169,945,144.05</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53,243,025.99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25,854,047.86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43,518,386.82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35,578,687.03</w:t>
            </w:r>
          </w:p>
        </w:tc>
      </w:tr>
      <w:tr>
        <w:trPr>
          <w:trHeight w:val="40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883,679,794.78</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3,510,633,054.81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188,789,018.51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4,205,523,831.08</w:t>
            </w:r>
          </w:p>
        </w:tc>
      </w:tr>
    </w:tbl>
    <w:p>
      <w:pPr>
        <w:pStyle w:val="BodyText"/>
        <w:spacing w:line="240" w:lineRule="auto" w:before="49"/>
        <w:ind w:right="0"/>
        <w:jc w:val="left"/>
      </w:pPr>
      <w:r>
        <w:rPr/>
        <w:t>其他说明，包括本期增减变动情况、变动原因说明：</w:t>
      </w:r>
    </w:p>
    <w:p>
      <w:pPr>
        <w:spacing w:line="240" w:lineRule="auto" w:before="0"/>
        <w:rPr>
          <w:rFonts w:ascii="宋体" w:hAnsi="宋体" w:cs="宋体" w:eastAsia="宋体" w:hint="default"/>
          <w:sz w:val="15"/>
          <w:szCs w:val="15"/>
        </w:rPr>
      </w:pPr>
    </w:p>
    <w:p>
      <w:pPr>
        <w:pStyle w:val="BodyText"/>
        <w:spacing w:line="300" w:lineRule="auto"/>
        <w:ind w:right="150" w:firstLine="401"/>
        <w:jc w:val="both"/>
      </w:pPr>
      <w:r>
        <w:rPr/>
        <w:t>注</w:t>
      </w:r>
      <w:r>
        <w:rPr>
          <w:rFonts w:ascii="Times New Roman" w:hAnsi="Times New Roman" w:cs="Times New Roman" w:eastAsia="Times New Roman" w:hint="default"/>
        </w:rPr>
        <w:t>1</w:t>
      </w:r>
      <w:r>
        <w:rPr/>
        <w:t>：如本附注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.53”</w:t>
      </w:r>
      <w:r>
        <w:rPr/>
        <w:t>所述，本报告期本公司非公开发行</w:t>
      </w:r>
      <w:r>
        <w:rPr>
          <w:rFonts w:ascii="Times New Roman" w:hAnsi="Times New Roman" w:cs="Times New Roman" w:eastAsia="Times New Roman" w:hint="default"/>
        </w:rPr>
        <w:t>216,341,748</w:t>
      </w:r>
      <w:r>
        <w:rPr/>
        <w:t>股新股，增加股本</w:t>
      </w:r>
      <w:r>
        <w:rPr>
          <w:rFonts w:ascii="Times New Roman" w:hAnsi="Times New Roman" w:cs="Times New Roman" w:eastAsia="Times New Roman" w:hint="default"/>
        </w:rPr>
        <w:t>216,341,748.00</w:t>
      </w:r>
      <w:r>
        <w:rPr/>
        <w:t>元，增加资本公 积</w:t>
      </w:r>
      <w:r>
        <w:rPr>
          <w:rFonts w:ascii="Times New Roman" w:hAnsi="Times New Roman" w:cs="Times New Roman" w:eastAsia="Times New Roman" w:hint="default"/>
        </w:rPr>
        <w:t>3,441,260,620.13</w:t>
      </w:r>
      <w:r>
        <w:rPr/>
        <w:t>元。</w:t>
      </w:r>
    </w:p>
    <w:p>
      <w:pPr>
        <w:pStyle w:val="BodyText"/>
        <w:spacing w:line="240" w:lineRule="auto" w:before="133"/>
        <w:ind w:left="554" w:right="0"/>
        <w:jc w:val="left"/>
      </w:pPr>
      <w:r>
        <w:rPr>
          <w:spacing w:val="7"/>
        </w:rPr>
        <w:t>注</w:t>
      </w:r>
      <w:r>
        <w:rPr>
          <w:rFonts w:ascii="Times New Roman" w:hAnsi="Times New Roman" w:cs="Times New Roman" w:eastAsia="Times New Roman" w:hint="default"/>
          <w:spacing w:val="7"/>
        </w:rPr>
        <w:t>2</w:t>
      </w:r>
      <w:r>
        <w:rPr>
          <w:spacing w:val="7"/>
        </w:rPr>
        <w:t>：如本附注</w:t>
      </w:r>
      <w:r>
        <w:rPr>
          <w:rFonts w:ascii="Times New Roman" w:hAnsi="Times New Roman" w:cs="Times New Roman" w:eastAsia="Times New Roman" w:hint="default"/>
          <w:spacing w:val="7"/>
        </w:rPr>
        <w:t>“</w:t>
      </w:r>
      <w:r>
        <w:rPr>
          <w:spacing w:val="7"/>
        </w:rPr>
        <w:t>七</w:t>
      </w:r>
      <w:r>
        <w:rPr>
          <w:rFonts w:ascii="Times New Roman" w:hAnsi="Times New Roman" w:cs="Times New Roman" w:eastAsia="Times New Roman" w:hint="default"/>
          <w:spacing w:val="7"/>
        </w:rPr>
        <w:t>.53”</w:t>
      </w:r>
      <w:r>
        <w:rPr>
          <w:spacing w:val="7"/>
        </w:rPr>
        <w:t>所述，本报告期本公司回购</w:t>
      </w:r>
      <w:r>
        <w:rPr>
          <w:rFonts w:ascii="Times New Roman" w:hAnsi="Times New Roman" w:cs="Times New Roman" w:eastAsia="Times New Roman" w:hint="default"/>
          <w:spacing w:val="7"/>
        </w:rPr>
        <w:t>254,000</w:t>
      </w:r>
      <w:r>
        <w:rPr>
          <w:spacing w:val="7"/>
        </w:rPr>
        <w:t>股限制性股票并予以注销，减少资本公积（股本溢价）</w:t>
      </w:r>
    </w:p>
    <w:p>
      <w:pPr>
        <w:pStyle w:val="BodyText"/>
        <w:spacing w:line="240" w:lineRule="auto" w:before="63"/>
        <w:ind w:right="0"/>
        <w:jc w:val="left"/>
      </w:pPr>
      <w:r>
        <w:rPr>
          <w:rFonts w:ascii="Times New Roman" w:hAnsi="Times New Roman" w:cs="Times New Roman" w:eastAsia="Times New Roman" w:hint="default"/>
        </w:rPr>
        <w:t>1,646,605.80</w:t>
      </w:r>
      <w:r>
        <w:rPr/>
        <w:t>元。</w:t>
      </w:r>
    </w:p>
    <w:p>
      <w:pPr>
        <w:pStyle w:val="BodyText"/>
        <w:spacing w:line="430" w:lineRule="atLeast" w:before="2"/>
        <w:ind w:left="554" w:right="0"/>
        <w:jc w:val="left"/>
      </w:pPr>
      <w:r>
        <w:rPr/>
        <w:t>注</w:t>
      </w:r>
      <w:r>
        <w:rPr>
          <w:rFonts w:ascii="Times New Roman" w:hAnsi="Times New Roman" w:cs="Times New Roman" w:eastAsia="Times New Roman" w:hint="default"/>
        </w:rPr>
        <w:t>3</w:t>
      </w:r>
      <w:r>
        <w:rPr/>
        <w:t>：本报告期本公司确认股权激励成本导致增加其他资本公积</w:t>
      </w:r>
      <w:r>
        <w:rPr>
          <w:rFonts w:ascii="Times New Roman" w:hAnsi="Times New Roman" w:cs="Times New Roman" w:eastAsia="Times New Roman" w:hint="default"/>
        </w:rPr>
        <w:t>25,854,047.86</w:t>
      </w:r>
      <w:r>
        <w:rPr/>
        <w:t>元； </w:t>
      </w:r>
      <w:r>
        <w:rPr>
          <w:spacing w:val="9"/>
        </w:rPr>
        <w:t>注</w:t>
      </w:r>
      <w:r>
        <w:rPr>
          <w:rFonts w:ascii="Times New Roman" w:hAnsi="Times New Roman" w:cs="Times New Roman" w:eastAsia="Times New Roman" w:hint="default"/>
          <w:spacing w:val="9"/>
        </w:rPr>
        <w:t>4</w:t>
      </w:r>
      <w:r>
        <w:rPr>
          <w:spacing w:val="9"/>
        </w:rPr>
        <w:t>：本报告期，本公司预留限制性股票股权激励因满足解锁条件，相应解锁</w:t>
      </w:r>
      <w:r>
        <w:rPr>
          <w:spacing w:val="-55"/>
        </w:rPr>
        <w:t> </w:t>
      </w:r>
      <w:r>
        <w:rPr>
          <w:rFonts w:ascii="Times New Roman" w:hAnsi="Times New Roman" w:cs="Times New Roman" w:eastAsia="Times New Roman" w:hint="default"/>
          <w:spacing w:val="5"/>
        </w:rPr>
        <w:t>151.575</w:t>
      </w:r>
      <w:r>
        <w:rPr>
          <w:spacing w:val="5"/>
        </w:rPr>
        <w:t>万股，将其对应的资本溢价</w:t>
      </w:r>
    </w:p>
    <w:p>
      <w:pPr>
        <w:pStyle w:val="BodyText"/>
        <w:spacing w:line="240" w:lineRule="auto" w:before="63"/>
        <w:ind w:right="0"/>
        <w:jc w:val="left"/>
      </w:pPr>
      <w:r>
        <w:rPr>
          <w:rFonts w:ascii="Times New Roman" w:hAnsi="Times New Roman" w:cs="Times New Roman" w:eastAsia="Times New Roman" w:hint="default"/>
          <w:spacing w:val="1"/>
        </w:rPr>
        <w:t>2</w:t>
      </w:r>
      <w:r>
        <w:rPr>
          <w:rFonts w:ascii="Times New Roman" w:hAnsi="Times New Roman" w:cs="Times New Roman" w:eastAsia="Times New Roman" w:hint="default"/>
        </w:rPr>
        <w:t>,</w:t>
      </w:r>
      <w:r>
        <w:rPr>
          <w:rFonts w:ascii="Times New Roman" w:hAnsi="Times New Roman" w:cs="Times New Roman" w:eastAsia="Times New Roman" w:hint="default"/>
          <w:spacing w:val="-2"/>
        </w:rPr>
        <w:t>5</w:t>
      </w:r>
      <w:r>
        <w:rPr>
          <w:rFonts w:ascii="Times New Roman" w:hAnsi="Times New Roman" w:cs="Times New Roman" w:eastAsia="Times New Roman" w:hint="default"/>
          <w:spacing w:val="1"/>
        </w:rPr>
        <w:t>06</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4</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0</w:t>
      </w:r>
      <w:r>
        <w:rPr/>
        <w:t>元，从资本公积</w:t>
      </w:r>
      <w:r>
        <w:rPr>
          <w:spacing w:val="-3"/>
        </w:rPr>
        <w:t>（</w:t>
      </w:r>
      <w:r>
        <w:rPr/>
        <w:t>其他资本公积）转入资本公积（股本溢价</w:t>
      </w:r>
      <w:r>
        <w:rPr>
          <w:spacing w:val="-92"/>
        </w:rPr>
        <w:t>）</w:t>
      </w:r>
      <w:r>
        <w:rPr/>
        <w:t>。</w:t>
      </w:r>
    </w:p>
    <w:p>
      <w:pPr>
        <w:spacing w:line="240" w:lineRule="auto" w:before="13"/>
        <w:rPr>
          <w:rFonts w:ascii="宋体" w:hAnsi="宋体" w:cs="宋体" w:eastAsia="宋体" w:hint="default"/>
          <w:sz w:val="13"/>
          <w:szCs w:val="13"/>
        </w:rPr>
      </w:pPr>
    </w:p>
    <w:p>
      <w:pPr>
        <w:pStyle w:val="BodyText"/>
        <w:spacing w:line="240" w:lineRule="auto"/>
        <w:ind w:left="554" w:right="0"/>
        <w:jc w:val="left"/>
      </w:pPr>
      <w:r>
        <w:rPr>
          <w:spacing w:val="6"/>
        </w:rPr>
        <w:t>注</w:t>
      </w:r>
      <w:r>
        <w:rPr>
          <w:rFonts w:ascii="Times New Roman" w:hAnsi="Times New Roman" w:cs="Times New Roman" w:eastAsia="Times New Roman" w:hint="default"/>
          <w:spacing w:val="6"/>
        </w:rPr>
        <w:t>5</w:t>
      </w:r>
      <w:r>
        <w:rPr>
          <w:spacing w:val="6"/>
        </w:rPr>
        <w:t>：本报告期，本公司第一批限制性股票股权激励因满足解锁条件，相应解锁</w:t>
      </w:r>
      <w:r>
        <w:rPr>
          <w:rFonts w:ascii="Times New Roman" w:hAnsi="Times New Roman" w:cs="Times New Roman" w:eastAsia="Times New Roman" w:hint="default"/>
          <w:spacing w:val="6"/>
        </w:rPr>
        <w:t>851.29</w:t>
      </w:r>
      <w:r>
        <w:rPr>
          <w:spacing w:val="6"/>
        </w:rPr>
        <w:t>万股，将其对应的资本溢价</w:t>
      </w:r>
    </w:p>
    <w:p>
      <w:pPr>
        <w:pStyle w:val="BodyText"/>
        <w:spacing w:line="240" w:lineRule="auto" w:before="63"/>
        <w:ind w:right="0"/>
        <w:jc w:val="left"/>
      </w:pPr>
      <w:r>
        <w:rPr>
          <w:rFonts w:ascii="Times New Roman" w:hAnsi="Times New Roman" w:cs="Times New Roman" w:eastAsia="Times New Roman" w:hint="default"/>
          <w:spacing w:val="1"/>
        </w:rPr>
        <w:t>41</w:t>
      </w:r>
      <w:r>
        <w:rPr>
          <w:rFonts w:ascii="Times New Roman" w:hAnsi="Times New Roman" w:cs="Times New Roman" w:eastAsia="Times New Roman" w:hint="default"/>
          <w:spacing w:val="-2"/>
        </w:rPr>
        <w:t>,</w:t>
      </w:r>
      <w:r>
        <w:rPr>
          <w:rFonts w:ascii="Times New Roman" w:hAnsi="Times New Roman" w:cs="Times New Roman" w:eastAsia="Times New Roman" w:hint="default"/>
          <w:spacing w:val="1"/>
        </w:rPr>
        <w:t>0</w:t>
      </w:r>
      <w:r>
        <w:rPr>
          <w:rFonts w:ascii="Times New Roman" w:hAnsi="Times New Roman" w:cs="Times New Roman" w:eastAsia="Times New Roman" w:hint="default"/>
          <w:spacing w:val="-2"/>
        </w:rPr>
        <w:t>1</w:t>
      </w:r>
      <w:r>
        <w:rPr>
          <w:rFonts w:ascii="Times New Roman" w:hAnsi="Times New Roman" w:cs="Times New Roman" w:eastAsia="Times New Roman" w:hint="default"/>
          <w:spacing w:val="1"/>
        </w:rPr>
        <w:t>2</w:t>
      </w:r>
      <w:r>
        <w:rPr>
          <w:rFonts w:ascii="Times New Roman" w:hAnsi="Times New Roman" w:cs="Times New Roman" w:eastAsia="Times New Roman" w:hint="default"/>
        </w:rPr>
        <w:t>,</w:t>
      </w:r>
      <w:r>
        <w:rPr>
          <w:rFonts w:ascii="Times New Roman" w:hAnsi="Times New Roman" w:cs="Times New Roman" w:eastAsia="Times New Roman" w:hint="default"/>
          <w:spacing w:val="-2"/>
        </w:rPr>
        <w:t>3</w:t>
      </w:r>
      <w:r>
        <w:rPr>
          <w:rFonts w:ascii="Times New Roman" w:hAnsi="Times New Roman" w:cs="Times New Roman" w:eastAsia="Times New Roman" w:hint="default"/>
          <w:spacing w:val="1"/>
        </w:rPr>
        <w:t>4</w:t>
      </w:r>
      <w:r>
        <w:rPr>
          <w:rFonts w:ascii="Times New Roman" w:hAnsi="Times New Roman" w:cs="Times New Roman" w:eastAsia="Times New Roman" w:hint="default"/>
          <w:spacing w:val="-2"/>
        </w:rPr>
        <w:t>6</w:t>
      </w:r>
      <w:r>
        <w:rPr>
          <w:rFonts w:ascii="Times New Roman" w:hAnsi="Times New Roman" w:cs="Times New Roman" w:eastAsia="Times New Roman" w:hint="default"/>
        </w:rPr>
        <w:t>.</w:t>
      </w:r>
      <w:r>
        <w:rPr>
          <w:rFonts w:ascii="Times New Roman" w:hAnsi="Times New Roman" w:cs="Times New Roman" w:eastAsia="Times New Roman" w:hint="default"/>
          <w:spacing w:val="-2"/>
        </w:rPr>
        <w:t>8</w:t>
      </w:r>
      <w:r>
        <w:rPr>
          <w:rFonts w:ascii="Times New Roman" w:hAnsi="Times New Roman" w:cs="Times New Roman" w:eastAsia="Times New Roman" w:hint="default"/>
          <w:spacing w:val="2"/>
        </w:rPr>
        <w:t>2</w:t>
      </w:r>
      <w:r>
        <w:rPr/>
        <w:t>元，从资本公</w:t>
      </w:r>
      <w:r>
        <w:rPr>
          <w:spacing w:val="-3"/>
        </w:rPr>
        <w:t>积</w:t>
      </w:r>
      <w:r>
        <w:rPr/>
        <w:t>（其他资本公积）转入资本公积（股本溢价</w:t>
      </w:r>
      <w:r>
        <w:rPr>
          <w:spacing w:val="-92"/>
        </w:rPr>
        <w:t>）</w:t>
      </w:r>
      <w:r>
        <w:rPr/>
        <w:t>。</w:t>
      </w:r>
    </w:p>
    <w:p>
      <w:pPr>
        <w:spacing w:line="240" w:lineRule="auto" w:before="13"/>
        <w:rPr>
          <w:rFonts w:ascii="宋体" w:hAnsi="宋体" w:cs="宋体" w:eastAsia="宋体" w:hint="default"/>
          <w:sz w:val="13"/>
          <w:szCs w:val="13"/>
        </w:rPr>
      </w:pPr>
    </w:p>
    <w:p>
      <w:pPr>
        <w:pStyle w:val="BodyText"/>
        <w:spacing w:line="300" w:lineRule="auto"/>
        <w:ind w:right="149" w:firstLine="401"/>
        <w:jc w:val="both"/>
      </w:pPr>
      <w:r>
        <w:rPr/>
        <w:t>注</w:t>
      </w:r>
      <w:r>
        <w:rPr>
          <w:rFonts w:ascii="Times New Roman" w:hAnsi="Times New Roman" w:cs="Times New Roman" w:eastAsia="Times New Roman" w:hint="default"/>
        </w:rPr>
        <w:t>6</w:t>
      </w:r>
      <w:r>
        <w:rPr/>
        <w:t>：本报告期，因本公司之子公司</w:t>
      </w:r>
      <w:r>
        <w:rPr>
          <w:rFonts w:ascii="Times New Roman" w:hAnsi="Times New Roman" w:cs="Times New Roman" w:eastAsia="Times New Roman" w:hint="default"/>
        </w:rPr>
        <w:t>Mapbar Technology</w:t>
      </w:r>
      <w:r>
        <w:rPr>
          <w:rFonts w:ascii="Times New Roman" w:hAnsi="Times New Roman" w:cs="Times New Roman" w:eastAsia="Times New Roman" w:hint="default"/>
          <w:spacing w:val="24"/>
        </w:rPr>
        <w:t> </w:t>
      </w:r>
      <w:r>
        <w:rPr>
          <w:rFonts w:ascii="Times New Roman" w:hAnsi="Times New Roman" w:cs="Times New Roman" w:eastAsia="Times New Roman" w:hint="default"/>
        </w:rPr>
        <w:t>Limited</w:t>
      </w:r>
      <w:r>
        <w:rPr/>
        <w:t>回购少数股东股权；与此同时，本公司收购图吧</w:t>
      </w:r>
      <w:r>
        <w:rPr>
          <w:rFonts w:ascii="Times New Roman" w:hAnsi="Times New Roman" w:cs="Times New Roman" w:eastAsia="Times New Roman" w:hint="default"/>
        </w:rPr>
        <w:t>Mapbar Technology</w:t>
      </w:r>
      <w:r>
        <w:rPr>
          <w:rFonts w:ascii="Times New Roman" w:hAnsi="Times New Roman" w:cs="Times New Roman" w:eastAsia="Times New Roman" w:hint="default"/>
          <w:spacing w:val="14"/>
        </w:rPr>
        <w:t> </w:t>
      </w:r>
      <w:r>
        <w:rPr>
          <w:rFonts w:ascii="Times New Roman" w:hAnsi="Times New Roman" w:cs="Times New Roman" w:eastAsia="Times New Roman" w:hint="default"/>
          <w:spacing w:val="7"/>
        </w:rPr>
        <w:t>Limited</w:t>
      </w:r>
      <w:r>
        <w:rPr>
          <w:spacing w:val="7"/>
        </w:rPr>
        <w:t>通过</w:t>
      </w:r>
      <w:r>
        <w:rPr>
          <w:rFonts w:ascii="Times New Roman" w:hAnsi="Times New Roman" w:cs="Times New Roman" w:eastAsia="Times New Roman" w:hint="default"/>
          <w:spacing w:val="7"/>
        </w:rPr>
        <w:t>VIE</w:t>
      </w:r>
      <w:r>
        <w:rPr>
          <w:spacing w:val="7"/>
        </w:rPr>
        <w:t>协议控制的北京图为先科技有限公司股份。收购对价与按新取得的股权比例计算的</w:t>
      </w:r>
      <w:r>
        <w:rPr>
          <w:rFonts w:ascii="Times New Roman" w:hAnsi="Times New Roman" w:cs="Times New Roman" w:eastAsia="Times New Roman" w:hint="default"/>
          <w:spacing w:val="7"/>
        </w:rPr>
        <w:t>Mapbar</w:t>
      </w:r>
      <w:r>
        <w:rPr>
          <w:rFonts w:ascii="Times New Roman" w:hAnsi="Times New Roman" w:cs="Times New Roman" w:eastAsia="Times New Roman" w:hint="default"/>
        </w:rPr>
        <w:t> Technology</w:t>
      </w:r>
      <w:r>
        <w:rPr>
          <w:rFonts w:ascii="Times New Roman" w:hAnsi="Times New Roman" w:cs="Times New Roman" w:eastAsia="Times New Roman" w:hint="default"/>
          <w:spacing w:val="-18"/>
        </w:rPr>
        <w:t> </w:t>
      </w:r>
      <w:r>
        <w:rPr>
          <w:rFonts w:ascii="Times New Roman" w:hAnsi="Times New Roman" w:cs="Times New Roman" w:eastAsia="Times New Roman" w:hint="default"/>
        </w:rPr>
        <w:t>Limited</w:t>
      </w:r>
      <w:r>
        <w:rPr/>
        <w:t>之净资产份额的差额，冲减资本公积（股本溢价）</w:t>
      </w:r>
      <w:r>
        <w:rPr>
          <w:rFonts w:ascii="Times New Roman" w:hAnsi="Times New Roman" w:cs="Times New Roman" w:eastAsia="Times New Roman" w:hint="default"/>
        </w:rPr>
        <w:t>136,179,974.98</w:t>
      </w:r>
      <w:r>
        <w:rPr/>
        <w:t>元。</w:t>
      </w:r>
    </w:p>
    <w:p>
      <w:pPr>
        <w:pStyle w:val="BodyText"/>
        <w:spacing w:line="300" w:lineRule="auto" w:before="133"/>
        <w:ind w:right="150" w:firstLine="401"/>
        <w:jc w:val="both"/>
      </w:pPr>
      <w:r>
        <w:rPr>
          <w:spacing w:val="-1"/>
        </w:rPr>
        <w:t>注</w:t>
      </w:r>
      <w:r>
        <w:rPr>
          <w:rFonts w:ascii="Times New Roman" w:hAnsi="Times New Roman" w:cs="Times New Roman" w:eastAsia="Times New Roman" w:hint="default"/>
          <w:spacing w:val="-1"/>
        </w:rPr>
        <w:t>7</w:t>
      </w:r>
      <w:r>
        <w:rPr>
          <w:spacing w:val="-1"/>
        </w:rPr>
        <w:t>：本报告期，因本公司购买下属子公司中寰卫星导航通信有限公司少数股东股权，收购对价与按新取得的股权比例</w:t>
      </w:r>
      <w:r>
        <w:rPr/>
        <w:t> 计算的中寰卫星导航通信有限公司之净资产份额的差额，冲减资本公积（股本溢价）</w:t>
      </w:r>
      <w:r>
        <w:rPr>
          <w:rFonts w:ascii="Times New Roman" w:hAnsi="Times New Roman" w:cs="Times New Roman" w:eastAsia="Times New Roman" w:hint="default"/>
        </w:rPr>
        <w:t>7,444,050.92</w:t>
      </w:r>
      <w:r>
        <w:rPr/>
        <w:t>元。</w:t>
      </w:r>
    </w:p>
    <w:p>
      <w:pPr>
        <w:spacing w:line="240" w:lineRule="auto" w:before="4"/>
        <w:rPr>
          <w:rFonts w:ascii="宋体" w:hAnsi="宋体" w:cs="宋体" w:eastAsia="宋体" w:hint="default"/>
          <w:sz w:val="22"/>
          <w:szCs w:val="22"/>
        </w:rPr>
      </w:pPr>
    </w:p>
    <w:p>
      <w:pPr>
        <w:pStyle w:val="Heading5"/>
        <w:spacing w:line="240" w:lineRule="auto"/>
        <w:ind w:right="0"/>
        <w:jc w:val="left"/>
        <w:rPr>
          <w:b w:val="0"/>
          <w:bCs w:val="0"/>
        </w:rPr>
      </w:pPr>
      <w:r>
        <w:rPr>
          <w:rFonts w:ascii="Times New Roman" w:hAnsi="Times New Roman" w:cs="Times New Roman" w:eastAsia="Times New Roman" w:hint="default"/>
        </w:rPr>
        <w:t>56</w:t>
      </w:r>
      <w:r>
        <w:rPr/>
        <w:t>、库存股</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5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157,907,497.44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79,934,320.42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77,973,177.02</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157,907,497.44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79,934,320.42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77,973,177.02</w:t>
            </w:r>
          </w:p>
        </w:tc>
      </w:tr>
    </w:tbl>
    <w:p>
      <w:pPr>
        <w:pStyle w:val="BodyText"/>
        <w:spacing w:line="240" w:lineRule="auto" w:before="49"/>
        <w:ind w:right="0"/>
        <w:jc w:val="left"/>
      </w:pPr>
      <w:r>
        <w:rPr/>
        <w:t>其他说明，包括本期增减变动情况、变动原因说明：</w:t>
      </w:r>
    </w:p>
    <w:p>
      <w:pPr>
        <w:spacing w:line="240" w:lineRule="auto" w:before="3"/>
        <w:rPr>
          <w:rFonts w:ascii="宋体" w:hAnsi="宋体" w:cs="宋体" w:eastAsia="宋体" w:hint="default"/>
          <w:sz w:val="15"/>
          <w:szCs w:val="15"/>
        </w:rPr>
      </w:pPr>
    </w:p>
    <w:p>
      <w:pPr>
        <w:pStyle w:val="BodyText"/>
        <w:spacing w:line="297" w:lineRule="auto"/>
        <w:ind w:right="0" w:firstLine="360"/>
        <w:jc w:val="left"/>
      </w:pPr>
      <w:r>
        <w:rPr/>
        <w:t>注：本报告期本公司因回购限制性股票导致限制性股票回购义务减少</w:t>
      </w:r>
      <w:r>
        <w:rPr>
          <w:rFonts w:ascii="Times New Roman" w:hAnsi="Times New Roman" w:cs="Times New Roman" w:eastAsia="Times New Roman" w:hint="default"/>
        </w:rPr>
        <w:t>1,900,605.80</w:t>
      </w:r>
      <w:r>
        <w:rPr/>
        <w:t>元，因限制性股票解锁导致限制性股 票回购义务减少</w:t>
      </w:r>
      <w:r>
        <w:rPr>
          <w:rFonts w:ascii="Times New Roman" w:hAnsi="Times New Roman" w:cs="Times New Roman" w:eastAsia="Times New Roman" w:hint="default"/>
        </w:rPr>
        <w:t>78,033,714.62</w:t>
      </w:r>
      <w:r>
        <w:rPr/>
        <w:t>元。</w:t>
      </w:r>
    </w:p>
    <w:p>
      <w:pPr>
        <w:spacing w:after="0" w:line="297"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57</w:t>
      </w:r>
      <w:r>
        <w:rPr/>
        <w:t>、其他综合收益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788"/>
        <w:gridCol w:w="1079"/>
        <w:gridCol w:w="936"/>
        <w:gridCol w:w="1152"/>
        <w:gridCol w:w="934"/>
        <w:gridCol w:w="936"/>
        <w:gridCol w:w="937"/>
        <w:gridCol w:w="797"/>
      </w:tblGrid>
      <w:tr>
        <w:trPr>
          <w:trHeight w:val="403" w:hRule="exact"/>
        </w:trPr>
        <w:tc>
          <w:tcPr>
            <w:tcW w:w="2788" w:type="dxa"/>
            <w:vMerge w:val="restart"/>
            <w:tcBorders>
              <w:top w:val="single" w:sz="4" w:space="0" w:color="000000"/>
              <w:left w:val="single" w:sz="4" w:space="0" w:color="000000"/>
              <w:right w:val="single" w:sz="4" w:space="0" w:color="000000"/>
            </w:tcBorders>
            <w:shd w:val="clear" w:color="auto" w:fill="D2D2D2"/>
          </w:tcPr>
          <w:p>
            <w:pPr/>
          </w:p>
        </w:tc>
        <w:tc>
          <w:tcPr>
            <w:tcW w:w="10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18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8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15" w:hRule="exact"/>
        </w:trPr>
        <w:tc>
          <w:tcPr>
            <w:tcW w:w="2788" w:type="dxa"/>
            <w:vMerge/>
            <w:tcBorders>
              <w:left w:val="single" w:sz="4" w:space="0" w:color="000000"/>
              <w:bottom w:val="nil" w:sz="6" w:space="0" w:color="auto"/>
              <w:right w:val="single" w:sz="4" w:space="0" w:color="000000"/>
            </w:tcBorders>
            <w:shd w:val="clear" w:color="auto" w:fill="D2D2D2"/>
          </w:tcPr>
          <w:p>
            <w:pPr/>
          </w:p>
        </w:tc>
        <w:tc>
          <w:tcPr>
            <w:tcW w:w="1079" w:type="dxa"/>
            <w:vMerge/>
            <w:tcBorders>
              <w:left w:val="single" w:sz="4" w:space="0" w:color="000000"/>
              <w:right w:val="single" w:sz="4" w:space="0" w:color="000000"/>
            </w:tcBorders>
            <w:shd w:val="clear" w:color="auto" w:fill="D2D2D2"/>
          </w:tcPr>
          <w:p>
            <w:pPr/>
          </w:p>
        </w:tc>
        <w:tc>
          <w:tcPr>
            <w:tcW w:w="93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03"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31" w:right="29"/>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83" w:right="19"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5" w:right="98"/>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05" w:right="99"/>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7" w:type="dxa"/>
            <w:vMerge/>
            <w:tcBorders>
              <w:left w:val="single" w:sz="4" w:space="0" w:color="000000"/>
              <w:right w:val="single" w:sz="4" w:space="0" w:color="000000"/>
            </w:tcBorders>
            <w:shd w:val="clear" w:color="auto" w:fill="D2D2D2"/>
          </w:tcPr>
          <w:p>
            <w:pPr/>
          </w:p>
        </w:tc>
      </w:tr>
      <w:tr>
        <w:trPr>
          <w:trHeight w:val="391" w:hRule="exact"/>
        </w:trPr>
        <w:tc>
          <w:tcPr>
            <w:tcW w:w="2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9" w:type="dxa"/>
            <w:vMerge/>
            <w:tcBorders>
              <w:left w:val="single" w:sz="4" w:space="0" w:color="000000"/>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4" w:type="dxa"/>
            <w:vMerge/>
            <w:tcBorders>
              <w:left w:val="single" w:sz="4" w:space="0" w:color="000000"/>
              <w:right w:val="single" w:sz="4" w:space="0" w:color="000000"/>
            </w:tcBorders>
            <w:shd w:val="clear" w:color="auto" w:fill="D2D2D2"/>
          </w:tcPr>
          <w:p>
            <w:pPr/>
          </w:p>
        </w:tc>
        <w:tc>
          <w:tcPr>
            <w:tcW w:w="936" w:type="dxa"/>
            <w:vMerge/>
            <w:tcBorders>
              <w:left w:val="single" w:sz="4" w:space="0" w:color="000000"/>
              <w:right w:val="single" w:sz="4" w:space="0" w:color="000000"/>
            </w:tcBorders>
            <w:shd w:val="clear" w:color="auto" w:fill="D2D2D2"/>
          </w:tcPr>
          <w:p>
            <w:pPr/>
          </w:p>
        </w:tc>
        <w:tc>
          <w:tcPr>
            <w:tcW w:w="937" w:type="dxa"/>
            <w:vMerge/>
            <w:tcBorders>
              <w:left w:val="single" w:sz="4" w:space="0" w:color="000000"/>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r>
      <w:tr>
        <w:trPr>
          <w:trHeight w:val="518" w:hRule="exact"/>
        </w:trPr>
        <w:tc>
          <w:tcPr>
            <w:tcW w:w="2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9" w:type="dxa"/>
            <w:vMerge/>
            <w:tcBorders>
              <w:left w:val="single" w:sz="4" w:space="0" w:color="000000"/>
              <w:bottom w:val="single" w:sz="4" w:space="0" w:color="000000"/>
              <w:right w:val="single" w:sz="4" w:space="0" w:color="000000"/>
            </w:tcBorders>
            <w:shd w:val="clear" w:color="auto" w:fill="D2D2D2"/>
          </w:tcPr>
          <w:p>
            <w:pPr/>
          </w:p>
        </w:tc>
        <w:tc>
          <w:tcPr>
            <w:tcW w:w="936"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4" w:type="dxa"/>
            <w:vMerge/>
            <w:tcBorders>
              <w:left w:val="single" w:sz="4" w:space="0" w:color="000000"/>
              <w:bottom w:val="single" w:sz="4" w:space="0" w:color="000000"/>
              <w:right w:val="single" w:sz="4" w:space="0" w:color="000000"/>
            </w:tcBorders>
            <w:shd w:val="clear" w:color="auto" w:fill="D2D2D2"/>
          </w:tcPr>
          <w:p>
            <w:pPr/>
          </w:p>
        </w:tc>
        <w:tc>
          <w:tcPr>
            <w:tcW w:w="936" w:type="dxa"/>
            <w:vMerge/>
            <w:tcBorders>
              <w:left w:val="single" w:sz="4" w:space="0" w:color="000000"/>
              <w:bottom w:val="single" w:sz="4" w:space="0" w:color="000000"/>
              <w:right w:val="single" w:sz="4" w:space="0" w:color="000000"/>
            </w:tcBorders>
            <w:shd w:val="clear" w:color="auto" w:fill="D2D2D2"/>
          </w:tcPr>
          <w:p>
            <w:pPr/>
          </w:p>
        </w:tc>
        <w:tc>
          <w:tcPr>
            <w:tcW w:w="93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z w:val="18"/>
                <w:szCs w:val="18"/>
              </w:rPr>
              <w:t>一、以后不能重分类进损益的其他 综合收益</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z w:val="18"/>
                <w:szCs w:val="18"/>
              </w:rPr>
              <w:t>其中：重新计算设定受益计划净负 债和净资产的变动</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both"/>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权益法下在被投资单位不能 重分类进损益的其他综合收益中享 有的份额</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 合收益</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-1,404,265.09</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4,801,515.7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7,338,074.8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-2,536,559.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5,933,809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.71</w:t>
            </w:r>
          </w:p>
        </w:tc>
      </w:tr>
      <w:tr>
        <w:trPr>
          <w:trHeight w:val="1027"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both"/>
              <w:rPr>
                <w:rFonts w:ascii="宋体" w:hAnsi="宋体" w:cs="宋体" w:eastAsia="宋体" w:hint="default"/>
                <w:sz w:val="18"/>
                <w:szCs w:val="18"/>
              </w:rPr>
            </w:pPr>
            <w:r>
              <w:rPr>
                <w:rFonts w:ascii="宋体" w:hAnsi="宋体" w:cs="宋体" w:eastAsia="宋体" w:hint="default"/>
                <w:sz w:val="18"/>
                <w:szCs w:val="18"/>
              </w:rPr>
              <w:t>其中：权益法下在被投资单位以后 将重分类进损益的其他综合收益中 享有的份额</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可供出售金融资产公允价值 变动损益</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持有至到期投资重分类为可 供出售金融资产损益</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2" w:right="64"/>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现金流量套期损益的有效部 分</w:t>
            </w:r>
          </w:p>
        </w:tc>
        <w:tc>
          <w:tcPr>
            <w:tcW w:w="1079"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1" w:hRule="exact"/>
        </w:trPr>
        <w:tc>
          <w:tcPr>
            <w:tcW w:w="2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 w:right="0"/>
              <w:jc w:val="left"/>
              <w:rPr>
                <w:rFonts w:ascii="Times New Roman" w:hAnsi="Times New Roman" w:cs="Times New Roman" w:eastAsia="Times New Roman" w:hint="default"/>
                <w:sz w:val="18"/>
                <w:szCs w:val="18"/>
              </w:rPr>
            </w:pPr>
            <w:r>
              <w:rPr>
                <w:rFonts w:ascii="Times New Roman"/>
                <w:sz w:val="18"/>
              </w:rPr>
              <w:t>-1,404,265.09</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4,801,515.7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7" w:right="0"/>
              <w:jc w:val="left"/>
              <w:rPr>
                <w:rFonts w:ascii="Times New Roman" w:hAnsi="Times New Roman" w:cs="Times New Roman" w:eastAsia="Times New Roman" w:hint="default"/>
                <w:sz w:val="18"/>
                <w:szCs w:val="18"/>
              </w:rPr>
            </w:pPr>
            <w:r>
              <w:rPr>
                <w:rFonts w:ascii="Times New Roman"/>
                <w:sz w:val="18"/>
              </w:rPr>
              <w:t>0.00</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7,338,074.8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937"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-2,536,559.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5,933,809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.71</w:t>
            </w:r>
          </w:p>
        </w:tc>
      </w:tr>
      <w:tr>
        <w:trPr>
          <w:trHeight w:val="394" w:hRule="exact"/>
        </w:trPr>
        <w:tc>
          <w:tcPr>
            <w:tcW w:w="2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外币财务报表折算差额</w:t>
            </w:r>
          </w:p>
        </w:tc>
        <w:tc>
          <w:tcPr>
            <w:tcW w:w="1079"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2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9"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r>
        <w:trPr>
          <w:trHeight w:val="161" w:hRule="exact"/>
        </w:trPr>
        <w:tc>
          <w:tcPr>
            <w:tcW w:w="2788"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2" w:right="0"/>
              <w:jc w:val="left"/>
              <w:rPr>
                <w:rFonts w:ascii="Times New Roman" w:hAnsi="Times New Roman" w:cs="Times New Roman" w:eastAsia="Times New Roman" w:hint="default"/>
                <w:sz w:val="18"/>
                <w:szCs w:val="18"/>
              </w:rPr>
            </w:pPr>
            <w:r>
              <w:rPr>
                <w:rFonts w:ascii="Times New Roman"/>
                <w:sz w:val="18"/>
              </w:rPr>
              <w:t>-1,404,265.09</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4,801,515.7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87" w:right="0"/>
              <w:jc w:val="left"/>
              <w:rPr>
                <w:rFonts w:ascii="Times New Roman" w:hAnsi="Times New Roman" w:cs="Times New Roman" w:eastAsia="Times New Roman" w:hint="default"/>
                <w:sz w:val="18"/>
                <w:szCs w:val="18"/>
              </w:rPr>
            </w:pPr>
            <w:r>
              <w:rPr>
                <w:rFonts w:ascii="Times New Roman"/>
                <w:sz w:val="18"/>
              </w:rPr>
              <w:t>0.00</w:t>
            </w: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7,338,074.8</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w:t>
            </w:r>
          </w:p>
        </w:tc>
        <w:tc>
          <w:tcPr>
            <w:tcW w:w="937" w:type="dxa"/>
            <w:vMerge w:val="restart"/>
            <w:tcBorders>
              <w:top w:val="single" w:sz="4" w:space="0" w:color="000000"/>
              <w:left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-2,536,559.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07</w:t>
            </w: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5,933,809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.71</w:t>
            </w:r>
          </w:p>
        </w:tc>
      </w:tr>
      <w:tr>
        <w:trPr>
          <w:trHeight w:val="391" w:hRule="exact"/>
        </w:trPr>
        <w:tc>
          <w:tcPr>
            <w:tcW w:w="278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1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9"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4"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7"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r>
      <w:tr>
        <w:trPr>
          <w:trHeight w:val="161" w:hRule="exact"/>
        </w:trPr>
        <w:tc>
          <w:tcPr>
            <w:tcW w:w="2788"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9"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4"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7"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58</w:t>
      </w:r>
      <w:r>
        <w:rPr/>
        <w:t>、专项储备</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59</w:t>
      </w:r>
      <w:r>
        <w:rPr/>
        <w:t>、盈余公积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70"/>
              <w:jc w:val="right"/>
              <w:rPr>
                <w:rFonts w:ascii="宋体" w:hAnsi="宋体" w:cs="宋体" w:eastAsia="宋体" w:hint="default"/>
                <w:sz w:val="18"/>
                <w:szCs w:val="18"/>
              </w:rPr>
            </w:pPr>
            <w:r>
              <w:rPr>
                <w:rFonts w:ascii="宋体" w:hAnsi="宋体" w:cs="宋体" w:eastAsia="宋体" w:hint="default"/>
                <w:sz w:val="18"/>
                <w:szCs w:val="18"/>
              </w:rPr>
              <w:t>项目</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97"/>
              <w:jc w:val="right"/>
              <w:rPr>
                <w:rFonts w:ascii="宋体" w:hAnsi="宋体" w:cs="宋体" w:eastAsia="宋体" w:hint="default"/>
                <w:sz w:val="18"/>
                <w:szCs w:val="18"/>
              </w:rPr>
            </w:pPr>
            <w:r>
              <w:rPr>
                <w:rFonts w:ascii="宋体" w:hAnsi="宋体" w:cs="宋体" w:eastAsia="宋体" w:hint="default"/>
                <w:sz w:val="18"/>
                <w:szCs w:val="18"/>
              </w:rPr>
              <w:t>法定盈余公积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106,213,813.12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2,901,553.17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109,115,366.29</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797"/>
              <w:jc w:val="right"/>
              <w:rPr>
                <w:rFonts w:ascii="宋体" w:hAnsi="宋体" w:cs="宋体" w:eastAsia="宋体" w:hint="default"/>
                <w:sz w:val="18"/>
                <w:szCs w:val="18"/>
              </w:rPr>
            </w:pPr>
            <w:r>
              <w:rPr>
                <w:rFonts w:ascii="宋体" w:hAnsi="宋体" w:cs="宋体" w:eastAsia="宋体" w:hint="default"/>
                <w:sz w:val="18"/>
                <w:szCs w:val="18"/>
              </w:rPr>
              <w:t>任意盈余公积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6"/>
        <w:gridCol w:w="1913"/>
        <w:gridCol w:w="1916"/>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储备基金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企业发展基金</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106,213,813.12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2,901,553.17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109,115,366.29</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60</w:t>
      </w:r>
      <w:r>
        <w:rPr/>
        <w:t>、未分配利润</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726"/>
        <w:gridCol w:w="2924"/>
        <w:gridCol w:w="2919"/>
      </w:tblGrid>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896,308,435.34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785,850,461.77</w:t>
            </w:r>
          </w:p>
        </w:tc>
      </w:tr>
      <w:tr>
        <w:trPr>
          <w:trHeight w:val="403"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896,308,435.34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785,850,461.77</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265,199,610.30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156,569,086.39</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2,901,553.17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6,877,754.74</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提取任意盈余公积</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提取一般风险准备</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应付普通股股利</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47,456,755.48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39,113,663.04</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转作股本的普通股股利</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566" w:right="0"/>
              <w:jc w:val="left"/>
              <w:rPr>
                <w:rFonts w:ascii="宋体" w:hAnsi="宋体" w:cs="宋体" w:eastAsia="宋体" w:hint="default"/>
                <w:sz w:val="18"/>
                <w:szCs w:val="18"/>
              </w:rPr>
            </w:pPr>
            <w:r>
              <w:rPr>
                <w:rFonts w:ascii="宋体" w:hAnsi="宋体" w:cs="宋体" w:eastAsia="宋体" w:hint="default"/>
                <w:sz w:val="18"/>
                <w:szCs w:val="18"/>
              </w:rPr>
              <w:t>提取职工奖励及福利基金</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209,964.14</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6"/>
              <w:jc w:val="right"/>
              <w:rPr>
                <w:rFonts w:ascii="Times New Roman" w:hAnsi="Times New Roman" w:cs="Times New Roman" w:eastAsia="Times New Roman" w:hint="default"/>
                <w:sz w:val="18"/>
                <w:szCs w:val="18"/>
              </w:rPr>
            </w:pPr>
            <w:r>
              <w:rPr>
                <w:rFonts w:ascii="Times New Roman"/>
                <w:spacing w:val="-1"/>
                <w:sz w:val="18"/>
              </w:rPr>
              <w:t>243,290.42</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66" w:right="0"/>
              <w:jc w:val="left"/>
              <w:rPr>
                <w:rFonts w:ascii="宋体" w:hAnsi="宋体" w:cs="宋体" w:eastAsia="宋体" w:hint="default"/>
                <w:sz w:val="18"/>
                <w:szCs w:val="18"/>
              </w:rPr>
            </w:pPr>
            <w:r>
              <w:rPr>
                <w:rFonts w:ascii="宋体" w:hAnsi="宋体" w:cs="宋体" w:eastAsia="宋体" w:hint="default"/>
                <w:sz w:val="18"/>
                <w:szCs w:val="18"/>
              </w:rPr>
              <w:t>出售子公司部分股权丧失控制权的影响</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-123,595.38</w:t>
            </w:r>
          </w:p>
        </w:tc>
      </w:tr>
      <w:tr>
        <w:trPr>
          <w:trHeight w:val="402" w:hRule="exact"/>
        </w:trPr>
        <w:tc>
          <w:tcPr>
            <w:tcW w:w="37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1,110,939,772.85</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7"/>
              <w:jc w:val="right"/>
              <w:rPr>
                <w:rFonts w:ascii="Times New Roman" w:hAnsi="Times New Roman" w:cs="Times New Roman" w:eastAsia="Times New Roman" w:hint="default"/>
                <w:sz w:val="18"/>
                <w:szCs w:val="18"/>
              </w:rPr>
            </w:pPr>
            <w:r>
              <w:rPr>
                <w:rFonts w:ascii="Times New Roman"/>
                <w:spacing w:val="-1"/>
                <w:sz w:val="18"/>
              </w:rPr>
              <w:t>896,308,435.34</w:t>
            </w:r>
          </w:p>
        </w:tc>
      </w:tr>
    </w:tbl>
    <w:p>
      <w:pPr>
        <w:pStyle w:val="BodyText"/>
        <w:spacing w:line="240" w:lineRule="auto" w:before="49"/>
        <w:ind w:right="0"/>
        <w:jc w:val="left"/>
      </w:pPr>
      <w:r>
        <w:rPr/>
        <w:t>调整期初未分配利润明细：</w:t>
      </w:r>
    </w:p>
    <w:p>
      <w:pPr>
        <w:pStyle w:val="BodyText"/>
        <w:spacing w:line="240" w:lineRule="auto" w:before="115"/>
        <w:ind w:right="0"/>
        <w:jc w:val="left"/>
      </w:pPr>
      <w:r>
        <w:rPr>
          <w:rFonts w:ascii="Times New Roman" w:hAnsi="Times New Roman" w:cs="Times New Roman" w:eastAsia="Times New Roman" w:hint="default"/>
        </w:rPr>
        <w:t>1)</w:t>
      </w:r>
      <w:r>
        <w:rPr/>
        <w:t>、由于《企业会计准则》及其相关新规定进行追溯调整，影响期初未分配利润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0"/>
        <w:jc w:val="left"/>
      </w:pPr>
      <w:r>
        <w:rPr>
          <w:rFonts w:ascii="Times New Roman" w:hAnsi="Times New Roman" w:cs="Times New Roman" w:eastAsia="Times New Roman" w:hint="default"/>
        </w:rPr>
        <w:t>2)</w:t>
      </w:r>
      <w:r>
        <w:rPr/>
        <w:t>、由于会计政策变更，影响期初未分配利润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0"/>
        <w:jc w:val="left"/>
      </w:pPr>
      <w:r>
        <w:rPr>
          <w:rFonts w:ascii="Times New Roman" w:hAnsi="Times New Roman" w:cs="Times New Roman" w:eastAsia="Times New Roman" w:hint="default"/>
        </w:rPr>
        <w:t>3)</w:t>
      </w:r>
      <w:r>
        <w:rPr/>
        <w:t>、由于重大会计差错更正，影响期初未分配利润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1"/>
        <w:ind w:right="0"/>
        <w:jc w:val="left"/>
      </w:pPr>
      <w:r>
        <w:rPr>
          <w:rFonts w:ascii="Times New Roman" w:hAnsi="Times New Roman" w:cs="Times New Roman" w:eastAsia="Times New Roman" w:hint="default"/>
        </w:rPr>
        <w:t>4)</w:t>
      </w:r>
      <w:r>
        <w:rPr/>
        <w:t>、由于同一控制导致的合并范围变更，影响期初未分配利润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3"/>
        <w:ind w:right="0"/>
        <w:jc w:val="left"/>
      </w:pPr>
      <w:r>
        <w:rPr>
          <w:rFonts w:ascii="Times New Roman" w:hAnsi="Times New Roman" w:cs="Times New Roman" w:eastAsia="Times New Roman" w:hint="default"/>
        </w:rPr>
        <w:t>5)</w:t>
      </w:r>
      <w:r>
        <w:rPr/>
        <w:t>、其他调整合计影响期初未分配利润</w:t>
      </w:r>
      <w:r>
        <w:rPr>
          <w:spacing w:val="-44"/>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3"/>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61</w:t>
      </w:r>
      <w:r>
        <w:rPr/>
        <w:t>、营业收入和营业成本</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13"/>
        <w:gridCol w:w="1916"/>
        <w:gridCol w:w="1916"/>
        <w:gridCol w:w="1913"/>
        <w:gridCol w:w="1916"/>
      </w:tblGrid>
      <w:tr>
        <w:trPr>
          <w:trHeight w:val="403"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2,152,849,881.12</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529,758,399.35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1,584,734,715.17</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366,595,363.22</w:t>
            </w:r>
          </w:p>
        </w:tc>
      </w:tr>
      <w:tr>
        <w:trPr>
          <w:trHeight w:val="401"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3,637,893.73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1,082,598.34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571,620.34</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391,945.23</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2,156,487,774.85</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530,840,997.69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1,585,306,335.51</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366,987,308.45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62</w:t>
      </w:r>
      <w:r>
        <w:rPr/>
        <w:t>、税金及附加</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消费税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7,707,463.46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7,347,827.35</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3,322,394.39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3,168,158.92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资源税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2,733,384.57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109,222.38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车船使用税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107,846.48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107,087.72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4,758,435.48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684,184.40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2,185,335.34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2,084,844.86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w w:val="95"/>
                <w:sz w:val="18"/>
              </w:rPr>
              <w:t>43,112.70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680,277.38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285,146.14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21,604,359.48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13,720,362.09</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63</w:t>
      </w:r>
      <w:r>
        <w:rPr/>
        <w:t>、销售费用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89,378,307.60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64,572,800.36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业务经费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28,500,265.23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27,052,234.08</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特许权使用费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15,417,821.36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广告展览及服务费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4,984,594.97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12,839,667.70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3,745,483.16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5,351,554.07</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719,328.12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980,867.19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3,377,615.75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1,731,537.20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146,123,416.19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112,528,660.60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64</w:t>
      </w:r>
      <w:r>
        <w:rPr/>
        <w:t>、管理费用</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人工费用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Times New Roman" w:hAnsi="Times New Roman" w:cs="Times New Roman" w:eastAsia="Times New Roman" w:hint="default"/>
                <w:sz w:val="20"/>
                <w:szCs w:val="20"/>
              </w:rPr>
            </w:pPr>
            <w:r>
              <w:rPr>
                <w:rFonts w:ascii="Times New Roman"/>
                <w:w w:val="95"/>
                <w:sz w:val="20"/>
              </w:rPr>
              <w:t>700,153,134.69</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513,073,070.88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242,760,152.86</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199,157,448.08</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研究与开发费用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137,345,624.22</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105,359,378.96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房租水电装修费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Times New Roman" w:hAnsi="Times New Roman" w:cs="Times New Roman" w:eastAsia="Times New Roman" w:hint="default"/>
                <w:sz w:val="20"/>
                <w:szCs w:val="20"/>
              </w:rPr>
            </w:pPr>
            <w:r>
              <w:rPr>
                <w:rFonts w:ascii="Times New Roman"/>
                <w:w w:val="95"/>
                <w:sz w:val="20"/>
              </w:rPr>
              <w:t>61,526,416.32</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60,778,333.67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固定资产折旧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42,135,364.01</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31,366,110.75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日常办公及耗材</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Times New Roman" w:hAnsi="Times New Roman" w:cs="Times New Roman" w:eastAsia="Times New Roman" w:hint="default"/>
                <w:sz w:val="20"/>
                <w:szCs w:val="20"/>
              </w:rPr>
            </w:pPr>
            <w:r>
              <w:rPr>
                <w:rFonts w:ascii="Times New Roman"/>
                <w:w w:val="95"/>
                <w:sz w:val="20"/>
              </w:rPr>
              <w:t>25,999,341.35</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23,384,091.23</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42,336,530.34</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27,002,594.38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Times New Roman" w:hAnsi="Times New Roman" w:cs="Times New Roman" w:eastAsia="Times New Roman" w:hint="default"/>
                <w:sz w:val="20"/>
                <w:szCs w:val="20"/>
              </w:rPr>
            </w:pPr>
            <w:r>
              <w:rPr>
                <w:rFonts w:ascii="Times New Roman"/>
                <w:w w:val="95"/>
                <w:sz w:val="20"/>
              </w:rPr>
              <w:t>29,230,643.66</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22,313,901.96</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8,130,912.55</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11,546,408.38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技术支持费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Times New Roman" w:hAnsi="Times New Roman" w:cs="Times New Roman" w:eastAsia="Times New Roman" w:hint="default"/>
                <w:sz w:val="20"/>
                <w:szCs w:val="20"/>
              </w:rPr>
            </w:pPr>
            <w:r>
              <w:rPr>
                <w:rFonts w:ascii="Times New Roman"/>
                <w:w w:val="95"/>
                <w:sz w:val="20"/>
              </w:rPr>
              <w:t>8,331,765.04</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9,630,567.72</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16,298,853.37</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14,156,588.26</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8"/>
              <w:jc w:val="right"/>
              <w:rPr>
                <w:rFonts w:ascii="Times New Roman" w:hAnsi="Times New Roman" w:cs="Times New Roman" w:eastAsia="Times New Roman" w:hint="default"/>
                <w:sz w:val="18"/>
                <w:szCs w:val="18"/>
              </w:rPr>
            </w:pPr>
            <w:r>
              <w:rPr>
                <w:rFonts w:ascii="Times New Roman"/>
                <w:spacing w:val="-1"/>
                <w:sz w:val="18"/>
              </w:rPr>
              <w:t>1,314,248,738.41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1,017,768,494.27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65</w:t>
      </w:r>
      <w:r>
        <w:rPr/>
        <w:t>、财务费用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320,547.95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2,702,266.46</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60,995,183.11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25,828,374.17</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加：汇兑损失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1,368,267.75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-3,944,050.93</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加：其他支出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467,429.11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305,248.91</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-58,836,896.72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-26,764,909.73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66</w:t>
      </w:r>
      <w:r>
        <w:rPr/>
        <w:t>、资产减值损失</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21,061,989.47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16,676,450.20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47,843.80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三、可供出售金融资产减值损失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1,662,761.19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9,830,608.41</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四、持有至到期投资减值损失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五、长期股权投资减值损失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六、投资性房地产减值损失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七、固定资产减值损失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八、工程物资减值损失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九、在建工程减值损失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十、生产性生物资产减值损失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十一、油气资产减值损失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十二、无形资产减值损失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32,858,396.05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9,546,182.09</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十四、其他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55,583,146.71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36,101,084.50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67</w:t>
      </w:r>
      <w:r>
        <w:rPr/>
        <w:t>、公允价值变动收益</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68</w:t>
      </w:r>
      <w:r>
        <w:rPr/>
        <w:t>、投资收益</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462"/>
        <w:gridCol w:w="3190"/>
        <w:gridCol w:w="2919"/>
      </w:tblGrid>
      <w:tr>
        <w:trPr>
          <w:trHeight w:val="401"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4,473,110.87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14,659,142.82</w:t>
            </w:r>
          </w:p>
        </w:tc>
      </w:tr>
      <w:tr>
        <w:trPr>
          <w:trHeight w:val="401"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1,603,772.75</w:t>
            </w:r>
          </w:p>
        </w:tc>
      </w:tr>
      <w:tr>
        <w:trPr>
          <w:trHeight w:val="715"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1"/>
              <w:ind w:left="24" w:right="186"/>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 金融资产在持有期间的投资收益</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86"/>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 益的金融资产取得的投资收益</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持有至到期投资在持有期间的投资收益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7,556,839.13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2,745,205.46</w:t>
            </w:r>
          </w:p>
        </w:tc>
      </w:tr>
      <w:tr>
        <w:trPr>
          <w:trHeight w:val="401"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632,419.53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1,441,857.51</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8,472,084.00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pacing w:val="-1"/>
                <w:sz w:val="18"/>
                <w:szCs w:val="18"/>
              </w:rPr>
              <w:t>丧失控制权后，剩余股权按公允价值重新计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量产生的利得</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2,954,909.69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24,089,363.22</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20,449,978.54</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69</w:t>
      </w:r>
      <w:r>
        <w:rPr/>
        <w:t>、资产处置收益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-1,015,076.20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-440,829.71</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44" w:firstLine="274"/>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未划分为持有待售的非流动资 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-1,015,076.20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-440,829.71</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45"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w:t>
            </w:r>
            <w:r>
              <w:rPr>
                <w:rFonts w:ascii="宋体" w:hAnsi="宋体" w:cs="宋体" w:eastAsia="宋体" w:hint="default"/>
                <w:sz w:val="18"/>
                <w:szCs w:val="18"/>
              </w:rPr>
              <w:t>固定资产处置收益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-1,015,076.20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-440,829.71</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70</w:t>
      </w:r>
      <w:r>
        <w:rPr/>
        <w:t>、其他收益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0"/>
      </w:tblGrid>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增值税返还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9"/>
              <w:ind w:right="20"/>
              <w:jc w:val="right"/>
              <w:rPr>
                <w:rFonts w:ascii="Times New Roman" w:hAnsi="Times New Roman" w:cs="Times New Roman" w:eastAsia="Times New Roman" w:hint="default"/>
                <w:sz w:val="20"/>
                <w:szCs w:val="20"/>
              </w:rPr>
            </w:pPr>
            <w:r>
              <w:rPr>
                <w:rFonts w:ascii="Times New Roman"/>
                <w:w w:val="95"/>
                <w:sz w:val="20"/>
              </w:rPr>
              <w:t>49,674,671.01</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0"/>
              <w:jc w:val="right"/>
              <w:rPr>
                <w:rFonts w:ascii="Times New Roman" w:hAnsi="Times New Roman" w:cs="Times New Roman" w:eastAsia="Times New Roman" w:hint="default"/>
                <w:sz w:val="20"/>
                <w:szCs w:val="20"/>
              </w:rPr>
            </w:pPr>
            <w:r>
              <w:rPr>
                <w:rFonts w:ascii="Times New Roman"/>
                <w:w w:val="95"/>
                <w:sz w:val="20"/>
              </w:rPr>
              <w:t>49,220,377.07</w:t>
            </w:r>
            <w:r>
              <w:rPr>
                <w:rFonts w:ascii="Times New Roman"/>
                <w:sz w:val="20"/>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71</w:t>
      </w:r>
      <w:r>
        <w:rPr/>
        <w:t>、营业外收入</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163" w:hRule="exact"/>
        </w:trPr>
        <w:tc>
          <w:tcPr>
            <w:tcW w:w="23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314" w:lineRule="auto" w:before="51"/>
              <w:ind w:left="1102"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1" w:hRule="exact"/>
        </w:trPr>
        <w:tc>
          <w:tcPr>
            <w:tcW w:w="2388" w:type="dxa"/>
            <w:vMerge/>
            <w:tcBorders>
              <w:left w:val="single" w:sz="4" w:space="0" w:color="000000"/>
              <w:right w:val="single" w:sz="4" w:space="0" w:color="000000"/>
            </w:tcBorders>
            <w:shd w:val="clear" w:color="auto" w:fill="D2D2D2"/>
          </w:tcPr>
          <w:p>
            <w:pPr/>
          </w:p>
        </w:tc>
        <w:tc>
          <w:tcPr>
            <w:tcW w:w="2396" w:type="dxa"/>
            <w:vMerge/>
            <w:tcBorders>
              <w:left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3" w:type="dxa"/>
            <w:vMerge/>
            <w:tcBorders>
              <w:left w:val="single" w:sz="4" w:space="0" w:color="000000"/>
              <w:right w:val="single" w:sz="4" w:space="0" w:color="000000"/>
            </w:tcBorders>
            <w:shd w:val="clear" w:color="auto" w:fill="D2D2D2"/>
          </w:tcPr>
          <w:p>
            <w:pPr/>
          </w:p>
        </w:tc>
      </w:tr>
      <w:tr>
        <w:trPr>
          <w:trHeight w:val="161" w:hRule="exact"/>
        </w:trPr>
        <w:tc>
          <w:tcPr>
            <w:tcW w:w="2388" w:type="dxa"/>
            <w:vMerge/>
            <w:tcBorders>
              <w:left w:val="single" w:sz="4" w:space="0" w:color="000000"/>
              <w:bottom w:val="single" w:sz="4" w:space="0" w:color="000000"/>
              <w:right w:val="single" w:sz="4" w:space="0" w:color="000000"/>
            </w:tcBorders>
            <w:shd w:val="clear" w:color="auto" w:fill="D2D2D2"/>
          </w:tcPr>
          <w:p>
            <w:pPr/>
          </w:p>
        </w:tc>
        <w:tc>
          <w:tcPr>
            <w:tcW w:w="2396"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债务重组利得</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非货币性资产交换利得</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接受捐赠</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2,944,515.60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13,064,021.49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2,944,515.60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无法支付的应付款项</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72,946.00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2,386,276.04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72,946.00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增值税返还</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64,991,781.70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581,729.07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299,508.04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581,729.07</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7"/>
              <w:jc w:val="right"/>
              <w:rPr>
                <w:rFonts w:ascii="Times New Roman" w:hAnsi="Times New Roman" w:cs="Times New Roman" w:eastAsia="Times New Roman" w:hint="default"/>
                <w:sz w:val="18"/>
                <w:szCs w:val="18"/>
              </w:rPr>
            </w:pPr>
            <w:r>
              <w:rPr>
                <w:rFonts w:ascii="Times New Roman"/>
                <w:spacing w:val="-1"/>
                <w:sz w:val="18"/>
              </w:rPr>
              <w:t>3,599,190.67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80,741,587.27</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3,599,190.67</w:t>
            </w:r>
          </w:p>
        </w:tc>
      </w:tr>
    </w:tbl>
    <w:p>
      <w:pPr>
        <w:pStyle w:val="BodyText"/>
        <w:spacing w:line="240" w:lineRule="auto" w:before="49"/>
        <w:ind w:right="0"/>
        <w:jc w:val="left"/>
      </w:pPr>
      <w:r>
        <w:rPr/>
        <w:t>计入当期损益的政府补助：</w:t>
      </w:r>
    </w:p>
    <w:p>
      <w:pPr>
        <w:pStyle w:val="BodyText"/>
        <w:spacing w:line="240" w:lineRule="auto" w:before="115"/>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59"/>
        <w:gridCol w:w="1275"/>
        <w:gridCol w:w="710"/>
        <w:gridCol w:w="1418"/>
        <w:gridCol w:w="992"/>
        <w:gridCol w:w="850"/>
        <w:gridCol w:w="852"/>
        <w:gridCol w:w="850"/>
        <w:gridCol w:w="1063"/>
      </w:tblGrid>
      <w:tr>
        <w:trPr>
          <w:trHeight w:val="716"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59" w:right="79" w:hanging="180"/>
              <w:jc w:val="left"/>
              <w:rPr>
                <w:rFonts w:ascii="宋体" w:hAnsi="宋体" w:cs="宋体" w:eastAsia="宋体" w:hint="default"/>
                <w:sz w:val="18"/>
                <w:szCs w:val="18"/>
              </w:rPr>
            </w:pPr>
            <w:r>
              <w:rPr>
                <w:rFonts w:ascii="宋体" w:hAnsi="宋体" w:cs="宋体" w:eastAsia="宋体" w:hint="default"/>
                <w:sz w:val="18"/>
                <w:szCs w:val="18"/>
              </w:rPr>
              <w:t>发放原 因</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40" w:right="39"/>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0" w:right="59" w:hanging="180"/>
              <w:jc w:val="left"/>
              <w:rPr>
                <w:rFonts w:ascii="宋体" w:hAnsi="宋体" w:cs="宋体" w:eastAsia="宋体" w:hint="default"/>
                <w:sz w:val="18"/>
                <w:szCs w:val="18"/>
              </w:rPr>
            </w:pPr>
            <w:r>
              <w:rPr>
                <w:rFonts w:ascii="宋体" w:hAnsi="宋体" w:cs="宋体" w:eastAsia="宋体" w:hint="default"/>
                <w:sz w:val="18"/>
                <w:szCs w:val="18"/>
              </w:rPr>
              <w:t>是否特殊 补贴</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39" w:right="60" w:hanging="180"/>
              <w:jc w:val="left"/>
              <w:rPr>
                <w:rFonts w:ascii="宋体" w:hAnsi="宋体" w:cs="宋体" w:eastAsia="宋体" w:hint="default"/>
                <w:sz w:val="18"/>
                <w:szCs w:val="18"/>
              </w:rPr>
            </w:pPr>
            <w:r>
              <w:rPr>
                <w:rFonts w:ascii="宋体" w:hAnsi="宋体" w:cs="宋体" w:eastAsia="宋体" w:hint="default"/>
                <w:sz w:val="18"/>
                <w:szCs w:val="18"/>
              </w:rPr>
              <w:t>本期发生 金额</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39" w:right="58" w:hanging="180"/>
              <w:jc w:val="left"/>
              <w:rPr>
                <w:rFonts w:ascii="宋体" w:hAnsi="宋体" w:cs="宋体" w:eastAsia="宋体" w:hint="default"/>
                <w:sz w:val="18"/>
                <w:szCs w:val="18"/>
              </w:rPr>
            </w:pPr>
            <w:r>
              <w:rPr>
                <w:rFonts w:ascii="宋体" w:hAnsi="宋体" w:cs="宋体" w:eastAsia="宋体" w:hint="default"/>
                <w:sz w:val="18"/>
                <w:szCs w:val="18"/>
              </w:rPr>
              <w:t>上期发生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76" w:right="48" w:hanging="24"/>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33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19"/>
              <w:jc w:val="left"/>
              <w:rPr>
                <w:rFonts w:ascii="宋体" w:hAnsi="宋体" w:cs="宋体" w:eastAsia="宋体" w:hint="default"/>
                <w:sz w:val="18"/>
                <w:szCs w:val="18"/>
              </w:rPr>
            </w:pPr>
            <w:r>
              <w:rPr>
                <w:rFonts w:ascii="宋体" w:hAnsi="宋体" w:cs="宋体" w:eastAsia="宋体" w:hint="default"/>
                <w:sz w:val="18"/>
                <w:szCs w:val="18"/>
              </w:rPr>
              <w:t>合肥高新区一事一 议年薪</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万核心骨</w:t>
            </w:r>
          </w:p>
          <w:p>
            <w:pPr>
              <w:pStyle w:val="TableParagraph"/>
              <w:spacing w:line="300" w:lineRule="auto" w:before="1"/>
              <w:ind w:left="22" w:right="17"/>
              <w:jc w:val="left"/>
              <w:rPr>
                <w:rFonts w:ascii="宋体" w:hAnsi="宋体" w:cs="宋体" w:eastAsia="宋体" w:hint="default"/>
                <w:sz w:val="18"/>
                <w:szCs w:val="18"/>
              </w:rPr>
            </w:pPr>
            <w:r>
              <w:rPr>
                <w:rFonts w:ascii="宋体" w:hAnsi="宋体" w:cs="宋体" w:eastAsia="宋体" w:hint="default"/>
                <w:sz w:val="18"/>
                <w:szCs w:val="18"/>
              </w:rPr>
              <w:t>干人员</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年个人 所得税奖励</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联发科技合肥 研发基地及汽 车电子芯片项 目合作协议</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2,380,000.</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2" w:right="0"/>
              <w:jc w:val="left"/>
              <w:rPr>
                <w:rFonts w:ascii="宋体" w:hAnsi="宋体" w:cs="宋体" w:eastAsia="宋体" w:hint="default"/>
                <w:sz w:val="18"/>
                <w:szCs w:val="18"/>
              </w:rPr>
            </w:pPr>
            <w:r>
              <w:rPr>
                <w:rFonts w:ascii="宋体" w:hAnsi="宋体" w:cs="宋体" w:eastAsia="宋体" w:hint="default"/>
                <w:sz w:val="18"/>
                <w:szCs w:val="18"/>
              </w:rPr>
              <w:t>海淀社保稳岗补贴</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海淀社保局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396,442.7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297" w:lineRule="auto"/>
              <w:ind w:left="22" w:right="36"/>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年企业稳岗补 贴</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关于企业享受 岗位补贴的公 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w w:val="95"/>
                <w:sz w:val="18"/>
              </w:rPr>
              <w:t>112,734.0</w:t>
            </w:r>
          </w:p>
          <w:p>
            <w:pPr>
              <w:pStyle w:val="TableParagraph"/>
              <w:spacing w:line="240" w:lineRule="auto" w:before="102"/>
              <w:ind w:right="23"/>
              <w:jc w:val="right"/>
              <w:rPr>
                <w:rFonts w:ascii="Times New Roman" w:hAnsi="Times New Roman" w:cs="Times New Roman" w:eastAsia="Times New Roman" w:hint="default"/>
                <w:sz w:val="18"/>
                <w:szCs w:val="18"/>
              </w:rPr>
            </w:pPr>
            <w:r>
              <w:rPr>
                <w:rFonts w:ascii="Times New Roman"/>
                <w:sz w:val="18"/>
              </w:rPr>
              <w:t>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00" w:lineRule="auto"/>
              <w:ind w:left="22" w:right="36"/>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年稳岗补贴资 金</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3" w:right="159"/>
              <w:jc w:val="left"/>
              <w:rPr>
                <w:rFonts w:ascii="宋体" w:hAnsi="宋体" w:cs="宋体" w:eastAsia="宋体" w:hint="default"/>
                <w:sz w:val="18"/>
                <w:szCs w:val="18"/>
              </w:rPr>
            </w:pPr>
            <w:r>
              <w:rPr>
                <w:rFonts w:ascii="宋体" w:hAnsi="宋体" w:cs="宋体" w:eastAsia="宋体" w:hint="default"/>
                <w:sz w:val="18"/>
                <w:szCs w:val="18"/>
              </w:rPr>
              <w:t>长沙市失业保 险管理服务局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17,996.04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宋体" w:hAnsi="宋体" w:cs="宋体" w:eastAsia="宋体" w:hint="default"/>
                <w:sz w:val="15"/>
                <w:szCs w:val="15"/>
              </w:rPr>
            </w:pPr>
          </w:p>
          <w:p>
            <w:pPr>
              <w:pStyle w:val="TableParagraph"/>
              <w:spacing w:line="314" w:lineRule="auto"/>
              <w:ind w:left="22" w:right="84"/>
              <w:jc w:val="left"/>
              <w:rPr>
                <w:rFonts w:ascii="宋体" w:hAnsi="宋体" w:cs="宋体" w:eastAsia="宋体" w:hint="default"/>
                <w:sz w:val="18"/>
                <w:szCs w:val="18"/>
              </w:rPr>
            </w:pPr>
            <w:r>
              <w:rPr>
                <w:rFonts w:ascii="宋体" w:hAnsi="宋体" w:cs="宋体" w:eastAsia="宋体" w:hint="default"/>
                <w:sz w:val="18"/>
                <w:szCs w:val="18"/>
              </w:rPr>
              <w:t>海淀社保稳岗补贴 收入</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海淀社保局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17,462.79</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5"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武汉市人力资</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因研究开发</w:t>
            </w:r>
            <w:r>
              <w:rPr>
                <w:rFonts w:ascii="宋体" w:hAnsi="宋体" w:cs="宋体" w:eastAsia="宋体" w:hint="default"/>
                <w:spacing w:val="-80"/>
                <w:sz w:val="18"/>
                <w:szCs w:val="18"/>
              </w:rPr>
              <w:t>、</w:t>
            </w:r>
            <w:r>
              <w:rPr>
                <w:rFonts w:ascii="宋体" w:hAnsi="宋体" w:cs="宋体" w:eastAsia="宋体" w:hint="default"/>
                <w:sz w:val="18"/>
                <w:szCs w:val="18"/>
              </w:rPr>
              <w:t>技术</w:t>
            </w: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源和社会保障</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更新及改造等获</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pacing w:val="-1"/>
                <w:sz w:val="18"/>
              </w:rPr>
              <w:t>16,000.00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5"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局</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得的补助</w:t>
            </w: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59"/>
        <w:gridCol w:w="1275"/>
        <w:gridCol w:w="710"/>
        <w:gridCol w:w="1418"/>
        <w:gridCol w:w="992"/>
        <w:gridCol w:w="850"/>
        <w:gridCol w:w="852"/>
        <w:gridCol w:w="850"/>
        <w:gridCol w:w="1063"/>
      </w:tblGrid>
      <w:tr>
        <w:trPr>
          <w:trHeight w:val="356"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高新区企业党</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316" w:lineRule="auto"/>
              <w:ind w:left="22" w:right="84"/>
              <w:jc w:val="left"/>
              <w:rPr>
                <w:rFonts w:ascii="宋体" w:hAnsi="宋体" w:cs="宋体" w:eastAsia="宋体" w:hint="default"/>
                <w:sz w:val="18"/>
                <w:szCs w:val="18"/>
              </w:rPr>
            </w:pPr>
            <w:r>
              <w:rPr>
                <w:rFonts w:ascii="宋体" w:hAnsi="宋体" w:cs="宋体" w:eastAsia="宋体" w:hint="default"/>
                <w:sz w:val="18"/>
                <w:szCs w:val="18"/>
              </w:rPr>
              <w:t>非公企业党员学习 经费补助</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159"/>
              <w:jc w:val="both"/>
              <w:rPr>
                <w:rFonts w:ascii="宋体" w:hAnsi="宋体" w:cs="宋体" w:eastAsia="宋体" w:hint="default"/>
                <w:sz w:val="18"/>
                <w:szCs w:val="18"/>
              </w:rPr>
            </w:pPr>
            <w:r>
              <w:rPr>
                <w:rFonts w:ascii="宋体" w:hAnsi="宋体" w:cs="宋体" w:eastAsia="宋体" w:hint="default"/>
                <w:sz w:val="18"/>
                <w:szCs w:val="18"/>
              </w:rPr>
              <w:t>委非公企业党 员学习活动经 费申请和使用</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right="21"/>
              <w:jc w:val="right"/>
              <w:rPr>
                <w:rFonts w:ascii="Times New Roman" w:hAnsi="Times New Roman" w:cs="Times New Roman" w:eastAsia="Times New Roman" w:hint="default"/>
                <w:sz w:val="18"/>
                <w:szCs w:val="18"/>
              </w:rPr>
            </w:pPr>
            <w:r>
              <w:rPr>
                <w:rFonts w:ascii="Times New Roman"/>
                <w:w w:val="95"/>
                <w:sz w:val="18"/>
              </w:rPr>
              <w:t>3,880.00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8"/>
              <w:ind w:left="504" w:right="0"/>
              <w:jc w:val="left"/>
              <w:rPr>
                <w:rFonts w:ascii="Times New Roman" w:hAnsi="Times New Roman" w:cs="Times New Roman" w:eastAsia="Times New Roman" w:hint="default"/>
                <w:sz w:val="18"/>
                <w:szCs w:val="18"/>
              </w:rPr>
            </w:pPr>
            <w:r>
              <w:rPr>
                <w:rFonts w:ascii="Times New Roman"/>
                <w:sz w:val="18"/>
              </w:rPr>
              <w:t>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7"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管理办法</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国家发展改革</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委办公厅财政</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936"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3"/>
              <w:ind w:left="22" w:right="84"/>
              <w:jc w:val="both"/>
              <w:rPr>
                <w:rFonts w:ascii="宋体" w:hAnsi="宋体" w:cs="宋体" w:eastAsia="宋体" w:hint="default"/>
                <w:sz w:val="18"/>
                <w:szCs w:val="18"/>
              </w:rPr>
            </w:pPr>
            <w:r>
              <w:rPr>
                <w:rFonts w:ascii="宋体" w:hAnsi="宋体" w:cs="宋体" w:eastAsia="宋体" w:hint="default"/>
                <w:sz w:val="18"/>
                <w:szCs w:val="18"/>
              </w:rPr>
              <w:t>基于北斗的前装车 载信息服务平台研 发与终端研制项目</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09" w:lineRule="auto" w:before="10"/>
              <w:ind w:left="23" w:right="111"/>
              <w:jc w:val="both"/>
              <w:rPr>
                <w:rFonts w:ascii="宋体" w:hAnsi="宋体" w:cs="宋体" w:eastAsia="宋体" w:hint="default"/>
                <w:sz w:val="18"/>
                <w:szCs w:val="18"/>
              </w:rPr>
            </w:pPr>
            <w:r>
              <w:rPr>
                <w:rFonts w:ascii="宋体" w:hAnsi="宋体" w:cs="宋体" w:eastAsia="宋体" w:hint="default"/>
                <w:sz w:val="18"/>
                <w:szCs w:val="18"/>
              </w:rPr>
              <w:t>部办公厅关于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年卫星及 应用产业发展</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316" w:lineRule="auto" w:before="13"/>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2,994,125.</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57</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2"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专项项目实施</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方案的复函</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60"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年海淀区</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1"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5"/>
              <w:ind w:left="22" w:right="84"/>
              <w:jc w:val="both"/>
              <w:rPr>
                <w:rFonts w:ascii="宋体" w:hAnsi="宋体" w:cs="宋体" w:eastAsia="宋体" w:hint="default"/>
                <w:sz w:val="18"/>
                <w:szCs w:val="18"/>
              </w:rPr>
            </w:pPr>
            <w:r>
              <w:rPr>
                <w:rFonts w:ascii="宋体" w:hAnsi="宋体" w:cs="宋体" w:eastAsia="宋体" w:hint="default"/>
                <w:sz w:val="18"/>
                <w:szCs w:val="18"/>
              </w:rPr>
              <w:t>基于北斗的高精度 位置信息数据服务 平台</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3" w:right="159"/>
              <w:jc w:val="both"/>
              <w:rPr>
                <w:rFonts w:ascii="宋体" w:hAnsi="宋体" w:cs="宋体" w:eastAsia="宋体" w:hint="default"/>
                <w:sz w:val="18"/>
                <w:szCs w:val="18"/>
              </w:rPr>
            </w:pPr>
            <w:r>
              <w:rPr>
                <w:rFonts w:ascii="宋体" w:hAnsi="宋体" w:cs="宋体" w:eastAsia="宋体" w:hint="default"/>
                <w:sz w:val="18"/>
                <w:szCs w:val="18"/>
              </w:rPr>
              <w:t>重大科技成果 转化和产业化 专项资金支持</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2"/>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2,544,673.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51</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57"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公告</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1"/>
              <w:ind w:left="22" w:right="17"/>
              <w:jc w:val="left"/>
              <w:rPr>
                <w:rFonts w:ascii="宋体" w:hAnsi="宋体" w:cs="宋体" w:eastAsia="宋体" w:hint="default"/>
                <w:sz w:val="18"/>
                <w:szCs w:val="18"/>
              </w:rPr>
            </w:pPr>
            <w:r>
              <w:rPr>
                <w:rFonts w:ascii="宋体" w:hAnsi="宋体" w:cs="宋体" w:eastAsia="宋体" w:hint="default"/>
                <w:sz w:val="18"/>
                <w:szCs w:val="18"/>
              </w:rPr>
              <w:t>湖南省</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年互联 网产业发展专项资 金</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3" w:right="159"/>
              <w:jc w:val="left"/>
              <w:rPr>
                <w:rFonts w:ascii="宋体" w:hAnsi="宋体" w:cs="宋体" w:eastAsia="宋体" w:hint="default"/>
                <w:sz w:val="18"/>
                <w:szCs w:val="18"/>
              </w:rPr>
            </w:pPr>
            <w:r>
              <w:rPr>
                <w:rFonts w:ascii="宋体" w:hAnsi="宋体" w:cs="宋体" w:eastAsia="宋体" w:hint="default"/>
                <w:sz w:val="18"/>
                <w:szCs w:val="18"/>
              </w:rPr>
              <w:t>长沙市财政局 高新分局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5"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科技部关于国</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家高技术研究</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发展计划地球</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1253"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0"/>
              <w:ind w:left="22" w:right="-8"/>
              <w:jc w:val="both"/>
              <w:rPr>
                <w:rFonts w:ascii="宋体" w:hAnsi="宋体" w:cs="宋体" w:eastAsia="宋体" w:hint="default"/>
                <w:sz w:val="18"/>
                <w:szCs w:val="18"/>
              </w:rPr>
            </w:pPr>
            <w:r>
              <w:rPr>
                <w:rFonts w:ascii="宋体" w:hAnsi="宋体" w:cs="宋体" w:eastAsia="宋体" w:hint="default"/>
                <w:sz w:val="18"/>
                <w:szCs w:val="18"/>
              </w:rPr>
              <w:t>面向我国华北地区 的分米级向位增强 运行服务系统研制 与应用示范（</w:t>
            </w:r>
            <w:r>
              <w:rPr>
                <w:rFonts w:ascii="Times New Roman" w:hAnsi="Times New Roman" w:cs="Times New Roman" w:eastAsia="Times New Roman" w:hint="default"/>
                <w:sz w:val="18"/>
                <w:szCs w:val="18"/>
              </w:rPr>
              <w:t>863</w:t>
            </w:r>
            <w:r>
              <w:rPr>
                <w:rFonts w:ascii="宋体" w:hAnsi="宋体" w:cs="宋体" w:eastAsia="宋体" w:hint="default"/>
                <w:sz w:val="18"/>
                <w:szCs w:val="18"/>
              </w:rPr>
              <w:t>）</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12" w:lineRule="auto" w:before="10"/>
              <w:ind w:left="23" w:right="65"/>
              <w:jc w:val="left"/>
              <w:rPr>
                <w:rFonts w:ascii="宋体" w:hAnsi="宋体" w:cs="宋体" w:eastAsia="宋体" w:hint="default"/>
                <w:sz w:val="18"/>
                <w:szCs w:val="18"/>
              </w:rPr>
            </w:pPr>
            <w:r>
              <w:rPr>
                <w:rFonts w:ascii="宋体" w:hAnsi="宋体" w:cs="宋体" w:eastAsia="宋体" w:hint="default"/>
                <w:sz w:val="18"/>
                <w:szCs w:val="18"/>
              </w:rPr>
              <w:t>观测与导航技 术领域</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 第一批项目立 项的通知</w:t>
            </w:r>
            <w:r>
              <w:rPr>
                <w:rFonts w:ascii="Times New Roman" w:hAnsi="Times New Roman" w:cs="Times New Roman" w:eastAsia="Times New Roman" w:hint="default"/>
                <w:sz w:val="18"/>
                <w:szCs w:val="18"/>
              </w:rPr>
              <w:t>"</w:t>
            </w:r>
            <w:r>
              <w:rPr>
                <w:rFonts w:ascii="宋体" w:hAnsi="宋体" w:cs="宋体" w:eastAsia="宋体" w:hint="default"/>
                <w:sz w:val="18"/>
                <w:szCs w:val="18"/>
              </w:rPr>
              <w:t>星基</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right="19"/>
              <w:jc w:val="right"/>
              <w:rPr>
                <w:rFonts w:ascii="Times New Roman" w:hAnsi="Times New Roman" w:cs="Times New Roman" w:eastAsia="Times New Roman" w:hint="default"/>
                <w:sz w:val="18"/>
                <w:szCs w:val="18"/>
              </w:rPr>
            </w:pPr>
            <w:r>
              <w:rPr>
                <w:rFonts w:ascii="Times New Roman"/>
                <w:spacing w:val="-1"/>
                <w:sz w:val="18"/>
              </w:rPr>
              <w:t>765,512.7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0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相位增强系统</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关键技术与示</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范</w:t>
            </w:r>
            <w:r>
              <w:rPr>
                <w:rFonts w:ascii="Times New Roman" w:hAnsi="Times New Roman" w:cs="Times New Roman" w:eastAsia="Times New Roman" w:hint="default"/>
                <w:sz w:val="18"/>
                <w:szCs w:val="18"/>
              </w:rPr>
              <w:t>"</w:t>
            </w:r>
            <w:r>
              <w:rPr>
                <w:rFonts w:ascii="宋体" w:hAnsi="宋体" w:cs="宋体" w:eastAsia="宋体" w:hint="default"/>
                <w:sz w:val="18"/>
                <w:szCs w:val="18"/>
              </w:rPr>
              <w:t>主题项目</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1028"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政府扶持资金</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杨浦区财政局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492,000.0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中国四维</w:t>
            </w:r>
            <w:r>
              <w:rPr>
                <w:rFonts w:ascii="Times New Roman" w:hAnsi="Times New Roman" w:cs="Times New Roman" w:eastAsia="Times New Roman" w:hint="default"/>
                <w:sz w:val="18"/>
                <w:szCs w:val="18"/>
              </w:rPr>
              <w:t>"</w:t>
            </w:r>
            <w:r>
              <w:rPr>
                <w:rFonts w:ascii="宋体" w:hAnsi="宋体" w:cs="宋体" w:eastAsia="宋体" w:hint="default"/>
                <w:sz w:val="18"/>
                <w:szCs w:val="18"/>
              </w:rPr>
              <w:t>停车场 动态车位信息服务 技术研究与示范应 用</w:t>
            </w:r>
            <w:r>
              <w:rPr>
                <w:rFonts w:ascii="Times New Roman" w:hAnsi="Times New Roman" w:cs="Times New Roman" w:eastAsia="Times New Roman" w:hint="default"/>
                <w:sz w:val="18"/>
                <w:szCs w:val="18"/>
              </w:rPr>
              <w:t>"</w:t>
            </w:r>
            <w:r>
              <w:rPr>
                <w:rFonts w:ascii="宋体" w:hAnsi="宋体" w:cs="宋体" w:eastAsia="宋体" w:hint="default"/>
                <w:sz w:val="18"/>
                <w:szCs w:val="18"/>
              </w:rPr>
              <w:t>项目拨款</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9"/>
              <w:jc w:val="left"/>
              <w:rPr>
                <w:rFonts w:ascii="宋体" w:hAnsi="宋体" w:cs="宋体" w:eastAsia="宋体" w:hint="default"/>
                <w:sz w:val="18"/>
                <w:szCs w:val="18"/>
              </w:rPr>
            </w:pPr>
            <w:r>
              <w:rPr>
                <w:rFonts w:ascii="宋体" w:hAnsi="宋体" w:cs="宋体" w:eastAsia="宋体" w:hint="default"/>
                <w:sz w:val="18"/>
                <w:szCs w:val="18"/>
              </w:rPr>
              <w:t>中国四维测绘 技术有限公司</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84"/>
              <w:jc w:val="left"/>
              <w:rPr>
                <w:rFonts w:ascii="宋体" w:hAnsi="宋体" w:cs="宋体" w:eastAsia="宋体" w:hint="default"/>
                <w:sz w:val="18"/>
                <w:szCs w:val="18"/>
              </w:rPr>
            </w:pPr>
            <w:r>
              <w:rPr>
                <w:rFonts w:ascii="宋体" w:hAnsi="宋体" w:cs="宋体" w:eastAsia="宋体" w:hint="default"/>
                <w:sz w:val="18"/>
                <w:szCs w:val="18"/>
              </w:rPr>
              <w:t>中关村科技园区项 目补贴款</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3" w:right="159"/>
              <w:jc w:val="left"/>
              <w:rPr>
                <w:rFonts w:ascii="宋体" w:hAnsi="宋体" w:cs="宋体" w:eastAsia="宋体" w:hint="default"/>
                <w:sz w:val="18"/>
                <w:szCs w:val="18"/>
              </w:rPr>
            </w:pPr>
            <w:r>
              <w:rPr>
                <w:rFonts w:ascii="宋体" w:hAnsi="宋体" w:cs="宋体" w:eastAsia="宋体" w:hint="default"/>
                <w:sz w:val="18"/>
                <w:szCs w:val="18"/>
              </w:rPr>
              <w:t>中关村科技园 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400,000.0</w:t>
            </w:r>
          </w:p>
          <w:p>
            <w:pPr>
              <w:pStyle w:val="TableParagraph"/>
              <w:spacing w:line="240" w:lineRule="auto" w:before="102"/>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财政专利资助费</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left"/>
              <w:rPr>
                <w:rFonts w:ascii="宋体" w:hAnsi="宋体" w:cs="宋体" w:eastAsia="宋体" w:hint="default"/>
                <w:sz w:val="18"/>
                <w:szCs w:val="18"/>
              </w:rPr>
            </w:pPr>
            <w:r>
              <w:rPr>
                <w:rFonts w:ascii="宋体" w:hAnsi="宋体" w:cs="宋体" w:eastAsia="宋体" w:hint="default"/>
                <w:sz w:val="18"/>
                <w:szCs w:val="18"/>
              </w:rPr>
              <w:t>上海市国库收 付中心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8"/>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396,400.0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59"/>
        <w:gridCol w:w="1275"/>
        <w:gridCol w:w="710"/>
        <w:gridCol w:w="1418"/>
        <w:gridCol w:w="992"/>
        <w:gridCol w:w="850"/>
        <w:gridCol w:w="852"/>
        <w:gridCol w:w="850"/>
        <w:gridCol w:w="1063"/>
      </w:tblGrid>
      <w:tr>
        <w:trPr>
          <w:trHeight w:val="36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275" w:type="dxa"/>
            <w:tcBorders>
              <w:top w:val="single" w:sz="4" w:space="0" w:color="000000"/>
              <w:left w:val="single" w:sz="4" w:space="0" w:color="000000"/>
              <w:bottom w:val="single" w:sz="4" w:space="0" w:color="000000"/>
              <w:right w:val="single" w:sz="4" w:space="0" w:color="000000"/>
            </w:tcBorders>
          </w:tcPr>
          <w:p>
            <w:pPr/>
          </w:p>
        </w:tc>
        <w:tc>
          <w:tcPr>
            <w:tcW w:w="710"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得的补助</w:t>
            </w: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360"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工信部</w:t>
            </w:r>
            <w:r>
              <w:rPr>
                <w:rFonts w:ascii="Times New Roman" w:hAnsi="Times New Roman" w:cs="Times New Roman" w:eastAsia="Times New Roman" w:hint="default"/>
                <w:sz w:val="18"/>
                <w:szCs w:val="18"/>
              </w:rPr>
              <w:t>"</w:t>
            </w:r>
            <w:r>
              <w:rPr>
                <w:rFonts w:ascii="宋体" w:hAnsi="宋体" w:cs="宋体" w:eastAsia="宋体" w:hint="default"/>
                <w:sz w:val="18"/>
                <w:szCs w:val="18"/>
              </w:rPr>
              <w:t>移动互</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联网应用开发</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1872"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2" w:right="84"/>
              <w:jc w:val="both"/>
              <w:rPr>
                <w:rFonts w:ascii="宋体" w:hAnsi="宋体" w:cs="宋体" w:eastAsia="宋体" w:hint="default"/>
                <w:sz w:val="18"/>
                <w:szCs w:val="18"/>
              </w:rPr>
            </w:pPr>
            <w:r>
              <w:rPr>
                <w:rFonts w:ascii="宋体" w:hAnsi="宋体" w:cs="宋体" w:eastAsia="宋体" w:hint="default"/>
                <w:sz w:val="18"/>
                <w:szCs w:val="18"/>
              </w:rPr>
              <w:t>基于安全可控移动 智能终端操作系统 的地图及位置服务 应用研发及产业化 项目</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14" w:lineRule="auto" w:before="10"/>
              <w:ind w:left="23" w:right="39"/>
              <w:jc w:val="left"/>
              <w:rPr>
                <w:rFonts w:ascii="宋体" w:hAnsi="宋体" w:cs="宋体" w:eastAsia="宋体" w:hint="default"/>
                <w:sz w:val="18"/>
                <w:szCs w:val="18"/>
              </w:rPr>
            </w:pPr>
            <w:r>
              <w:rPr>
                <w:rFonts w:ascii="宋体" w:hAnsi="宋体" w:cs="宋体" w:eastAsia="宋体" w:hint="default"/>
                <w:sz w:val="18"/>
                <w:szCs w:val="18"/>
              </w:rPr>
              <w:t>部署系统研发 及产业化</w:t>
            </w:r>
            <w:r>
              <w:rPr>
                <w:rFonts w:ascii="Times New Roman" w:hAnsi="Times New Roman" w:cs="Times New Roman" w:eastAsia="Times New Roman" w:hint="default"/>
                <w:sz w:val="18"/>
                <w:szCs w:val="18"/>
              </w:rPr>
              <w:t>--</w:t>
            </w:r>
            <w:r>
              <w:rPr>
                <w:rFonts w:ascii="宋体" w:hAnsi="宋体" w:cs="宋体" w:eastAsia="宋体" w:hint="default"/>
                <w:sz w:val="18"/>
                <w:szCs w:val="18"/>
              </w:rPr>
              <w:t>基于 安全可控移动 智能终端操作 系统的地图及 位置服务应用</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383,105.2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研发及产业化</w:t>
            </w:r>
            <w:r>
              <w:rPr>
                <w:rFonts w:ascii="Times New Roman" w:hAnsi="Times New Roman" w:cs="Times New Roman" w:eastAsia="Times New Roman" w:hint="default"/>
                <w:sz w:val="18"/>
                <w:szCs w:val="18"/>
              </w:rPr>
              <w:t>"</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北京市经济和</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0"/>
              <w:ind w:left="22" w:right="84"/>
              <w:jc w:val="both"/>
              <w:rPr>
                <w:rFonts w:ascii="宋体" w:hAnsi="宋体" w:cs="宋体" w:eastAsia="宋体" w:hint="default"/>
                <w:sz w:val="18"/>
                <w:szCs w:val="18"/>
              </w:rPr>
            </w:pPr>
            <w:r>
              <w:rPr>
                <w:rFonts w:ascii="宋体" w:hAnsi="宋体" w:cs="宋体" w:eastAsia="宋体" w:hint="default"/>
                <w:sz w:val="18"/>
                <w:szCs w:val="18"/>
              </w:rPr>
              <w:t>公众出行海量数据 开放服务平台升级 技术改造项目</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19"/>
              <w:jc w:val="left"/>
              <w:rPr>
                <w:rFonts w:ascii="宋体" w:hAnsi="宋体" w:cs="宋体" w:eastAsia="宋体" w:hint="default"/>
                <w:sz w:val="18"/>
                <w:szCs w:val="18"/>
              </w:rPr>
            </w:pPr>
            <w:r>
              <w:rPr>
                <w:rFonts w:ascii="宋体" w:hAnsi="宋体" w:cs="宋体" w:eastAsia="宋体" w:hint="default"/>
                <w:sz w:val="18"/>
                <w:szCs w:val="18"/>
              </w:rPr>
              <w:t>信息化委员会， 中关村科技园 区海淀园管理</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342,000.0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60"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委员会</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84"/>
              <w:jc w:val="both"/>
              <w:rPr>
                <w:rFonts w:ascii="宋体" w:hAnsi="宋体" w:cs="宋体" w:eastAsia="宋体" w:hint="default"/>
                <w:sz w:val="18"/>
                <w:szCs w:val="18"/>
              </w:rPr>
            </w:pPr>
            <w:r>
              <w:rPr>
                <w:rFonts w:ascii="宋体" w:hAnsi="宋体" w:cs="宋体" w:eastAsia="宋体" w:hint="default"/>
                <w:sz w:val="18"/>
                <w:szCs w:val="18"/>
              </w:rPr>
              <w:t>北京市外国专家与 外国人就业事务中 心补贴款</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北京市外国专 家与外国人就 业事务中心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8"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小巨人财政拨款</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广州开发区财 政国库集中中 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5"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科技部关于国</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家</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863</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计划地球</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1555"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2" w:lineRule="exact" w:before="122"/>
              <w:ind w:left="22" w:right="84"/>
              <w:jc w:val="both"/>
              <w:rPr>
                <w:rFonts w:ascii="Times New Roman" w:hAnsi="Times New Roman" w:cs="Times New Roman" w:eastAsia="Times New Roman" w:hint="default"/>
                <w:sz w:val="18"/>
                <w:szCs w:val="18"/>
              </w:rPr>
            </w:pPr>
            <w:r>
              <w:rPr>
                <w:rFonts w:ascii="宋体" w:hAnsi="宋体" w:cs="宋体" w:eastAsia="宋体" w:hint="default"/>
                <w:sz w:val="18"/>
                <w:szCs w:val="18"/>
              </w:rPr>
              <w:t>基于互联网迭加协 议的全息位置地图 汇集融合技术项目 </w:t>
            </w:r>
            <w:r>
              <w:rPr>
                <w:rFonts w:ascii="Times New Roman" w:hAnsi="Times New Roman" w:cs="Times New Roman" w:eastAsia="Times New Roman" w:hint="default"/>
                <w:sz w:val="18"/>
                <w:szCs w:val="18"/>
              </w:rPr>
              <w:t>(863)</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16" w:lineRule="auto" w:before="5"/>
              <w:ind w:left="23" w:right="-19"/>
              <w:jc w:val="left"/>
              <w:rPr>
                <w:rFonts w:ascii="宋体" w:hAnsi="宋体" w:cs="宋体" w:eastAsia="宋体" w:hint="default"/>
                <w:sz w:val="18"/>
                <w:szCs w:val="18"/>
              </w:rPr>
            </w:pPr>
            <w:r>
              <w:rPr>
                <w:rFonts w:ascii="宋体" w:hAnsi="宋体" w:cs="宋体" w:eastAsia="宋体" w:hint="default"/>
                <w:sz w:val="18"/>
                <w:szCs w:val="18"/>
              </w:rPr>
              <w:t>观测与导航技 术领域导航与 位置服务系统 关键技术及应 用示范（二期）</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0"/>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6"/>
                <w:szCs w:val="2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294,846.6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1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年课</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题中的一部分</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1340"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北京市科技技术委 员会</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万人 计划</w:t>
            </w:r>
            <w:r>
              <w:rPr>
                <w:rFonts w:ascii="Times New Roman" w:hAnsi="Times New Roman" w:cs="Times New Roman" w:eastAsia="Times New Roman" w:hint="default"/>
                <w:sz w:val="18"/>
                <w:szCs w:val="18"/>
              </w:rPr>
              <w:t>"</w:t>
            </w:r>
            <w:r>
              <w:rPr>
                <w:rFonts w:ascii="宋体" w:hAnsi="宋体" w:cs="宋体" w:eastAsia="宋体" w:hint="default"/>
                <w:sz w:val="18"/>
                <w:szCs w:val="18"/>
              </w:rPr>
              <w:t>入选人才特 殊支持经费</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9"/>
              <w:jc w:val="left"/>
              <w:rPr>
                <w:rFonts w:ascii="宋体" w:hAnsi="宋体" w:cs="宋体" w:eastAsia="宋体" w:hint="default"/>
                <w:sz w:val="18"/>
                <w:szCs w:val="18"/>
              </w:rPr>
            </w:pPr>
            <w:r>
              <w:rPr>
                <w:rFonts w:ascii="宋体" w:hAnsi="宋体" w:cs="宋体" w:eastAsia="宋体" w:hint="default"/>
                <w:sz w:val="18"/>
                <w:szCs w:val="18"/>
              </w:rPr>
              <w:t>北京市科技技 术委员会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9"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3"/>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2" w:right="84"/>
              <w:jc w:val="left"/>
              <w:rPr>
                <w:rFonts w:ascii="宋体" w:hAnsi="宋体" w:cs="宋体" w:eastAsia="宋体" w:hint="default"/>
                <w:sz w:val="18"/>
                <w:szCs w:val="18"/>
              </w:rPr>
            </w:pPr>
            <w:r>
              <w:rPr>
                <w:rFonts w:ascii="宋体" w:hAnsi="宋体" w:cs="宋体" w:eastAsia="宋体" w:hint="default"/>
                <w:sz w:val="18"/>
                <w:szCs w:val="18"/>
              </w:rPr>
              <w:t>停车导航系统研究 与应用示范</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49"/>
              <w:ind w:left="23" w:right="87"/>
              <w:jc w:val="left"/>
              <w:rPr>
                <w:rFonts w:ascii="Times New Roman" w:hAnsi="Times New Roman" w:cs="Times New Roman" w:eastAsia="Times New Roman" w:hint="default"/>
                <w:sz w:val="18"/>
                <w:szCs w:val="18"/>
              </w:rPr>
            </w:pPr>
            <w:r>
              <w:rPr>
                <w:rFonts w:ascii="宋体" w:hAnsi="宋体" w:cs="宋体" w:eastAsia="宋体" w:hint="default"/>
                <w:sz w:val="18"/>
                <w:szCs w:val="18"/>
              </w:rPr>
              <w:t>经济和信息化 委员会</w:t>
            </w:r>
            <w:r>
              <w:rPr>
                <w:rFonts w:ascii="Times New Roman" w:hAnsi="Times New Roman" w:cs="Times New Roman" w:eastAsia="Times New Roman" w:hint="default"/>
                <w:sz w:val="18"/>
                <w:szCs w:val="18"/>
              </w:rPr>
              <w:t>"</w:t>
            </w:r>
            <w:r>
              <w:rPr>
                <w:rFonts w:ascii="宋体" w:hAnsi="宋体" w:cs="宋体" w:eastAsia="宋体" w:hint="default"/>
                <w:sz w:val="18"/>
                <w:szCs w:val="18"/>
              </w:rPr>
              <w:t>工业发 展资金拨款项 目合同书</w:t>
            </w:r>
            <w:r>
              <w:rPr>
                <w:rFonts w:ascii="Times New Roman" w:hAnsi="Times New Roman" w:cs="Times New Roman" w:eastAsia="Times New Roman" w:hint="default"/>
                <w:sz w:val="18"/>
                <w:szCs w:val="18"/>
              </w:rPr>
              <w:t>"</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200,029.4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70"/>
              <w:ind w:left="22" w:right="84"/>
              <w:jc w:val="both"/>
              <w:rPr>
                <w:rFonts w:ascii="宋体" w:hAnsi="宋体" w:cs="宋体" w:eastAsia="宋体" w:hint="default"/>
                <w:sz w:val="18"/>
                <w:szCs w:val="18"/>
              </w:rPr>
            </w:pPr>
            <w:r>
              <w:rPr>
                <w:rFonts w:ascii="宋体" w:hAnsi="宋体" w:cs="宋体" w:eastAsia="宋体" w:hint="default"/>
                <w:sz w:val="18"/>
                <w:szCs w:val="18"/>
              </w:rPr>
              <w:t>北京市海淀区北部 地区开发建设委员 会办公室固投推进</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0"/>
              <w:ind w:left="23" w:right="159"/>
              <w:jc w:val="both"/>
              <w:rPr>
                <w:rFonts w:ascii="宋体" w:hAnsi="宋体" w:cs="宋体" w:eastAsia="宋体" w:hint="default"/>
                <w:sz w:val="18"/>
                <w:szCs w:val="18"/>
              </w:rPr>
            </w:pPr>
            <w:r>
              <w:rPr>
                <w:rFonts w:ascii="宋体" w:hAnsi="宋体" w:cs="宋体" w:eastAsia="宋体" w:hint="default"/>
                <w:sz w:val="18"/>
                <w:szCs w:val="18"/>
              </w:rPr>
              <w:t>北京市海淀区 北部地区开发 建设委员会办</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59"/>
        <w:gridCol w:w="1275"/>
        <w:gridCol w:w="710"/>
        <w:gridCol w:w="1418"/>
        <w:gridCol w:w="992"/>
        <w:gridCol w:w="850"/>
        <w:gridCol w:w="852"/>
        <w:gridCol w:w="850"/>
        <w:gridCol w:w="1063"/>
      </w:tblGrid>
      <w:tr>
        <w:trPr>
          <w:trHeight w:val="363"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工作经费</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公室</w:t>
            </w:r>
          </w:p>
        </w:tc>
        <w:tc>
          <w:tcPr>
            <w:tcW w:w="710"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49"/>
              <w:ind w:left="22" w:right="17"/>
              <w:jc w:val="left"/>
              <w:rPr>
                <w:rFonts w:ascii="宋体" w:hAnsi="宋体" w:cs="宋体" w:eastAsia="宋体" w:hint="default"/>
                <w:sz w:val="18"/>
                <w:szCs w:val="18"/>
              </w:rPr>
            </w:pPr>
            <w:r>
              <w:rPr>
                <w:rFonts w:ascii="宋体" w:hAnsi="宋体" w:cs="宋体" w:eastAsia="宋体" w:hint="default"/>
                <w:sz w:val="18"/>
                <w:szCs w:val="18"/>
              </w:rPr>
              <w:t>中国技术交易所有 限公司</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年度中 关村技术创新能力 建设专项资金</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9"/>
              <w:jc w:val="left"/>
              <w:rPr>
                <w:rFonts w:ascii="宋体" w:hAnsi="宋体" w:cs="宋体" w:eastAsia="宋体" w:hint="default"/>
                <w:sz w:val="18"/>
                <w:szCs w:val="18"/>
              </w:rPr>
            </w:pPr>
            <w:r>
              <w:rPr>
                <w:rFonts w:ascii="宋体" w:hAnsi="宋体" w:cs="宋体" w:eastAsia="宋体" w:hint="default"/>
                <w:sz w:val="18"/>
                <w:szCs w:val="18"/>
              </w:rPr>
              <w:t>中国技术交易 所有限公司</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00" w:lineRule="auto"/>
              <w:ind w:left="22" w:right="36"/>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年度长沙市移 动互联网产业项目</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59"/>
              <w:jc w:val="left"/>
              <w:rPr>
                <w:rFonts w:ascii="宋体" w:hAnsi="宋体" w:cs="宋体" w:eastAsia="宋体" w:hint="default"/>
                <w:sz w:val="18"/>
                <w:szCs w:val="18"/>
              </w:rPr>
            </w:pPr>
            <w:r>
              <w:rPr>
                <w:rFonts w:ascii="宋体" w:hAnsi="宋体" w:cs="宋体" w:eastAsia="宋体" w:hint="default"/>
                <w:sz w:val="18"/>
                <w:szCs w:val="18"/>
              </w:rPr>
              <w:t>长沙市财政局 高新分局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9" w:lineRule="auto"/>
              <w:ind w:left="22" w:right="84"/>
              <w:jc w:val="both"/>
              <w:rPr>
                <w:rFonts w:ascii="宋体" w:hAnsi="宋体" w:cs="宋体" w:eastAsia="宋体" w:hint="default"/>
                <w:sz w:val="18"/>
                <w:szCs w:val="18"/>
              </w:rPr>
            </w:pPr>
            <w:r>
              <w:rPr>
                <w:rFonts w:ascii="宋体" w:hAnsi="宋体" w:cs="宋体" w:eastAsia="宋体" w:hint="default"/>
                <w:sz w:val="18"/>
                <w:szCs w:val="18"/>
              </w:rPr>
              <w:t>基于多维云资源的 综合型交通大数据 中心构建研究</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与上海市科学 技术委员会签 订科研计划合 同</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9"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164,229.1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84"/>
              <w:jc w:val="left"/>
              <w:rPr>
                <w:rFonts w:ascii="宋体" w:hAnsi="宋体" w:cs="宋体" w:eastAsia="宋体" w:hint="default"/>
                <w:sz w:val="18"/>
                <w:szCs w:val="18"/>
              </w:rPr>
            </w:pPr>
            <w:r>
              <w:rPr>
                <w:rFonts w:ascii="宋体" w:hAnsi="宋体" w:cs="宋体" w:eastAsia="宋体" w:hint="default"/>
                <w:sz w:val="18"/>
                <w:szCs w:val="18"/>
              </w:rPr>
              <w:t>高新区知识产权促 进奖金</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江苏省高新技 术产业开发区 管理委员会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154,500.0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2" w:right="84"/>
              <w:jc w:val="left"/>
              <w:rPr>
                <w:rFonts w:ascii="宋体" w:hAnsi="宋体" w:cs="宋体" w:eastAsia="宋体" w:hint="default"/>
                <w:sz w:val="18"/>
                <w:szCs w:val="18"/>
              </w:rPr>
            </w:pPr>
            <w:r>
              <w:rPr>
                <w:rFonts w:ascii="宋体" w:hAnsi="宋体" w:cs="宋体" w:eastAsia="宋体" w:hint="default"/>
                <w:sz w:val="18"/>
                <w:szCs w:val="18"/>
              </w:rPr>
              <w:t>创新基金尾款专项 资金</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中关村科技园 区海淀园管理 委员会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创新基金</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广州开发区财 政国库集中中 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84"/>
              <w:jc w:val="both"/>
              <w:rPr>
                <w:rFonts w:ascii="宋体" w:hAnsi="宋体" w:cs="宋体" w:eastAsia="宋体" w:hint="default"/>
                <w:sz w:val="18"/>
                <w:szCs w:val="18"/>
              </w:rPr>
            </w:pPr>
            <w:r>
              <w:rPr>
                <w:rFonts w:ascii="宋体" w:hAnsi="宋体" w:cs="宋体" w:eastAsia="宋体" w:hint="default"/>
                <w:sz w:val="18"/>
                <w:szCs w:val="18"/>
              </w:rPr>
              <w:t>公路地质灾害多维 网络化监测与预警 关键技术及示范</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交通运输部</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9"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49"/>
              <w:ind w:left="22" w:right="36"/>
              <w:jc w:val="left"/>
              <w:rPr>
                <w:rFonts w:ascii="宋体" w:hAnsi="宋体" w:cs="宋体" w:eastAsia="宋体" w:hint="default"/>
                <w:sz w:val="18"/>
                <w:szCs w:val="18"/>
              </w:rPr>
            </w:pPr>
            <w:r>
              <w:rPr>
                <w:rFonts w:ascii="宋体" w:hAnsi="宋体" w:cs="宋体" w:eastAsia="宋体" w:hint="default"/>
                <w:sz w:val="18"/>
                <w:szCs w:val="18"/>
              </w:rPr>
              <w:t>中关村科技园区海 淀园管理委员会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年重点培育企 业专项奖励</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59"/>
              <w:jc w:val="both"/>
              <w:rPr>
                <w:rFonts w:ascii="宋体" w:hAnsi="宋体" w:cs="宋体" w:eastAsia="宋体" w:hint="default"/>
                <w:sz w:val="18"/>
                <w:szCs w:val="18"/>
              </w:rPr>
            </w:pPr>
            <w:r>
              <w:rPr>
                <w:rFonts w:ascii="宋体" w:hAnsi="宋体" w:cs="宋体" w:eastAsia="宋体" w:hint="default"/>
                <w:sz w:val="18"/>
                <w:szCs w:val="18"/>
              </w:rPr>
              <w:t>中关村科技园 区海淀园管理 委员会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高新培育入库</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广州开发区财 政国库集中中 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8"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22" w:right="17"/>
              <w:jc w:val="left"/>
              <w:rPr>
                <w:rFonts w:ascii="宋体" w:hAnsi="宋体" w:cs="宋体" w:eastAsia="宋体" w:hint="default"/>
                <w:sz w:val="18"/>
                <w:szCs w:val="18"/>
              </w:rPr>
            </w:pPr>
            <w:r>
              <w:rPr>
                <w:rFonts w:ascii="宋体" w:hAnsi="宋体" w:cs="宋体" w:eastAsia="宋体" w:hint="default"/>
                <w:sz w:val="18"/>
                <w:szCs w:val="18"/>
              </w:rPr>
              <w:t>长沙市</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年市级 文化产业扶植项目</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长沙市国库集 中支付核算中 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49"/>
              <w:ind w:left="22" w:right="84"/>
              <w:jc w:val="left"/>
              <w:rPr>
                <w:rFonts w:ascii="宋体" w:hAnsi="宋体" w:cs="宋体" w:eastAsia="宋体" w:hint="default"/>
                <w:sz w:val="18"/>
                <w:szCs w:val="18"/>
              </w:rPr>
            </w:pPr>
            <w:r>
              <w:rPr>
                <w:rFonts w:ascii="宋体" w:hAnsi="宋体" w:cs="宋体" w:eastAsia="宋体" w:hint="default"/>
                <w:sz w:val="18"/>
                <w:szCs w:val="18"/>
              </w:rPr>
              <w:t>高精度电子地图数 据采集与 </w:t>
            </w:r>
            <w:r>
              <w:rPr>
                <w:rFonts w:ascii="Times New Roman" w:hAnsi="Times New Roman" w:cs="Times New Roman" w:eastAsia="Times New Roman" w:hint="default"/>
                <w:sz w:val="18"/>
                <w:szCs w:val="18"/>
              </w:rPr>
              <w:t>GNSS/INS</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深耦合 车载终端验证</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159"/>
              <w:jc w:val="left"/>
              <w:rPr>
                <w:rFonts w:ascii="宋体" w:hAnsi="宋体" w:cs="宋体" w:eastAsia="宋体" w:hint="default"/>
                <w:sz w:val="18"/>
                <w:szCs w:val="18"/>
              </w:rPr>
            </w:pPr>
            <w:r>
              <w:rPr>
                <w:rFonts w:ascii="宋体" w:hAnsi="宋体" w:cs="宋体" w:eastAsia="宋体" w:hint="default"/>
                <w:sz w:val="18"/>
                <w:szCs w:val="18"/>
              </w:rPr>
              <w:t>北京市科学技 术委员会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76" w:right="0"/>
              <w:jc w:val="center"/>
              <w:rPr>
                <w:rFonts w:ascii="Times New Roman" w:hAnsi="Times New Roman" w:cs="Times New Roman" w:eastAsia="Times New Roman" w:hint="default"/>
                <w:sz w:val="18"/>
                <w:szCs w:val="18"/>
              </w:rPr>
            </w:pPr>
            <w:r>
              <w:rPr>
                <w:rFonts w:ascii="Times New Roman"/>
                <w:sz w:val="18"/>
              </w:rPr>
              <w:t>56,599.40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84"/>
              <w:jc w:val="both"/>
              <w:rPr>
                <w:rFonts w:ascii="宋体" w:hAnsi="宋体" w:cs="宋体" w:eastAsia="宋体" w:hint="default"/>
                <w:sz w:val="18"/>
                <w:szCs w:val="18"/>
              </w:rPr>
            </w:pPr>
            <w:r>
              <w:rPr>
                <w:rFonts w:ascii="宋体" w:hAnsi="宋体" w:cs="宋体" w:eastAsia="宋体" w:hint="default"/>
                <w:sz w:val="18"/>
                <w:szCs w:val="18"/>
              </w:rPr>
              <w:t>国家知识产权局北 京代办处专利补贴 款</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59"/>
              <w:jc w:val="left"/>
              <w:rPr>
                <w:rFonts w:ascii="宋体" w:hAnsi="宋体" w:cs="宋体" w:eastAsia="宋体" w:hint="default"/>
                <w:sz w:val="18"/>
                <w:szCs w:val="18"/>
              </w:rPr>
            </w:pPr>
            <w:r>
              <w:rPr>
                <w:rFonts w:ascii="宋体" w:hAnsi="宋体" w:cs="宋体" w:eastAsia="宋体" w:hint="default"/>
                <w:sz w:val="18"/>
                <w:szCs w:val="18"/>
              </w:rPr>
              <w:t>国家知识产权 局北京代办处</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54,564.00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559"/>
        <w:gridCol w:w="1275"/>
        <w:gridCol w:w="710"/>
        <w:gridCol w:w="1418"/>
        <w:gridCol w:w="992"/>
        <w:gridCol w:w="850"/>
        <w:gridCol w:w="852"/>
        <w:gridCol w:w="850"/>
        <w:gridCol w:w="1063"/>
      </w:tblGrid>
      <w:tr>
        <w:trPr>
          <w:trHeight w:val="360"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新一代信息技</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0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术重大项目培</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1248"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2" w:right="84"/>
              <w:jc w:val="both"/>
              <w:rPr>
                <w:rFonts w:ascii="宋体" w:hAnsi="宋体" w:cs="宋体" w:eastAsia="宋体" w:hint="default"/>
                <w:sz w:val="18"/>
                <w:szCs w:val="18"/>
              </w:rPr>
            </w:pPr>
            <w:r>
              <w:rPr>
                <w:rFonts w:ascii="宋体" w:hAnsi="宋体" w:cs="宋体" w:eastAsia="宋体" w:hint="default"/>
                <w:sz w:val="18"/>
                <w:szCs w:val="18"/>
              </w:rPr>
              <w:t>三维市街图数据采 集设备与处理系统 研发</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307" w:lineRule="auto" w:before="10"/>
              <w:ind w:left="23" w:right="87"/>
              <w:jc w:val="left"/>
              <w:rPr>
                <w:rFonts w:ascii="宋体" w:hAnsi="宋体" w:cs="宋体" w:eastAsia="宋体" w:hint="default"/>
                <w:sz w:val="18"/>
                <w:szCs w:val="18"/>
              </w:rPr>
            </w:pPr>
            <w:r>
              <w:rPr>
                <w:rFonts w:ascii="宋体" w:hAnsi="宋体" w:cs="宋体" w:eastAsia="宋体" w:hint="default"/>
                <w:sz w:val="18"/>
                <w:szCs w:val="18"/>
              </w:rPr>
              <w:t>育及科技成果 转化</w:t>
            </w:r>
            <w:r>
              <w:rPr>
                <w:rFonts w:ascii="Times New Roman" w:hAnsi="Times New Roman" w:cs="Times New Roman" w:eastAsia="Times New Roman" w:hint="default"/>
                <w:sz w:val="18"/>
                <w:szCs w:val="18"/>
              </w:rPr>
              <w:t>"</w:t>
            </w:r>
            <w:r>
              <w:rPr>
                <w:rFonts w:ascii="宋体" w:hAnsi="宋体" w:cs="宋体" w:eastAsia="宋体" w:hint="default"/>
                <w:sz w:val="18"/>
                <w:szCs w:val="18"/>
              </w:rPr>
              <w:t>项目下的 </w:t>
            </w:r>
            <w:r>
              <w:rPr>
                <w:rFonts w:ascii="Times New Roman" w:hAnsi="Times New Roman" w:cs="Times New Roman" w:eastAsia="Times New Roman" w:hint="default"/>
                <w:sz w:val="18"/>
                <w:szCs w:val="18"/>
              </w:rPr>
              <w:t>"</w:t>
            </w:r>
            <w:r>
              <w:rPr>
                <w:rFonts w:ascii="宋体" w:hAnsi="宋体" w:cs="宋体" w:eastAsia="宋体" w:hint="default"/>
                <w:sz w:val="18"/>
                <w:szCs w:val="18"/>
              </w:rPr>
              <w:t>三维市街图数 据采集设备与</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pacing w:val="-1"/>
                <w:sz w:val="18"/>
              </w:rPr>
              <w:t>50,510.00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3"/>
                <w:szCs w:val="23"/>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31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处理系统研发</w:t>
            </w:r>
            <w:r>
              <w:rPr>
                <w:rFonts w:ascii="Times New Roman" w:hAnsi="Times New Roman" w:cs="Times New Roman" w:eastAsia="Times New Roman" w:hint="default"/>
                <w:sz w:val="18"/>
                <w:szCs w:val="18"/>
              </w:rPr>
              <w:t>"</w:t>
            </w:r>
          </w:p>
        </w:tc>
        <w:tc>
          <w:tcPr>
            <w:tcW w:w="710" w:type="dxa"/>
            <w:tcBorders>
              <w:top w:val="nil" w:sz="6" w:space="0" w:color="auto"/>
              <w:left w:val="single" w:sz="4" w:space="0" w:color="000000"/>
              <w:bottom w:val="nil" w:sz="6" w:space="0" w:color="auto"/>
              <w:right w:val="single" w:sz="4" w:space="0" w:color="000000"/>
            </w:tcBorders>
          </w:tcPr>
          <w:p>
            <w:pPr/>
          </w:p>
        </w:tc>
        <w:tc>
          <w:tcPr>
            <w:tcW w:w="1418"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r>
      <w:tr>
        <w:trPr>
          <w:trHeight w:val="353"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课题</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2" w:right="84"/>
              <w:jc w:val="left"/>
              <w:rPr>
                <w:rFonts w:ascii="宋体" w:hAnsi="宋体" w:cs="宋体" w:eastAsia="宋体" w:hint="default"/>
                <w:sz w:val="18"/>
                <w:szCs w:val="18"/>
              </w:rPr>
            </w:pPr>
            <w:r>
              <w:rPr>
                <w:rFonts w:ascii="宋体" w:hAnsi="宋体" w:cs="宋体" w:eastAsia="宋体" w:hint="default"/>
                <w:sz w:val="18"/>
                <w:szCs w:val="18"/>
              </w:rPr>
              <w:t>政府对专精特新软 件公司发放补助</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3" w:right="159"/>
              <w:jc w:val="left"/>
              <w:rPr>
                <w:rFonts w:ascii="宋体" w:hAnsi="宋体" w:cs="宋体" w:eastAsia="宋体" w:hint="default"/>
                <w:sz w:val="18"/>
                <w:szCs w:val="18"/>
              </w:rPr>
            </w:pPr>
            <w:r>
              <w:rPr>
                <w:rFonts w:ascii="宋体" w:hAnsi="宋体" w:cs="宋体" w:eastAsia="宋体" w:hint="default"/>
                <w:sz w:val="18"/>
                <w:szCs w:val="18"/>
              </w:rPr>
              <w:t>上海市科技委 员会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00" w:lineRule="auto"/>
              <w:ind w:left="22" w:right="36"/>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年武汉创业项 目大赛</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3" w:right="159"/>
              <w:jc w:val="left"/>
              <w:rPr>
                <w:rFonts w:ascii="宋体" w:hAnsi="宋体" w:cs="宋体" w:eastAsia="宋体" w:hint="default"/>
                <w:sz w:val="18"/>
                <w:szCs w:val="18"/>
              </w:rPr>
            </w:pPr>
            <w:r>
              <w:rPr>
                <w:rFonts w:ascii="宋体" w:hAnsi="宋体" w:cs="宋体" w:eastAsia="宋体" w:hint="default"/>
                <w:sz w:val="18"/>
                <w:szCs w:val="18"/>
              </w:rPr>
              <w:t>市经信委创业 促进处</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7" w:hRule="exact"/>
        </w:trPr>
        <w:tc>
          <w:tcPr>
            <w:tcW w:w="1559"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国家知识产权局专</w:t>
            </w:r>
          </w:p>
        </w:tc>
        <w:tc>
          <w:tcPr>
            <w:tcW w:w="127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国家知识产权</w:t>
            </w:r>
          </w:p>
        </w:tc>
        <w:tc>
          <w:tcPr>
            <w:tcW w:w="710" w:type="dxa"/>
            <w:tcBorders>
              <w:top w:val="single" w:sz="4" w:space="0" w:color="000000"/>
              <w:left w:val="single" w:sz="4" w:space="0" w:color="000000"/>
              <w:bottom w:val="nil" w:sz="6" w:space="0" w:color="auto"/>
              <w:right w:val="single" w:sz="4" w:space="0" w:color="000000"/>
            </w:tcBorders>
          </w:tcPr>
          <w:p>
            <w:pPr/>
          </w:p>
        </w:tc>
        <w:tc>
          <w:tcPr>
            <w:tcW w:w="14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因研究开发</w:t>
            </w:r>
            <w:r>
              <w:rPr>
                <w:rFonts w:ascii="宋体" w:hAnsi="宋体" w:cs="宋体" w:eastAsia="宋体" w:hint="default"/>
                <w:spacing w:val="-80"/>
                <w:sz w:val="18"/>
                <w:szCs w:val="18"/>
              </w:rPr>
              <w:t>、</w:t>
            </w:r>
            <w:r>
              <w:rPr>
                <w:rFonts w:ascii="宋体" w:hAnsi="宋体" w:cs="宋体" w:eastAsia="宋体" w:hint="default"/>
                <w:sz w:val="18"/>
                <w:szCs w:val="18"/>
              </w:rPr>
              <w:t>技术</w:t>
            </w: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559"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9"/>
              <w:ind w:left="22" w:right="0"/>
              <w:jc w:val="left"/>
              <w:rPr>
                <w:rFonts w:ascii="宋体" w:hAnsi="宋体" w:cs="宋体" w:eastAsia="宋体" w:hint="default"/>
                <w:sz w:val="18"/>
                <w:szCs w:val="18"/>
              </w:rPr>
            </w:pPr>
            <w:r>
              <w:rPr>
                <w:rFonts w:ascii="宋体" w:hAnsi="宋体" w:cs="宋体" w:eastAsia="宋体" w:hint="default"/>
                <w:sz w:val="18"/>
                <w:szCs w:val="18"/>
              </w:rPr>
              <w:t>利局北京代办处专</w:t>
            </w:r>
          </w:p>
        </w:tc>
        <w:tc>
          <w:tcPr>
            <w:tcW w:w="127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局专利局北京</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left="23" w:right="0"/>
              <w:jc w:val="left"/>
              <w:rPr>
                <w:rFonts w:ascii="宋体" w:hAnsi="宋体" w:cs="宋体" w:eastAsia="宋体" w:hint="default"/>
                <w:sz w:val="18"/>
                <w:szCs w:val="18"/>
              </w:rPr>
            </w:pPr>
            <w:r>
              <w:rPr>
                <w:rFonts w:ascii="宋体" w:hAnsi="宋体" w:cs="宋体" w:eastAsia="宋体" w:hint="default"/>
                <w:sz w:val="18"/>
                <w:szCs w:val="18"/>
              </w:rPr>
              <w:t>更新及改造等获</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9"/>
              <w:jc w:val="right"/>
              <w:rPr>
                <w:rFonts w:ascii="Times New Roman" w:hAnsi="Times New Roman" w:cs="Times New Roman" w:eastAsia="Times New Roman" w:hint="default"/>
                <w:sz w:val="18"/>
                <w:szCs w:val="18"/>
              </w:rPr>
            </w:pPr>
            <w:r>
              <w:rPr>
                <w:rFonts w:ascii="Times New Roman"/>
                <w:spacing w:val="-1"/>
                <w:sz w:val="18"/>
              </w:rPr>
              <w:t>44,500.00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354" w:hRule="exact"/>
        </w:trPr>
        <w:tc>
          <w:tcPr>
            <w:tcW w:w="1559"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利资助资金</w:t>
            </w:r>
          </w:p>
        </w:tc>
        <w:tc>
          <w:tcPr>
            <w:tcW w:w="127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代办处</w:t>
            </w:r>
          </w:p>
        </w:tc>
        <w:tc>
          <w:tcPr>
            <w:tcW w:w="710" w:type="dxa"/>
            <w:tcBorders>
              <w:top w:val="nil" w:sz="6" w:space="0" w:color="auto"/>
              <w:left w:val="single" w:sz="4" w:space="0" w:color="000000"/>
              <w:bottom w:val="single" w:sz="4" w:space="0" w:color="000000"/>
              <w:right w:val="single" w:sz="4" w:space="0" w:color="000000"/>
            </w:tcBorders>
          </w:tcPr>
          <w:p>
            <w:pPr/>
          </w:p>
        </w:tc>
        <w:tc>
          <w:tcPr>
            <w:tcW w:w="14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得的补助</w:t>
            </w: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北京市商委补助</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59"/>
              <w:jc w:val="left"/>
              <w:rPr>
                <w:rFonts w:ascii="宋体" w:hAnsi="宋体" w:cs="宋体" w:eastAsia="宋体" w:hint="default"/>
                <w:sz w:val="18"/>
                <w:szCs w:val="18"/>
              </w:rPr>
            </w:pPr>
            <w:r>
              <w:rPr>
                <w:rFonts w:ascii="宋体" w:hAnsi="宋体" w:cs="宋体" w:eastAsia="宋体" w:hint="default"/>
                <w:sz w:val="18"/>
                <w:szCs w:val="18"/>
              </w:rPr>
              <w:t>北京市商务委 员会</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8"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84"/>
              <w:jc w:val="left"/>
              <w:rPr>
                <w:rFonts w:ascii="宋体" w:hAnsi="宋体" w:cs="宋体" w:eastAsia="宋体" w:hint="default"/>
                <w:sz w:val="18"/>
                <w:szCs w:val="18"/>
              </w:rPr>
            </w:pPr>
            <w:r>
              <w:rPr>
                <w:rFonts w:ascii="宋体" w:hAnsi="宋体" w:cs="宋体" w:eastAsia="宋体" w:hint="default"/>
                <w:sz w:val="18"/>
                <w:szCs w:val="18"/>
              </w:rPr>
              <w:t>社保局对公司安排 残疾人就业的补助</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上海市社保局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3,641.90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5"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贯标补贴</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59"/>
              <w:jc w:val="left"/>
              <w:rPr>
                <w:rFonts w:ascii="宋体" w:hAnsi="宋体" w:cs="宋体" w:eastAsia="宋体" w:hint="default"/>
                <w:sz w:val="18"/>
                <w:szCs w:val="18"/>
              </w:rPr>
            </w:pPr>
            <w:r>
              <w:rPr>
                <w:rFonts w:ascii="宋体" w:hAnsi="宋体" w:cs="宋体" w:eastAsia="宋体" w:hint="default"/>
                <w:sz w:val="18"/>
                <w:szCs w:val="18"/>
              </w:rPr>
              <w:t>信用管理贯标 补贴</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1,000.00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年著作权补助</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3" w:right="159"/>
              <w:jc w:val="left"/>
              <w:rPr>
                <w:rFonts w:ascii="宋体" w:hAnsi="宋体" w:cs="宋体" w:eastAsia="宋体" w:hint="default"/>
                <w:sz w:val="18"/>
                <w:szCs w:val="18"/>
              </w:rPr>
            </w:pPr>
            <w:r>
              <w:rPr>
                <w:rFonts w:ascii="宋体" w:hAnsi="宋体" w:cs="宋体" w:eastAsia="宋体" w:hint="default"/>
                <w:sz w:val="18"/>
                <w:szCs w:val="18"/>
              </w:rPr>
              <w:t>长沙市知识产 权局</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984.00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7" w:hRule="exact"/>
        </w:trPr>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2" w:right="0"/>
              <w:jc w:val="left"/>
              <w:rPr>
                <w:rFonts w:ascii="宋体" w:hAnsi="宋体" w:cs="宋体" w:eastAsia="宋体" w:hint="default"/>
                <w:sz w:val="18"/>
                <w:szCs w:val="18"/>
              </w:rPr>
            </w:pPr>
            <w:r>
              <w:rPr>
                <w:rFonts w:ascii="宋体" w:hAnsi="宋体" w:cs="宋体" w:eastAsia="宋体" w:hint="default"/>
                <w:sz w:val="18"/>
                <w:szCs w:val="18"/>
              </w:rPr>
              <w:t>财政专利资助费</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159"/>
              <w:jc w:val="left"/>
              <w:rPr>
                <w:rFonts w:ascii="宋体" w:hAnsi="宋体" w:cs="宋体" w:eastAsia="宋体" w:hint="default"/>
                <w:sz w:val="18"/>
                <w:szCs w:val="18"/>
              </w:rPr>
            </w:pPr>
            <w:r>
              <w:rPr>
                <w:rFonts w:ascii="宋体" w:hAnsi="宋体" w:cs="宋体" w:eastAsia="宋体" w:hint="default"/>
                <w:sz w:val="18"/>
                <w:szCs w:val="18"/>
              </w:rPr>
              <w:t>上海市国库收 付中心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right="314"/>
              <w:jc w:val="right"/>
              <w:rPr>
                <w:rFonts w:ascii="宋体" w:hAnsi="宋体" w:cs="宋体" w:eastAsia="宋体" w:hint="default"/>
                <w:sz w:val="18"/>
                <w:szCs w:val="18"/>
              </w:rPr>
            </w:pPr>
            <w:r>
              <w:rPr>
                <w:rFonts w:ascii="宋体" w:hAnsi="宋体" w:cs="宋体" w:eastAsia="宋体" w:hint="default"/>
                <w:sz w:val="18"/>
                <w:szCs w:val="18"/>
              </w:rPr>
              <w:t>补助</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23"/>
              <w:jc w:val="left"/>
              <w:rPr>
                <w:rFonts w:ascii="宋体" w:hAnsi="宋体" w:cs="宋体" w:eastAsia="宋体" w:hint="default"/>
                <w:sz w:val="18"/>
                <w:szCs w:val="18"/>
              </w:rPr>
            </w:pPr>
            <w:r>
              <w:rPr>
                <w:rFonts w:ascii="宋体" w:hAnsi="宋体" w:cs="宋体" w:eastAsia="宋体" w:hint="default"/>
                <w:spacing w:val="-10"/>
                <w:sz w:val="18"/>
                <w:szCs w:val="18"/>
              </w:rPr>
              <w:t>因研究开发、技术</w:t>
            </w:r>
            <w:r>
              <w:rPr>
                <w:rFonts w:ascii="宋体" w:hAnsi="宋体" w:cs="宋体" w:eastAsia="宋体" w:hint="default"/>
                <w:sz w:val="18"/>
                <w:szCs w:val="18"/>
              </w:rPr>
              <w:t> 更新及改造等获 得的补助</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4" w:right="0"/>
              <w:jc w:val="left"/>
              <w:rPr>
                <w:rFonts w:ascii="宋体" w:hAnsi="宋体" w:cs="宋体" w:eastAsia="宋体" w:hint="default"/>
                <w:sz w:val="18"/>
                <w:szCs w:val="18"/>
              </w:rPr>
            </w:pPr>
            <w:r>
              <w:rPr>
                <w:rFonts w:ascii="宋体" w:hAnsi="宋体" w:cs="宋体" w:eastAsia="宋体" w:hint="default"/>
                <w:sz w:val="18"/>
                <w:szCs w:val="18"/>
              </w:rPr>
              <w:t>否</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Times New Roman" w:hAnsi="Times New Roman" w:cs="Times New Roman" w:eastAsia="Times New Roman" w:hint="default"/>
                <w:sz w:val="17"/>
                <w:szCs w:val="17"/>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288"/>
              <w:jc w:val="right"/>
              <w:rPr>
                <w:rFonts w:ascii="Times New Roman" w:hAnsi="Times New Roman" w:cs="Times New Roman" w:eastAsia="Times New Roman" w:hint="default"/>
                <w:sz w:val="18"/>
                <w:szCs w:val="18"/>
              </w:rPr>
            </w:pPr>
            <w:r>
              <w:rPr>
                <w:rFonts w:ascii="Times New Roman"/>
                <w:sz w:val="18"/>
              </w:rPr>
              <w:t>--</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2,944,515.</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60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8" w:right="0"/>
              <w:jc w:val="left"/>
              <w:rPr>
                <w:rFonts w:ascii="Times New Roman" w:hAnsi="Times New Roman" w:cs="Times New Roman" w:eastAsia="Times New Roman" w:hint="default"/>
                <w:sz w:val="18"/>
                <w:szCs w:val="18"/>
              </w:rPr>
            </w:pPr>
            <w:r>
              <w:rPr>
                <w:rFonts w:ascii="Times New Roman"/>
                <w:sz w:val="18"/>
              </w:rPr>
              <w:t>13,064,02</w:t>
            </w:r>
          </w:p>
          <w:p>
            <w:pPr>
              <w:pStyle w:val="TableParagraph"/>
              <w:spacing w:line="240" w:lineRule="auto" w:before="102"/>
              <w:ind w:left="504" w:right="0"/>
              <w:jc w:val="left"/>
              <w:rPr>
                <w:rFonts w:ascii="Times New Roman" w:hAnsi="Times New Roman" w:cs="Times New Roman" w:eastAsia="Times New Roman" w:hint="default"/>
                <w:sz w:val="18"/>
                <w:szCs w:val="18"/>
              </w:rPr>
            </w:pPr>
            <w:r>
              <w:rPr>
                <w:rFonts w:ascii="Times New Roman"/>
                <w:sz w:val="18"/>
              </w:rPr>
              <w:t>1.49</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10"/>
        <w:rPr>
          <w:rFonts w:ascii="Times New Roman" w:hAnsi="Times New Roman" w:cs="Times New Roman" w:eastAsia="Times New Roman" w:hint="default"/>
          <w:sz w:val="21"/>
          <w:szCs w:val="21"/>
        </w:rPr>
      </w:pPr>
    </w:p>
    <w:p>
      <w:pPr>
        <w:pStyle w:val="Heading5"/>
        <w:spacing w:line="240" w:lineRule="auto" w:before="36"/>
        <w:ind w:right="0"/>
        <w:jc w:val="left"/>
        <w:rPr>
          <w:b w:val="0"/>
          <w:bCs w:val="0"/>
        </w:rPr>
      </w:pPr>
      <w:r>
        <w:rPr>
          <w:rFonts w:ascii="Times New Roman" w:hAnsi="Times New Roman" w:cs="Times New Roman" w:eastAsia="Times New Roman" w:hint="default"/>
        </w:rPr>
        <w:t>72</w:t>
      </w:r>
      <w:r>
        <w:rPr/>
        <w:t>、营业外支出</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87"/>
        <w:gridCol w:w="2396"/>
        <w:gridCol w:w="2394"/>
        <w:gridCol w:w="2392"/>
      </w:tblGrid>
      <w:tr>
        <w:trPr>
          <w:trHeight w:val="161" w:hRule="exact"/>
        </w:trPr>
        <w:tc>
          <w:tcPr>
            <w:tcW w:w="23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74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4"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1100" w:right="111" w:hanging="992"/>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4" w:hRule="exact"/>
        </w:trPr>
        <w:tc>
          <w:tcPr>
            <w:tcW w:w="2387" w:type="dxa"/>
            <w:vMerge/>
            <w:tcBorders>
              <w:left w:val="single" w:sz="4" w:space="0" w:color="000000"/>
              <w:right w:val="single" w:sz="4" w:space="0" w:color="000000"/>
            </w:tcBorders>
            <w:shd w:val="clear" w:color="auto" w:fill="D2D2D2"/>
          </w:tcPr>
          <w:p>
            <w:pPr/>
          </w:p>
        </w:tc>
        <w:tc>
          <w:tcPr>
            <w:tcW w:w="2396" w:type="dxa"/>
            <w:vMerge/>
            <w:tcBorders>
              <w:left w:val="single" w:sz="4" w:space="0" w:color="000000"/>
              <w:right w:val="single" w:sz="4" w:space="0" w:color="000000"/>
            </w:tcBorders>
            <w:shd w:val="clear" w:color="auto" w:fill="D2D2D2"/>
          </w:tcPr>
          <w:p>
            <w:pPr/>
          </w:p>
        </w:tc>
        <w:tc>
          <w:tcPr>
            <w:tcW w:w="23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87" w:type="dxa"/>
            <w:vMerge/>
            <w:tcBorders>
              <w:left w:val="single" w:sz="4" w:space="0" w:color="000000"/>
              <w:bottom w:val="single" w:sz="4" w:space="0" w:color="000000"/>
              <w:right w:val="single" w:sz="4" w:space="0" w:color="000000"/>
            </w:tcBorders>
            <w:shd w:val="clear" w:color="auto" w:fill="D2D2D2"/>
          </w:tcPr>
          <w:p>
            <w:pPr/>
          </w:p>
        </w:tc>
        <w:tc>
          <w:tcPr>
            <w:tcW w:w="2396" w:type="dxa"/>
            <w:vMerge/>
            <w:tcBorders>
              <w:left w:val="single" w:sz="4" w:space="0" w:color="000000"/>
              <w:bottom w:val="single" w:sz="4" w:space="0" w:color="000000"/>
              <w:right w:val="single" w:sz="4" w:space="0" w:color="000000"/>
            </w:tcBorders>
            <w:shd w:val="clear" w:color="auto" w:fill="D2D2D2"/>
          </w:tcPr>
          <w:p>
            <w:pPr/>
          </w:p>
        </w:tc>
        <w:tc>
          <w:tcPr>
            <w:tcW w:w="2394"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1"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债务重组损失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55" w:right="0"/>
              <w:jc w:val="left"/>
              <w:rPr>
                <w:rFonts w:ascii="Times New Roman" w:hAnsi="Times New Roman" w:cs="Times New Roman" w:eastAsia="Times New Roman" w:hint="default"/>
                <w:sz w:val="18"/>
                <w:szCs w:val="18"/>
              </w:rPr>
            </w:pPr>
            <w:r>
              <w:rPr>
                <w:rFonts w:ascii="Times New Roman"/>
                <w:sz w:val="18"/>
              </w:rPr>
              <w:t>488,871.60</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7" w:right="0"/>
              <w:jc w:val="left"/>
              <w:rPr>
                <w:rFonts w:ascii="Times New Roman" w:hAnsi="Times New Roman" w:cs="Times New Roman" w:eastAsia="Times New Roman" w:hint="default"/>
                <w:sz w:val="18"/>
                <w:szCs w:val="18"/>
              </w:rPr>
            </w:pPr>
            <w:r>
              <w:rPr>
                <w:rFonts w:ascii="Times New Roman"/>
                <w:sz w:val="18"/>
              </w:rPr>
              <w:t>488,871.60</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388"/>
        <w:gridCol w:w="2396"/>
        <w:gridCol w:w="2393"/>
        <w:gridCol w:w="2393"/>
      </w:tblGrid>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非货币性资产交换损失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310,000.00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360,670.00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310,000.00</w:t>
            </w:r>
          </w:p>
        </w:tc>
      </w:tr>
      <w:tr>
        <w:trPr>
          <w:trHeight w:val="401"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赔偿金、违约金及罚款支出</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2,195,550.94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1,690,917.31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2,195,550.94</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6"/>
              <w:jc w:val="right"/>
              <w:rPr>
                <w:rFonts w:ascii="Times New Roman" w:hAnsi="Times New Roman" w:cs="Times New Roman" w:eastAsia="Times New Roman" w:hint="default"/>
                <w:sz w:val="18"/>
                <w:szCs w:val="18"/>
              </w:rPr>
            </w:pPr>
            <w:r>
              <w:rPr>
                <w:rFonts w:ascii="Times New Roman"/>
                <w:spacing w:val="-1"/>
                <w:sz w:val="18"/>
              </w:rPr>
              <w:t>53,854.60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58,563.73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53,854.60</w:t>
            </w:r>
          </w:p>
        </w:tc>
      </w:tr>
      <w:tr>
        <w:trPr>
          <w:trHeight w:val="403"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3,048,277.14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2,110,151.04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3,048,277.14</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73</w:t>
      </w:r>
      <w:r>
        <w:rPr/>
        <w:t>、所得税费用</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）所得税费用表</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58,642,750.97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49,693,501.43</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-1,520,197.44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-2,346,485.84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57,122,553.53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47,347,015.59</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5673"/>
        <w:gridCol w:w="3898"/>
      </w:tblGrid>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项目</w:t>
            </w:r>
          </w:p>
        </w:tc>
        <w:tc>
          <w:tcPr>
            <w:tcW w:w="3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269,444,261.72</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40,416,639.26</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-11,041,623.60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-18,517,655.87</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-19,667,217.40</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32,472,565.99</w:t>
            </w:r>
          </w:p>
        </w:tc>
      </w:tr>
      <w:tr>
        <w:trPr>
          <w:trHeight w:val="403"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-1,987,771.36</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本期未确认递延所得税资产的可抵扣暂时性差异或可抵扣亏损的影响</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30,290,609.73</w:t>
            </w:r>
          </w:p>
        </w:tc>
      </w:tr>
      <w:tr>
        <w:trPr>
          <w:trHeight w:val="404" w:hRule="exact"/>
        </w:trPr>
        <w:tc>
          <w:tcPr>
            <w:tcW w:w="56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境外所得可抵免税额的影响</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5,157,006.78</w:t>
            </w:r>
          </w:p>
        </w:tc>
      </w:tr>
      <w:tr>
        <w:trPr>
          <w:trHeight w:val="401" w:hRule="exact"/>
        </w:trPr>
        <w:tc>
          <w:tcPr>
            <w:tcW w:w="5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57,122,553.53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74</w:t>
      </w:r>
      <w:r>
        <w:rPr/>
        <w:t>、其他综合收益</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详见附注七、</w:t>
      </w:r>
      <w:r>
        <w:rPr>
          <w:rFonts w:ascii="Times New Roman" w:hAnsi="Times New Roman" w:cs="Times New Roman" w:eastAsia="Times New Roman" w:hint="default"/>
        </w:rPr>
        <w:t>57</w:t>
      </w:r>
      <w:r>
        <w:rPr/>
        <w:t>。</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75</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项目拨款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58,083,833.91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11,669,349.77</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保证金、往来款、备用金等收回</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35,128,642.45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19,921,921.02</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23,514,379.25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20,969,441.30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26,176,756.46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11,232,201.66</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5,592,110.51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1,265,068.72</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148,495,722.58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65,057,982.47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保证金、备用金、往来款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115,627,899.10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67,820,986.36</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数据费及技术咨询服务费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93,478,214.02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79,249,271.15</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房租水电装修费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66,100,741.74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76,194,994.39</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差旅交通车辆费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42,584,800.13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36,821,533.46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展会、会议及招待费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33,417,737.99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24,197,899.31</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38,366,947.43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18,063,107.95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25,430,375.54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11,158,554.42</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日常办公及耗材</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24,868,103.39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13,164,079.95</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网络、通讯及网站维护费</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2"/>
                <w:sz w:val="18"/>
              </w:rPr>
              <w:t>11,670,311.83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10,723,735.86</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17,506,790.24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12,861,596.56</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469,051,921.41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350,255,759.41</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收回银行定期存款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2"/>
                <w:sz w:val="18"/>
              </w:rPr>
              <w:t>119,111,590.86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156,425,427.98</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定期存款利息</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4,251,844.16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8,422,809.74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123,363,435.02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164,848,237.72</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银行定期存款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1,499,130,233.48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19,081,427.84</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投资意向款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14,686,030.00</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1,499,130,233.48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33,767,457.84</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1,502,998.60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2,290,995.19</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定向增发认购保证金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106,800,000.00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1,502,998.60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109,090,995.19</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7"/>
        <w:gridCol w:w="3192"/>
        <w:gridCol w:w="3190"/>
      </w:tblGrid>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4"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子公司支付少数股东回购款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pacing w:val="-1"/>
                <w:sz w:val="18"/>
              </w:rPr>
              <w:t>584,967,930.89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定向增发认购保证金</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84,600,000.00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22,200,000.00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购买子公司少数股权款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66,350,900.00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支付限制性股票回购款</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1,900,605.80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4,741,816.70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代收代交分红个人所得税</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1,543,058.23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2,218,068.97</w:t>
            </w:r>
          </w:p>
        </w:tc>
      </w:tr>
      <w:tr>
        <w:trPr>
          <w:trHeight w:val="401" w:hRule="exact"/>
        </w:trPr>
        <w:tc>
          <w:tcPr>
            <w:tcW w:w="31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支付分红手续费及其他</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879,566.03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472,787.70</w:t>
            </w:r>
          </w:p>
        </w:tc>
      </w:tr>
      <w:tr>
        <w:trPr>
          <w:trHeight w:val="403" w:hRule="exact"/>
        </w:trPr>
        <w:tc>
          <w:tcPr>
            <w:tcW w:w="3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740,242,060.95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29,632,673.37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76</w:t>
      </w:r>
      <w:r>
        <w:rPr/>
        <w:t>、现金流量表补充资料</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）现金流量表补充资料</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27"/>
        <w:gridCol w:w="3058"/>
        <w:gridCol w:w="3185"/>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212,321,708.19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116,258,904.80</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55,583,146.71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36,101,084.50</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51,110,990.29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40,841,336.67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r>
        <w:rPr/>
        <w:pict>
          <v:shape style="position:absolute;margin-left:190.100006pt;margin-top:246.865982pt;width:185.6pt;height:19.75pt;mso-position-horizontal-relative:page;mso-position-vertical-relative:page;z-index:-1264720" type="#_x0000_t202" filled="false" stroked="false">
            <v:textbox inset="0,0,0,0">
              <w:txbxContent>
                <w:p>
                  <w:pPr>
                    <w:pStyle w:val="BodyText"/>
                    <w:spacing w:line="240" w:lineRule="auto" w:before="49"/>
                    <w:ind w:left="0" w:right="0"/>
                    <w:jc w:val="left"/>
                  </w:pPr>
                  <w:r>
                    <w:rPr/>
                    <w:t>号填列）</w:t>
                  </w:r>
                </w:p>
              </w:txbxContent>
            </v:textbox>
            <w10:wrap type="none"/>
          </v:shape>
        </w:pict>
      </w:r>
      <w:r>
        <w:rPr/>
        <w:pict>
          <v:shape style="position:absolute;margin-left:190.100006pt;margin-top:267.049988pt;width:185.6pt;height:19.6pt;mso-position-horizontal-relative:page;mso-position-vertical-relative:page;z-index:-1264696" type="#_x0000_t202" filled="false" stroked="false">
            <v:textbox inset="0,0,0,0">
              <w:txbxContent>
                <w:p>
                  <w:pPr>
                    <w:pStyle w:val="BodyText"/>
                    <w:spacing w:line="240" w:lineRule="auto" w:before="49"/>
                    <w:ind w:left="0" w:right="0"/>
                    <w:jc w:val="left"/>
                  </w:pPr>
                  <w:r>
                    <w:rPr/>
                    <w:t>号填列）</w:t>
                  </w:r>
                </w:p>
              </w:txbxContent>
            </v:textbox>
            <w10:wrap type="none"/>
          </v:shape>
        </w:pict>
      </w:r>
    </w:p>
    <w:tbl>
      <w:tblPr>
        <w:tblW w:w="0" w:type="auto"/>
        <w:jc w:val="left"/>
        <w:tblInd w:w="148" w:type="dxa"/>
        <w:tblLayout w:type="fixed"/>
        <w:tblCellMar>
          <w:top w:w="0" w:type="dxa"/>
          <w:left w:w="0" w:type="dxa"/>
          <w:bottom w:w="0" w:type="dxa"/>
          <w:right w:w="0" w:type="dxa"/>
        </w:tblCellMar>
        <w:tblLook w:val="01E0"/>
      </w:tblPr>
      <w:tblGrid>
        <w:gridCol w:w="3327"/>
        <w:gridCol w:w="3058"/>
        <w:gridCol w:w="3185"/>
      </w:tblGrid>
      <w:tr>
        <w:trPr>
          <w:trHeight w:val="36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物资产折旧</w:t>
            </w:r>
          </w:p>
        </w:tc>
        <w:tc>
          <w:tcPr>
            <w:tcW w:w="3058" w:type="dxa"/>
            <w:tcBorders>
              <w:top w:val="single" w:sz="4" w:space="0" w:color="000000"/>
              <w:left w:val="single" w:sz="4" w:space="0" w:color="000000"/>
              <w:bottom w:val="single" w:sz="4" w:space="0" w:color="000000"/>
              <w:right w:val="single" w:sz="4" w:space="0" w:color="000000"/>
            </w:tcBorders>
          </w:tcPr>
          <w:p>
            <w:pP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135,854,788.80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84,761,383.26</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117,488,520.46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117,998,539.33</w:t>
            </w:r>
          </w:p>
        </w:tc>
      </w:tr>
      <w:tr>
        <w:trPr>
          <w:trHeight w:val="71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1,015,076.20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440,829.71</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-37,906,899.05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-8,144,768.55</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-24,089,363.22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-20,449,978.54</w:t>
            </w:r>
          </w:p>
        </w:tc>
      </w:tr>
      <w:tr>
        <w:trPr>
          <w:trHeight w:val="404" w:hRule="exact"/>
        </w:trPr>
        <w:tc>
          <w:tcPr>
            <w:tcW w:w="3327"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p>
        </w:tc>
        <w:tc>
          <w:tcPr>
            <w:tcW w:w="3058" w:type="dxa"/>
            <w:tcBorders>
              <w:top w:val="single" w:sz="4" w:space="0" w:color="000000"/>
              <w:left w:val="single" w:sz="13" w:space="0" w:color="FFFFFF"/>
              <w:bottom w:val="single" w:sz="4" w:space="0" w:color="000000"/>
              <w:right w:val="single" w:sz="12" w:space="0" w:color="FFFFFF"/>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spacing w:val="-1"/>
                <w:sz w:val="18"/>
              </w:rPr>
              <w:t>-1,520,197.43</w:t>
            </w:r>
          </w:p>
        </w:tc>
        <w:tc>
          <w:tcPr>
            <w:tcW w:w="3185" w:type="dxa"/>
            <w:tcBorders>
              <w:top w:val="single" w:sz="4" w:space="0" w:color="000000"/>
              <w:left w:val="single" w:sz="12" w:space="0" w:color="FFFFFF"/>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-2,346,485.84</w:t>
            </w:r>
          </w:p>
        </w:tc>
      </w:tr>
      <w:tr>
        <w:trPr>
          <w:trHeight w:val="401" w:hRule="exact"/>
        </w:trPr>
        <w:tc>
          <w:tcPr>
            <w:tcW w:w="3327"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49"/>
              <w:ind w:left="24"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p>
        </w:tc>
        <w:tc>
          <w:tcPr>
            <w:tcW w:w="3058" w:type="dxa"/>
            <w:tcBorders>
              <w:top w:val="single" w:sz="4" w:space="0" w:color="000000"/>
              <w:left w:val="single" w:sz="13" w:space="0" w:color="FFFFFF"/>
              <w:bottom w:val="single" w:sz="4" w:space="0" w:color="000000"/>
              <w:right w:val="single" w:sz="12" w:space="0" w:color="FFFFFF"/>
            </w:tcBorders>
          </w:tcPr>
          <w:p>
            <w:pPr>
              <w:pStyle w:val="TableParagraph"/>
              <w:spacing w:line="240" w:lineRule="auto" w:before="91"/>
              <w:ind w:right="1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3185" w:type="dxa"/>
            <w:tcBorders>
              <w:top w:val="single" w:sz="4" w:space="0" w:color="000000"/>
              <w:left w:val="single" w:sz="12" w:space="0" w:color="FFFFFF"/>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57,575,595.19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-6,797,356.39</w:t>
            </w:r>
          </w:p>
        </w:tc>
      </w:tr>
      <w:tr>
        <w:trPr>
          <w:trHeight w:val="71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-274,459,275.56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-44,788,134.80</w:t>
            </w:r>
          </w:p>
        </w:tc>
      </w:tr>
      <w:tr>
        <w:trPr>
          <w:trHeight w:val="715"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71,485,935.14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22,956,469.49</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25,854,047.86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61,785,310.98</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390,314,073.58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398,617,134.62</w:t>
            </w:r>
          </w:p>
        </w:tc>
      </w:tr>
      <w:tr>
        <w:trPr>
          <w:trHeight w:val="161" w:hRule="exact"/>
        </w:trPr>
        <w:tc>
          <w:tcPr>
            <w:tcW w:w="3327"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49"/>
              <w:ind w:left="24" w:right="14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58"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327" w:type="dxa"/>
            <w:vMerge/>
            <w:tcBorders>
              <w:left w:val="single" w:sz="4" w:space="0" w:color="000000"/>
              <w:right w:val="single" w:sz="4" w:space="0" w:color="000000"/>
            </w:tcBorders>
            <w:shd w:val="clear" w:color="auto" w:fill="D2D2D2"/>
          </w:tcPr>
          <w:p>
            <w:pPr/>
          </w:p>
        </w:tc>
        <w:tc>
          <w:tcPr>
            <w:tcW w:w="305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463"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27" w:type="dxa"/>
            <w:vMerge/>
            <w:tcBorders>
              <w:left w:val="single" w:sz="4" w:space="0" w:color="000000"/>
              <w:bottom w:val="single" w:sz="4" w:space="0" w:color="000000"/>
              <w:right w:val="single" w:sz="4" w:space="0" w:color="000000"/>
            </w:tcBorders>
            <w:shd w:val="clear" w:color="auto" w:fill="D2D2D2"/>
          </w:tcPr>
          <w:p>
            <w:pPr/>
          </w:p>
        </w:tc>
        <w:tc>
          <w:tcPr>
            <w:tcW w:w="3058"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63"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1,469,211,491.56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1,046,725,366.19</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1,046,725,366.19</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1,112,263,491.75</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220,764,018.40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317,238,938.27</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317,238,938.27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168,855,675.19</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326,011,205.50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82,845,137.52</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）本期支付的取得子公司的现金净额</w:t>
      </w:r>
      <w:r>
        <w:rPr>
          <w:b w:val="0"/>
          <w:bCs w:val="0"/>
        </w:rPr>
      </w:r>
    </w:p>
    <w:p>
      <w:pPr>
        <w:spacing w:line="240" w:lineRule="auto" w:before="13"/>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988"/>
        <w:gridCol w:w="4583"/>
      </w:tblGrid>
      <w:tr>
        <w:trPr>
          <w:trHeight w:val="396"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13"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2"/>
              <w:jc w:val="right"/>
              <w:rPr>
                <w:rFonts w:ascii="Times New Roman" w:hAnsi="Times New Roman" w:cs="Times New Roman" w:eastAsia="Times New Roman" w:hint="default"/>
                <w:sz w:val="18"/>
                <w:szCs w:val="18"/>
              </w:rPr>
            </w:pPr>
            <w:r>
              <w:rPr>
                <w:rFonts w:ascii="Times New Roman"/>
                <w:spacing w:val="-1"/>
                <w:sz w:val="18"/>
              </w:rPr>
              <w:t>1,795,904,267.62</w:t>
            </w:r>
          </w:p>
        </w:tc>
      </w:tr>
      <w:tr>
        <w:trPr>
          <w:trHeight w:val="396"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1,795,904,267.62</w:t>
            </w:r>
          </w:p>
        </w:tc>
      </w:tr>
      <w:tr>
        <w:trPr>
          <w:trHeight w:val="406"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212,362,893.06</w:t>
            </w:r>
          </w:p>
        </w:tc>
      </w:tr>
      <w:tr>
        <w:trPr>
          <w:trHeight w:val="398"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4988"/>
        <w:gridCol w:w="4583"/>
      </w:tblGrid>
      <w:tr>
        <w:trPr>
          <w:trHeight w:val="401"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212,362,893.06</w:t>
            </w:r>
          </w:p>
        </w:tc>
      </w:tr>
      <w:tr>
        <w:trPr>
          <w:trHeight w:val="408"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加：以前期间发生的企业合并于本期支付的现金或现金等价物</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7"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1,583,541,374.56</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）本期收到的处置子公司的现金净额</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4988"/>
        <w:gridCol w:w="4583"/>
      </w:tblGrid>
      <w:tr>
        <w:trPr>
          <w:trHeight w:val="397"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13"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本期处置子公司于本期收到的现金或现金等价物</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6"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7"/>
              <w:ind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8"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减：丧失控制权日子公司持有的现金及现金等价物</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169,769.96</w:t>
            </w:r>
          </w:p>
        </w:tc>
      </w:tr>
      <w:tr>
        <w:trPr>
          <w:trHeight w:val="396"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4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169,769.96</w:t>
            </w:r>
          </w:p>
        </w:tc>
      </w:tr>
      <w:tr>
        <w:trPr>
          <w:trHeight w:val="408"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加：以前期间处置子公司于本期收到的现金或现金等价物</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91"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4"/>
              <w:ind w:left="24"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6"/>
              <w:ind w:right="0"/>
              <w:jc w:val="center"/>
              <w:rPr>
                <w:rFonts w:ascii="Times New Roman" w:hAnsi="Times New Roman" w:cs="Times New Roman" w:eastAsia="Times New Roman" w:hint="default"/>
                <w:sz w:val="18"/>
                <w:szCs w:val="18"/>
              </w:rPr>
            </w:pPr>
            <w:r>
              <w:rPr>
                <w:rFonts w:ascii="Times New Roman"/>
                <w:sz w:val="18"/>
              </w:rPr>
              <w:t>--</w:t>
            </w:r>
          </w:p>
        </w:tc>
      </w:tr>
      <w:tr>
        <w:trPr>
          <w:trHeight w:val="408" w:hRule="exact"/>
        </w:trPr>
        <w:tc>
          <w:tcPr>
            <w:tcW w:w="4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c>
        <w:tc>
          <w:tcPr>
            <w:tcW w:w="4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pacing w:val="-1"/>
                <w:sz w:val="18"/>
              </w:rPr>
              <w:t>-169,769.96</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）现金和现金等价物的构成</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27"/>
        <w:gridCol w:w="3058"/>
        <w:gridCol w:w="3185"/>
      </w:tblGrid>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1,469,211,491.56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1,046,725,366.19</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248,300.34</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387,730.43</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可随时用于支付的银行存款</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1,468,963,191.22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1,046,337,635.76</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可随时用于支付的其他货币资金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可用于支付的存放中央银行款项</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存放同业款项</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拆放同业款项</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220,764,018.40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317,238,938.27</w:t>
            </w: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1,689,975,509.96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1,363,964,304.46</w:t>
            </w:r>
          </w:p>
        </w:tc>
      </w:tr>
      <w:tr>
        <w:trPr>
          <w:trHeight w:val="715"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51"/>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 的现金和现金等价物</w:t>
            </w:r>
          </w:p>
        </w:tc>
        <w:tc>
          <w:tcPr>
            <w:tcW w:w="305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327,820,923.18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138,445,647.05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77</w:t>
      </w:r>
      <w:r>
        <w:rPr/>
        <w:t>、所有者权益变动表项目注释</w:t>
      </w:r>
      <w:r>
        <w:rPr>
          <w:b w:val="0"/>
          <w:bCs w:val="0"/>
        </w:rPr>
      </w:r>
    </w:p>
    <w:p>
      <w:pPr>
        <w:spacing w:line="240" w:lineRule="auto" w:before="5"/>
        <w:rPr>
          <w:rFonts w:ascii="宋体" w:hAnsi="宋体" w:cs="宋体" w:eastAsia="宋体" w:hint="default"/>
          <w:b/>
          <w:bCs/>
          <w:sz w:val="26"/>
          <w:szCs w:val="26"/>
        </w:rPr>
      </w:pPr>
    </w:p>
    <w:p>
      <w:pPr>
        <w:pStyle w:val="BodyText"/>
        <w:spacing w:line="338" w:lineRule="auto"/>
        <w:ind w:right="4394"/>
        <w:jc w:val="left"/>
      </w:pPr>
      <w:r>
        <w:rPr/>
        <w:t>说明对上年期末余额进行调整的</w:t>
      </w:r>
      <w:r>
        <w:rPr>
          <w:rFonts w:ascii="Times New Roman" w:hAnsi="Times New Roman" w:cs="Times New Roman" w:eastAsia="Times New Roman" w:hint="default"/>
        </w:rPr>
        <w:t>“</w:t>
      </w:r>
      <w:r>
        <w:rPr/>
        <w:t>其他</w:t>
      </w:r>
      <w:r>
        <w:rPr>
          <w:rFonts w:ascii="Times New Roman" w:hAnsi="Times New Roman" w:cs="Times New Roman" w:eastAsia="Times New Roman" w:hint="default"/>
        </w:rPr>
        <w:t>”</w:t>
      </w:r>
      <w:r>
        <w:rPr/>
        <w:t>项目名称及调整金额等事项： 无</w:t>
      </w:r>
    </w:p>
    <w:p>
      <w:pPr>
        <w:spacing w:line="240" w:lineRule="auto" w:before="7"/>
        <w:rPr>
          <w:rFonts w:ascii="宋体" w:hAnsi="宋体" w:cs="宋体" w:eastAsia="宋体" w:hint="default"/>
          <w:sz w:val="21"/>
          <w:szCs w:val="21"/>
        </w:rPr>
      </w:pPr>
    </w:p>
    <w:p>
      <w:pPr>
        <w:pStyle w:val="Heading5"/>
        <w:spacing w:line="240" w:lineRule="auto"/>
        <w:ind w:right="0"/>
        <w:jc w:val="left"/>
        <w:rPr>
          <w:b w:val="0"/>
          <w:bCs w:val="0"/>
        </w:rPr>
      </w:pPr>
      <w:r>
        <w:rPr>
          <w:rFonts w:ascii="Times New Roman" w:hAnsi="Times New Roman" w:cs="Times New Roman" w:eastAsia="Times New Roman" w:hint="default"/>
        </w:rPr>
        <w:t>78</w:t>
      </w:r>
      <w:r>
        <w:rPr/>
        <w:t>、所有权或使用权受到限制的资产</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27"/>
        <w:gridCol w:w="3058"/>
        <w:gridCol w:w="3185"/>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right="1"/>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1,753,471,747.58</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个月以上的定期存款及保证金</w:t>
            </w:r>
          </w:p>
        </w:tc>
      </w:tr>
      <w:tr>
        <w:trPr>
          <w:trHeight w:val="40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1,753,471,747.58</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79</w:t>
      </w:r>
      <w:r>
        <w:rPr/>
        <w:t>、外币货币性项目</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）外币货币性项目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5"/>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496"/>
        <w:gridCol w:w="2293"/>
        <w:gridCol w:w="2391"/>
        <w:gridCol w:w="2391"/>
      </w:tblGrid>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03"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380,797,282.85</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19,942,294.07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6.5342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130,306,937.90</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32,005,493.73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7.8023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249,716,463.73</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港币</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284,603.46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0.8359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237,900.03</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66" w:right="0"/>
              <w:jc w:val="left"/>
              <w:rPr>
                <w:rFonts w:ascii="宋体" w:hAnsi="宋体" w:cs="宋体" w:eastAsia="宋体" w:hint="default"/>
                <w:sz w:val="18"/>
                <w:szCs w:val="18"/>
              </w:rPr>
            </w:pPr>
            <w:r>
              <w:rPr>
                <w:rFonts w:ascii="宋体" w:hAnsi="宋体" w:cs="宋体" w:eastAsia="宋体" w:hint="default"/>
                <w:sz w:val="18"/>
                <w:szCs w:val="18"/>
              </w:rPr>
              <w:t>日元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8,922,852.00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0.0579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516,633.13</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66" w:right="0"/>
              <w:jc w:val="left"/>
              <w:rPr>
                <w:rFonts w:ascii="宋体" w:hAnsi="宋体" w:cs="宋体" w:eastAsia="宋体" w:hint="default"/>
                <w:sz w:val="18"/>
                <w:szCs w:val="18"/>
              </w:rPr>
            </w:pPr>
            <w:r>
              <w:rPr>
                <w:rFonts w:ascii="宋体" w:hAnsi="宋体" w:cs="宋体" w:eastAsia="宋体" w:hint="default"/>
                <w:sz w:val="18"/>
                <w:szCs w:val="18"/>
              </w:rPr>
              <w:t>新币</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3,962.25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4.8831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19,348.06</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19,348.06</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26,512,753.52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6.5342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173,239,634.05</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9,240,619.64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7.8023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72,098,086.62</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6.5342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7.8023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港币</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0.8359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2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815,315.85</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104,496.86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7.8023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815,315.85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496"/>
        <w:gridCol w:w="2293"/>
        <w:gridCol w:w="2391"/>
        <w:gridCol w:w="2391"/>
      </w:tblGrid>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2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083" w:right="0"/>
              <w:jc w:val="left"/>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1130" w:right="0"/>
              <w:jc w:val="left"/>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49,736,927.33</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6,968,528.97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6.5342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45,533,762.00</w:t>
            </w:r>
          </w:p>
        </w:tc>
      </w:tr>
      <w:tr>
        <w:trPr>
          <w:trHeight w:val="402"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1557"/>
              <w:jc w:val="righ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538,708.50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7.8023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4,203,165.33</w:t>
            </w:r>
          </w:p>
        </w:tc>
      </w:tr>
      <w:tr>
        <w:trPr>
          <w:trHeight w:val="402"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2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083" w:right="0"/>
              <w:jc w:val="left"/>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1130" w:right="0"/>
              <w:jc w:val="left"/>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44,955,153.79</w:t>
            </w:r>
          </w:p>
        </w:tc>
      </w:tr>
      <w:tr>
        <w:trPr>
          <w:trHeight w:val="401"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1,974,810.19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6.5342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12,903,804.74</w:t>
            </w:r>
          </w:p>
        </w:tc>
      </w:tr>
      <w:tr>
        <w:trPr>
          <w:trHeight w:val="403" w:hRule="exact"/>
        </w:trPr>
        <w:tc>
          <w:tcPr>
            <w:tcW w:w="24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557"/>
              <w:jc w:val="right"/>
              <w:rPr>
                <w:rFonts w:ascii="宋体" w:hAnsi="宋体" w:cs="宋体" w:eastAsia="宋体" w:hint="default"/>
                <w:sz w:val="18"/>
                <w:szCs w:val="18"/>
              </w:rPr>
            </w:pPr>
            <w:r>
              <w:rPr>
                <w:rFonts w:ascii="宋体" w:hAnsi="宋体" w:cs="宋体" w:eastAsia="宋体" w:hint="default"/>
                <w:sz w:val="18"/>
                <w:szCs w:val="18"/>
              </w:rPr>
              <w:t>欧元</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4,107,936.00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7.8023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32,051,349.05</w:t>
            </w:r>
          </w:p>
        </w:tc>
      </w:tr>
    </w:tbl>
    <w:p>
      <w:pPr>
        <w:spacing w:line="240" w:lineRule="auto" w:before="3"/>
        <w:rPr>
          <w:rFonts w:ascii="宋体" w:hAnsi="宋体" w:cs="宋体" w:eastAsia="宋体" w:hint="default"/>
          <w:sz w:val="19"/>
          <w:szCs w:val="19"/>
        </w:rPr>
      </w:pPr>
    </w:p>
    <w:p>
      <w:pPr>
        <w:pStyle w:val="Heading5"/>
        <w:spacing w:line="259" w:lineRule="auto" w:before="36"/>
        <w:ind w:right="94"/>
        <w:jc w:val="left"/>
        <w:rPr>
          <w:b w:val="0"/>
          <w:bCs w:val="0"/>
        </w:rPr>
      </w:pP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65"/>
        </w:rPr>
        <w:t> </w:t>
      </w:r>
      <w:r>
        <w:rPr>
          <w:spacing w:val="-65"/>
        </w:rPr>
      </w:r>
      <w:r>
        <w:rPr/>
        <w:t>依据，记账本位币发生变化的还应披露原因。</w:t>
      </w:r>
      <w:r>
        <w:rPr>
          <w:b w:val="0"/>
          <w:bCs w:val="0"/>
        </w:rPr>
      </w:r>
    </w:p>
    <w:p>
      <w:pPr>
        <w:spacing w:line="240" w:lineRule="auto" w:before="1"/>
        <w:rPr>
          <w:rFonts w:ascii="宋体" w:hAnsi="宋体" w:cs="宋体" w:eastAsia="宋体" w:hint="default"/>
          <w:b/>
          <w:bCs/>
          <w:sz w:val="26"/>
          <w:szCs w:val="26"/>
        </w:rPr>
      </w:pPr>
    </w:p>
    <w:p>
      <w:pPr>
        <w:pStyle w:val="BodyText"/>
        <w:spacing w:line="417" w:lineRule="auto"/>
        <w:ind w:left="513" w:right="4053" w:hanging="361"/>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2"/>
        </w:rPr>
        <w:t> </w:t>
      </w:r>
      <w:r>
        <w:rPr/>
        <w:t>不适用 本公司之境外子公司分别采用所在地区适用的外币作为记账本位币。</w:t>
      </w:r>
    </w:p>
    <w:p>
      <w:pPr>
        <w:pStyle w:val="BodyText"/>
        <w:spacing w:line="316" w:lineRule="auto" w:before="61"/>
        <w:ind w:right="94" w:firstLine="360"/>
        <w:jc w:val="left"/>
      </w:pPr>
      <w:r>
        <w:rPr/>
        <w:t>本公司之境外子公司四维图新（香港）公司主要经营地为香港，原记账本位币为港币，因其主要业务结算货币为美元， 自</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日起其记账本位币变更为美元，编制财务报表时折算为人民币。</w:t>
      </w:r>
    </w:p>
    <w:p>
      <w:pPr>
        <w:pStyle w:val="BodyText"/>
        <w:spacing w:line="300" w:lineRule="auto" w:before="119"/>
        <w:ind w:right="188" w:firstLine="360"/>
        <w:jc w:val="left"/>
      </w:pPr>
      <w:r>
        <w:rPr/>
        <w:t>本公司之境外子公司</w:t>
      </w:r>
      <w:r>
        <w:rPr>
          <w:rFonts w:ascii="Times New Roman" w:hAnsi="Times New Roman" w:cs="Times New Roman" w:eastAsia="Times New Roman" w:hint="default"/>
        </w:rPr>
        <w:t>Coöperatieve NavInfo U.A.</w:t>
      </w:r>
      <w:r>
        <w:rPr/>
        <w:t>、四维图新（欧洲）公司、</w:t>
      </w:r>
      <w:r>
        <w:rPr>
          <w:rFonts w:ascii="Times New Roman" w:hAnsi="Times New Roman" w:cs="Times New Roman" w:eastAsia="Times New Roman" w:hint="default"/>
        </w:rPr>
        <w:t>Mapscape</w:t>
      </w:r>
      <w:r>
        <w:rPr>
          <w:rFonts w:ascii="Times New Roman" w:hAnsi="Times New Roman" w:cs="Times New Roman" w:eastAsia="Times New Roman" w:hint="default"/>
          <w:spacing w:val="32"/>
        </w:rPr>
        <w:t> </w:t>
      </w:r>
      <w:r>
        <w:rPr>
          <w:rFonts w:ascii="Times New Roman" w:hAnsi="Times New Roman" w:cs="Times New Roman" w:eastAsia="Times New Roman" w:hint="default"/>
        </w:rPr>
        <w:t>B.V.</w:t>
      </w:r>
      <w:r>
        <w:rPr/>
        <w:t>主要经营地为荷兰，记账本位 币为欧元，编制财务报表时折算为人民币。</w:t>
      </w:r>
    </w:p>
    <w:p>
      <w:pPr>
        <w:pStyle w:val="BodyText"/>
        <w:spacing w:line="300" w:lineRule="auto" w:before="151"/>
        <w:ind w:right="185" w:firstLine="360"/>
        <w:jc w:val="left"/>
      </w:pPr>
      <w:r>
        <w:rPr/>
        <w:t>本公司之境外子公司</w:t>
      </w:r>
      <w:r>
        <w:rPr>
          <w:rFonts w:ascii="Times New Roman" w:hAnsi="Times New Roman" w:cs="Times New Roman" w:eastAsia="Times New Roman" w:hint="default"/>
        </w:rPr>
        <w:t>Mapbar Technology</w:t>
      </w:r>
      <w:r>
        <w:rPr>
          <w:rFonts w:ascii="Times New Roman" w:hAnsi="Times New Roman" w:cs="Times New Roman" w:eastAsia="Times New Roman" w:hint="default"/>
          <w:spacing w:val="40"/>
        </w:rPr>
        <w:t> </w:t>
      </w:r>
      <w:r>
        <w:rPr>
          <w:rFonts w:ascii="Times New Roman" w:hAnsi="Times New Roman" w:cs="Times New Roman" w:eastAsia="Times New Roman" w:hint="default"/>
        </w:rPr>
        <w:t>Limited</w:t>
      </w:r>
      <w:r>
        <w:rPr/>
        <w:t>注册地为英属维尔京群岛（</w:t>
      </w:r>
      <w:r>
        <w:rPr>
          <w:rFonts w:ascii="Times New Roman" w:hAnsi="Times New Roman" w:cs="Times New Roman" w:eastAsia="Times New Roman" w:hint="default"/>
        </w:rPr>
        <w:t>BVI</w:t>
      </w:r>
      <w:r>
        <w:rPr/>
        <w:t>），主要经营地为中国，记账本位币为</w:t>
      </w:r>
      <w:r>
        <w:rPr>
          <w:w w:val="99"/>
        </w:rPr>
        <w:t> </w:t>
      </w:r>
      <w:r>
        <w:rPr/>
        <w:t>美元，编制财务报表时折算为人民币。</w:t>
      </w:r>
    </w:p>
    <w:p>
      <w:pPr>
        <w:pStyle w:val="BodyText"/>
        <w:spacing w:line="432" w:lineRule="exact" w:before="16"/>
        <w:ind w:left="513" w:right="94"/>
        <w:jc w:val="left"/>
      </w:pPr>
      <w:r>
        <w:rPr>
          <w:spacing w:val="-1"/>
          <w:w w:val="99"/>
        </w:rPr>
        <w:t>本公司之境外子公司</w:t>
      </w:r>
      <w:r>
        <w:rPr>
          <w:rFonts w:ascii="Times New Roman" w:hAnsi="Times New Roman" w:cs="Times New Roman" w:eastAsia="Times New Roman" w:hint="default"/>
          <w:spacing w:val="-1"/>
          <w:w w:val="99"/>
        </w:rPr>
        <w:t>Smartautosoft</w:t>
      </w:r>
      <w:r>
        <w:rPr>
          <w:rFonts w:ascii="Times New Roman" w:hAnsi="Times New Roman" w:cs="Times New Roman" w:eastAsia="Times New Roman" w:hint="default"/>
          <w:w w:val="99"/>
        </w:rPr>
        <w:t> </w:t>
      </w:r>
      <w:r>
        <w:rPr>
          <w:rFonts w:ascii="Times New Roman" w:hAnsi="Times New Roman" w:cs="Times New Roman" w:eastAsia="Times New Roman" w:hint="default"/>
          <w:w w:val="99"/>
        </w:rPr>
        <w:t>Pte </w:t>
      </w:r>
      <w:r>
        <w:rPr>
          <w:rFonts w:ascii="Times New Roman" w:hAnsi="Times New Roman" w:cs="Times New Roman" w:eastAsia="Times New Roman" w:hint="default"/>
          <w:spacing w:val="-5"/>
        </w:rPr>
        <w:t>Ltd.</w:t>
      </w:r>
      <w:r>
        <w:rPr>
          <w:spacing w:val="-5"/>
        </w:rPr>
        <w:t>主要经营地为新加坡，记账本位币为新加坡元，编制财务报表时折算为人民币。</w:t>
      </w:r>
      <w:r>
        <w:rPr>
          <w:spacing w:val="-58"/>
        </w:rPr>
        <w:t> </w:t>
      </w:r>
      <w:r>
        <w:rPr>
          <w:spacing w:val="-58"/>
        </w:rPr>
      </w:r>
      <w:r>
        <w:rPr>
          <w:spacing w:val="-2"/>
        </w:rPr>
        <w:t>本公司之境外子公司图新投资（香港）科技有限公司主要经营地为香港，记账本位币为美元，编制财务报表时折算为人</w:t>
      </w:r>
    </w:p>
    <w:p>
      <w:pPr>
        <w:pStyle w:val="BodyText"/>
        <w:spacing w:line="240" w:lineRule="auto" w:before="15"/>
        <w:ind w:right="94"/>
        <w:jc w:val="left"/>
      </w:pPr>
      <w:r>
        <w:rPr/>
        <w:t>民币。</w:t>
      </w:r>
    </w:p>
    <w:p>
      <w:pPr>
        <w:spacing w:line="240" w:lineRule="auto" w:before="0"/>
        <w:rPr>
          <w:rFonts w:ascii="宋体" w:hAnsi="宋体" w:cs="宋体" w:eastAsia="宋体" w:hint="default"/>
          <w:sz w:val="15"/>
          <w:szCs w:val="15"/>
        </w:rPr>
      </w:pPr>
    </w:p>
    <w:p>
      <w:pPr>
        <w:pStyle w:val="BodyText"/>
        <w:spacing w:line="415" w:lineRule="auto"/>
        <w:ind w:left="424" w:right="189" w:firstLine="16"/>
        <w:jc w:val="right"/>
      </w:pPr>
      <w:r>
        <w:rPr/>
        <w:t>本公司之境外子公</w:t>
      </w:r>
      <w:r>
        <w:rPr>
          <w:spacing w:val="-1"/>
        </w:rPr>
        <w:t>司</w:t>
      </w:r>
      <w:r>
        <w:rPr>
          <w:rFonts w:ascii="Times New Roman" w:hAnsi="Times New Roman" w:cs="Times New Roman" w:eastAsia="Times New Roman" w:hint="default"/>
          <w:w w:val="99"/>
        </w:rPr>
        <w:t>N</w:t>
      </w:r>
      <w:r>
        <w:rPr>
          <w:rFonts w:ascii="Times New Roman" w:hAnsi="Times New Roman" w:cs="Times New Roman" w:eastAsia="Times New Roman" w:hint="default"/>
          <w:spacing w:val="-2"/>
          <w:w w:val="99"/>
        </w:rPr>
        <w:t>a</w:t>
      </w:r>
      <w:r>
        <w:rPr>
          <w:rFonts w:ascii="Times New Roman" w:hAnsi="Times New Roman" w:cs="Times New Roman" w:eastAsia="Times New Roman" w:hint="default"/>
          <w:spacing w:val="-2"/>
        </w:rPr>
        <w:t>v</w:t>
      </w:r>
      <w:r>
        <w:rPr>
          <w:rFonts w:ascii="Times New Roman" w:hAnsi="Times New Roman" w:cs="Times New Roman" w:eastAsia="Times New Roman" w:hint="default"/>
        </w:rPr>
        <w:t>i</w:t>
      </w:r>
      <w:r>
        <w:rPr>
          <w:rFonts w:ascii="Times New Roman" w:hAnsi="Times New Roman" w:cs="Times New Roman" w:eastAsia="Times New Roman" w:hint="default"/>
          <w:spacing w:val="3"/>
        </w:rPr>
        <w:t>n</w:t>
      </w:r>
      <w:r>
        <w:rPr>
          <w:rFonts w:ascii="Times New Roman" w:hAnsi="Times New Roman" w:cs="Times New Roman" w:eastAsia="Times New Roman" w:hint="default"/>
        </w:rPr>
        <w:t>fo</w:t>
      </w:r>
      <w:r>
        <w:rPr>
          <w:rFonts w:ascii="Times New Roman" w:hAnsi="Times New Roman" w:cs="Times New Roman" w:eastAsia="Times New Roman" w:hint="default"/>
          <w:spacing w:val="-8"/>
        </w:rPr>
        <w:t> </w:t>
      </w:r>
      <w:r>
        <w:rPr>
          <w:rFonts w:ascii="Times New Roman" w:hAnsi="Times New Roman" w:cs="Times New Roman" w:eastAsia="Times New Roman" w:hint="default"/>
          <w:w w:val="99"/>
        </w:rPr>
        <w:t>No</w:t>
      </w:r>
      <w:r>
        <w:rPr>
          <w:rFonts w:ascii="Times New Roman" w:hAnsi="Times New Roman" w:cs="Times New Roman" w:eastAsia="Times New Roman" w:hint="default"/>
          <w:w w:val="99"/>
        </w:rPr>
        <w:t>rth</w:t>
      </w:r>
      <w:r>
        <w:rPr>
          <w:rFonts w:ascii="Times New Roman" w:hAnsi="Times New Roman" w:cs="Times New Roman" w:eastAsia="Times New Roman" w:hint="default"/>
          <w:spacing w:val="-8"/>
          <w:w w:val="99"/>
        </w:rPr>
        <w:t> </w:t>
      </w:r>
      <w:r>
        <w:rPr>
          <w:rFonts w:ascii="Times New Roman" w:hAnsi="Times New Roman" w:cs="Times New Roman" w:eastAsia="Times New Roman" w:hint="default"/>
          <w:spacing w:val="-3"/>
          <w:w w:val="99"/>
        </w:rPr>
        <w:t>A</w:t>
      </w:r>
      <w:r>
        <w:rPr>
          <w:rFonts w:ascii="Times New Roman" w:hAnsi="Times New Roman" w:cs="Times New Roman" w:eastAsia="Times New Roman" w:hint="default"/>
          <w:spacing w:val="-4"/>
        </w:rPr>
        <w:t>m</w:t>
      </w:r>
      <w:r>
        <w:rPr>
          <w:rFonts w:ascii="Times New Roman" w:hAnsi="Times New Roman" w:cs="Times New Roman" w:eastAsia="Times New Roman" w:hint="default"/>
          <w:spacing w:val="-1"/>
        </w:rPr>
        <w:t>e</w:t>
      </w:r>
      <w:r>
        <w:rPr>
          <w:rFonts w:ascii="Times New Roman" w:hAnsi="Times New Roman" w:cs="Times New Roman" w:eastAsia="Times New Roman" w:hint="default"/>
        </w:rPr>
        <w:t>ri</w:t>
      </w:r>
      <w:r>
        <w:rPr>
          <w:rFonts w:ascii="Times New Roman" w:hAnsi="Times New Roman" w:cs="Times New Roman" w:eastAsia="Times New Roman" w:hint="default"/>
          <w:spacing w:val="2"/>
        </w:rPr>
        <w:t>c</w:t>
      </w:r>
      <w:r>
        <w:rPr>
          <w:rFonts w:ascii="Times New Roman" w:hAnsi="Times New Roman" w:cs="Times New Roman" w:eastAsia="Times New Roman" w:hint="default"/>
        </w:rPr>
        <w:t>a</w:t>
      </w:r>
      <w:r>
        <w:rPr>
          <w:rFonts w:ascii="Times New Roman" w:hAnsi="Times New Roman" w:cs="Times New Roman" w:eastAsia="Times New Roman" w:hint="default"/>
          <w:spacing w:val="-10"/>
        </w:rPr>
        <w:t> </w:t>
      </w:r>
      <w:r>
        <w:rPr>
          <w:rFonts w:ascii="Times New Roman" w:hAnsi="Times New Roman" w:cs="Times New Roman" w:eastAsia="Times New Roman" w:hint="default"/>
        </w:rPr>
        <w:t>Cor</w:t>
      </w:r>
      <w:r>
        <w:rPr>
          <w:rFonts w:ascii="Times New Roman" w:hAnsi="Times New Roman" w:cs="Times New Roman" w:eastAsia="Times New Roman" w:hint="default"/>
          <w:spacing w:val="1"/>
        </w:rPr>
        <w:t>p</w:t>
      </w:r>
      <w:r>
        <w:rPr>
          <w:rFonts w:ascii="Times New Roman" w:hAnsi="Times New Roman" w:cs="Times New Roman" w:eastAsia="Times New Roman" w:hint="default"/>
          <w:spacing w:val="2"/>
        </w:rPr>
        <w:t>.</w:t>
      </w:r>
      <w:r>
        <w:rPr/>
        <w:t>主要经营地为美国</w:t>
      </w:r>
      <w:r>
        <w:rPr>
          <w:spacing w:val="-87"/>
        </w:rPr>
        <w:t>，</w:t>
      </w:r>
      <w:r>
        <w:rPr/>
        <w:t>记账本位币为美元</w:t>
      </w:r>
      <w:r>
        <w:rPr>
          <w:spacing w:val="-87"/>
        </w:rPr>
        <w:t>，</w:t>
      </w:r>
      <w:r>
        <w:rPr/>
        <w:t>编制财务报表时折算为人民币。</w:t>
      </w:r>
      <w:r>
        <w:rPr/>
        <w:t> 本公司之境外子公司四维图新新加坡有限公司主要经营地为新加坡</w:t>
      </w:r>
      <w:r>
        <w:rPr>
          <w:spacing w:val="-87"/>
        </w:rPr>
        <w:t>，</w:t>
      </w:r>
      <w:r>
        <w:rPr/>
        <w:t>记账本位币为美元</w:t>
      </w:r>
      <w:r>
        <w:rPr>
          <w:spacing w:val="-87"/>
        </w:rPr>
        <w:t>，</w:t>
      </w:r>
      <w:r>
        <w:rPr/>
        <w:t>编制财务报表时折算为人民币。</w:t>
      </w:r>
    </w:p>
    <w:p>
      <w:pPr>
        <w:spacing w:line="240" w:lineRule="auto" w:before="2"/>
        <w:rPr>
          <w:rFonts w:ascii="宋体" w:hAnsi="宋体" w:cs="宋体" w:eastAsia="宋体" w:hint="default"/>
          <w:sz w:val="17"/>
          <w:szCs w:val="17"/>
        </w:rPr>
      </w:pPr>
    </w:p>
    <w:p>
      <w:pPr>
        <w:pStyle w:val="Heading5"/>
        <w:spacing w:line="240" w:lineRule="auto"/>
        <w:ind w:right="94"/>
        <w:jc w:val="left"/>
        <w:rPr>
          <w:b w:val="0"/>
          <w:bCs w:val="0"/>
        </w:rPr>
      </w:pPr>
      <w:r>
        <w:rPr>
          <w:rFonts w:ascii="Times New Roman" w:hAnsi="Times New Roman" w:cs="Times New Roman" w:eastAsia="Times New Roman" w:hint="default"/>
        </w:rPr>
        <w:t>80</w:t>
      </w:r>
      <w:r>
        <w:rPr/>
        <w:t>、套期</w:t>
      </w:r>
      <w:r>
        <w:rPr>
          <w:b w:val="0"/>
          <w:bCs w:val="0"/>
        </w:rPr>
      </w:r>
    </w:p>
    <w:p>
      <w:pPr>
        <w:spacing w:line="240" w:lineRule="auto" w:before="4"/>
        <w:rPr>
          <w:rFonts w:ascii="宋体" w:hAnsi="宋体" w:cs="宋体" w:eastAsia="宋体" w:hint="default"/>
          <w:b/>
          <w:bCs/>
          <w:sz w:val="26"/>
          <w:szCs w:val="26"/>
        </w:rPr>
      </w:pPr>
    </w:p>
    <w:p>
      <w:pPr>
        <w:pStyle w:val="BodyText"/>
        <w:spacing w:line="357" w:lineRule="auto"/>
        <w:ind w:right="3694"/>
        <w:jc w:val="left"/>
      </w:pPr>
      <w:r>
        <w:rPr/>
        <w:t>按照套期类别披露套期项目及相关套期工具、被套期风险的定性和定量信息： 无</w:t>
      </w:r>
    </w:p>
    <w:p>
      <w:pPr>
        <w:spacing w:line="240" w:lineRule="auto" w:before="6"/>
        <w:rPr>
          <w:rFonts w:ascii="宋体" w:hAnsi="宋体" w:cs="宋体" w:eastAsia="宋体" w:hint="default"/>
          <w:sz w:val="20"/>
          <w:szCs w:val="20"/>
        </w:rPr>
      </w:pPr>
    </w:p>
    <w:p>
      <w:pPr>
        <w:pStyle w:val="Heading5"/>
        <w:spacing w:line="240" w:lineRule="auto"/>
        <w:ind w:right="94"/>
        <w:jc w:val="left"/>
        <w:rPr>
          <w:b w:val="0"/>
          <w:bCs w:val="0"/>
        </w:rPr>
      </w:pPr>
      <w:r>
        <w:rPr>
          <w:rFonts w:ascii="Times New Roman" w:hAnsi="Times New Roman" w:cs="Times New Roman" w:eastAsia="Times New Roman" w:hint="default"/>
        </w:rPr>
        <w:t>81</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3"/>
        <w:rPr>
          <w:rFonts w:ascii="宋体" w:hAnsi="宋体" w:cs="宋体" w:eastAsia="宋体" w:hint="default"/>
          <w:sz w:val="25"/>
          <w:szCs w:val="25"/>
        </w:rPr>
      </w:pPr>
    </w:p>
    <w:p>
      <w:pPr>
        <w:pStyle w:val="Heading3"/>
        <w:spacing w:line="240" w:lineRule="auto"/>
        <w:ind w:right="94"/>
        <w:jc w:val="left"/>
        <w:rPr>
          <w:b w:val="0"/>
          <w:bCs w:val="0"/>
        </w:rPr>
      </w:pPr>
      <w:r>
        <w:rPr/>
        <w:t>八、合并范围的变更</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94"/>
        <w:jc w:val="left"/>
        <w:rPr>
          <w:b w:val="0"/>
          <w:bCs w:val="0"/>
        </w:rPr>
      </w:pPr>
      <w:r>
        <w:rPr>
          <w:rFonts w:ascii="Times New Roman" w:hAnsi="Times New Roman" w:cs="Times New Roman" w:eastAsia="Times New Roman" w:hint="default"/>
        </w:rPr>
        <w:t>1</w:t>
      </w:r>
      <w:r>
        <w:rPr/>
        <w:t>、非同一控制下企业合并</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94"/>
        <w:jc w:val="left"/>
        <w:rPr>
          <w:b w:val="0"/>
          <w:bCs w:val="0"/>
        </w:rPr>
      </w:pPr>
      <w:r>
        <w:rPr/>
        <w:t>（</w:t>
      </w:r>
      <w:r>
        <w:rPr>
          <w:rFonts w:ascii="Times New Roman" w:hAnsi="Times New Roman" w:cs="Times New Roman" w:eastAsia="Times New Roman" w:hint="default"/>
        </w:rPr>
        <w:t>1</w:t>
      </w:r>
      <w:r>
        <w:rPr/>
        <w:t>）本期发生的非同一控制下企业合并</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91"/>
        <w:jc w:val="right"/>
      </w:pPr>
      <w:r>
        <w:rPr/>
        <w:t>单位：</w:t>
      </w:r>
      <w:r>
        <w:rPr>
          <w:spacing w:val="1"/>
        </w:rPr>
        <w:t> </w:t>
      </w:r>
      <w:r>
        <w:rPr/>
        <w:t>元</w:t>
      </w:r>
    </w:p>
    <w:p>
      <w:pPr>
        <w:spacing w:after="0" w:line="240" w:lineRule="auto"/>
        <w:jc w:val="right"/>
        <w:sectPr>
          <w:pgSz w:w="11910" w:h="16840"/>
          <w:pgMar w:header="745" w:footer="979" w:top="1060" w:bottom="1160" w:left="980" w:right="94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064"/>
        <w:gridCol w:w="1063"/>
        <w:gridCol w:w="1066"/>
        <w:gridCol w:w="1063"/>
        <w:gridCol w:w="1063"/>
        <w:gridCol w:w="1066"/>
        <w:gridCol w:w="1061"/>
        <w:gridCol w:w="1064"/>
        <w:gridCol w:w="1061"/>
      </w:tblGrid>
      <w:tr>
        <w:trPr>
          <w:trHeight w:val="1025"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7" w:right="75" w:hanging="361"/>
              <w:jc w:val="left"/>
              <w:rPr>
                <w:rFonts w:ascii="宋体" w:hAnsi="宋体" w:cs="宋体" w:eastAsia="宋体" w:hint="default"/>
                <w:sz w:val="18"/>
                <w:szCs w:val="18"/>
              </w:rPr>
            </w:pPr>
            <w:r>
              <w:rPr>
                <w:rFonts w:ascii="宋体" w:hAnsi="宋体" w:cs="宋体" w:eastAsia="宋体" w:hint="default"/>
                <w:sz w:val="18"/>
                <w:szCs w:val="18"/>
              </w:rPr>
              <w:t>被购买方名 称</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股权取得时 点</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6" w:right="77" w:hanging="360"/>
              <w:jc w:val="left"/>
              <w:rPr>
                <w:rFonts w:ascii="宋体" w:hAnsi="宋体" w:cs="宋体" w:eastAsia="宋体" w:hint="default"/>
                <w:sz w:val="18"/>
                <w:szCs w:val="18"/>
              </w:rPr>
            </w:pPr>
            <w:r>
              <w:rPr>
                <w:rFonts w:ascii="宋体" w:hAnsi="宋体" w:cs="宋体" w:eastAsia="宋体" w:hint="default"/>
                <w:sz w:val="18"/>
                <w:szCs w:val="18"/>
              </w:rPr>
              <w:t>股权取得成 本</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股权取得比 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436" w:right="74" w:hanging="360"/>
              <w:jc w:val="left"/>
              <w:rPr>
                <w:rFonts w:ascii="宋体" w:hAnsi="宋体" w:cs="宋体" w:eastAsia="宋体" w:hint="default"/>
                <w:sz w:val="18"/>
                <w:szCs w:val="18"/>
              </w:rPr>
            </w:pPr>
            <w:r>
              <w:rPr>
                <w:rFonts w:ascii="宋体" w:hAnsi="宋体" w:cs="宋体" w:eastAsia="宋体" w:hint="default"/>
                <w:sz w:val="18"/>
                <w:szCs w:val="18"/>
              </w:rPr>
              <w:t>股权取得方 式</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57"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56" w:right="72" w:hanging="180"/>
              <w:jc w:val="left"/>
              <w:rPr>
                <w:rFonts w:ascii="宋体" w:hAnsi="宋体" w:cs="宋体" w:eastAsia="宋体" w:hint="default"/>
                <w:sz w:val="18"/>
                <w:szCs w:val="18"/>
              </w:rPr>
            </w:pPr>
            <w:r>
              <w:rPr>
                <w:rFonts w:ascii="宋体" w:hAnsi="宋体" w:cs="宋体" w:eastAsia="宋体" w:hint="default"/>
                <w:sz w:val="18"/>
                <w:szCs w:val="18"/>
              </w:rPr>
              <w:t>购买日的确 定依据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6" w:right="75"/>
              <w:jc w:val="center"/>
              <w:rPr>
                <w:rFonts w:ascii="宋体" w:hAnsi="宋体" w:cs="宋体" w:eastAsia="宋体" w:hint="default"/>
                <w:sz w:val="18"/>
                <w:szCs w:val="18"/>
              </w:rPr>
            </w:pPr>
            <w:r>
              <w:rPr>
                <w:rFonts w:ascii="宋体" w:hAnsi="宋体" w:cs="宋体" w:eastAsia="宋体" w:hint="default"/>
                <w:sz w:val="18"/>
                <w:szCs w:val="18"/>
              </w:rPr>
              <w:t>购买日至期 末被购买方 的收入</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76" w:right="72"/>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p>
        </w:tc>
      </w:tr>
      <w:tr>
        <w:trPr>
          <w:trHeight w:val="1027"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24" w:right="129"/>
              <w:jc w:val="left"/>
              <w:rPr>
                <w:rFonts w:ascii="宋体" w:hAnsi="宋体" w:cs="宋体" w:eastAsia="宋体" w:hint="default"/>
                <w:sz w:val="18"/>
                <w:szCs w:val="18"/>
              </w:rPr>
            </w:pPr>
            <w:r>
              <w:rPr>
                <w:rFonts w:ascii="宋体" w:hAnsi="宋体" w:cs="宋体" w:eastAsia="宋体" w:hint="default"/>
                <w:sz w:val="18"/>
                <w:szCs w:val="18"/>
              </w:rPr>
              <w:t>合肥杰发科 技有限公司</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1066"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25"/>
              <w:jc w:val="both"/>
              <w:rPr>
                <w:rFonts w:ascii="宋体" w:hAnsi="宋体" w:cs="宋体" w:eastAsia="宋体" w:hint="default"/>
                <w:sz w:val="18"/>
                <w:szCs w:val="18"/>
              </w:rPr>
            </w:pPr>
            <w:r>
              <w:rPr>
                <w:rFonts w:ascii="宋体" w:hAnsi="宋体" w:cs="宋体" w:eastAsia="宋体" w:hint="default"/>
                <w:sz w:val="18"/>
                <w:szCs w:val="18"/>
              </w:rPr>
              <w:t>完成工商变 更登记和董 事会改选</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517,313,846.</w:t>
            </w:r>
          </w:p>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z w:val="18"/>
              </w:rPr>
              <w:t>94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188,218,419.</w:t>
            </w:r>
          </w:p>
          <w:p>
            <w:pPr>
              <w:pStyle w:val="TableParagraph"/>
              <w:spacing w:line="240" w:lineRule="auto" w:before="102"/>
              <w:ind w:right="17"/>
              <w:jc w:val="right"/>
              <w:rPr>
                <w:rFonts w:ascii="Times New Roman" w:hAnsi="Times New Roman" w:cs="Times New Roman" w:eastAsia="Times New Roman" w:hint="default"/>
                <w:sz w:val="18"/>
                <w:szCs w:val="18"/>
              </w:rPr>
            </w:pPr>
            <w:r>
              <w:rPr>
                <w:rFonts w:ascii="Times New Roman"/>
                <w:sz w:val="18"/>
              </w:rPr>
              <w:t>15</w:t>
            </w:r>
          </w:p>
        </w:tc>
      </w:tr>
    </w:tbl>
    <w:p>
      <w:pPr>
        <w:pStyle w:val="BodyText"/>
        <w:spacing w:line="240" w:lineRule="auto" w:before="49"/>
        <w:ind w:right="0"/>
        <w:jc w:val="left"/>
      </w:pPr>
      <w:r>
        <w:rPr/>
        <w:t>其他说明：</w:t>
      </w:r>
    </w:p>
    <w:p>
      <w:pPr>
        <w:pStyle w:val="BodyText"/>
        <w:spacing w:line="300" w:lineRule="auto" w:before="115"/>
        <w:ind w:right="151" w:firstLine="360"/>
        <w:jc w:val="both"/>
      </w:pPr>
      <w:r>
        <w:rPr/>
        <w:t>杰发科技成立于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31</w:t>
      </w:r>
      <w:r>
        <w:rPr/>
        <w:t>日，初始投资</w:t>
      </w:r>
      <w:r>
        <w:rPr>
          <w:rFonts w:ascii="Times New Roman" w:hAnsi="Times New Roman" w:cs="Times New Roman" w:eastAsia="Times New Roman" w:hint="default"/>
        </w:rPr>
        <w:t>550.00</w:t>
      </w:r>
      <w:r>
        <w:rPr/>
        <w:t>万美元。</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13</w:t>
      </w:r>
      <w:r>
        <w:rPr/>
        <w:t>日，本公司与杰发科技的所有股东签署《发行 股份及支付现金购买资产暨利润补偿协议》，本公司出资</w:t>
      </w:r>
      <w:r>
        <w:rPr>
          <w:rFonts w:ascii="Times New Roman" w:hAnsi="Times New Roman" w:cs="Times New Roman" w:eastAsia="Times New Roman" w:hint="default"/>
        </w:rPr>
        <w:t>387,510.00</w:t>
      </w:r>
      <w:r>
        <w:rPr/>
        <w:t>万元，通过发行股份及支付现金相结合的方式收购杰发</w:t>
      </w:r>
      <w:r>
        <w:rPr>
          <w:spacing w:val="-85"/>
        </w:rPr>
        <w:t> </w:t>
      </w:r>
      <w:r>
        <w:rPr>
          <w:spacing w:val="-85"/>
        </w:rPr>
      </w:r>
      <w:r>
        <w:rPr/>
        <w:t>科技全体股东所持有的</w:t>
      </w:r>
      <w:r>
        <w:rPr>
          <w:rFonts w:ascii="Times New Roman" w:hAnsi="Times New Roman" w:cs="Times New Roman" w:eastAsia="Times New Roman" w:hint="default"/>
        </w:rPr>
        <w:t>100%</w:t>
      </w:r>
      <w:r>
        <w:rPr/>
        <w:t>的股权。</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17</w:t>
      </w:r>
      <w:r>
        <w:rPr/>
        <w:t>日，公司取得证监会就上述交易的核准批复，</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28</w:t>
      </w:r>
      <w:r>
        <w:rPr/>
        <w:t>日杰发科技完</w:t>
      </w:r>
      <w:r>
        <w:rPr>
          <w:spacing w:val="-59"/>
        </w:rPr>
        <w:t> </w:t>
      </w:r>
      <w:r>
        <w:rPr/>
        <w:t>成董事会改选，公司控制了杰发科技的财务和经营政策，</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w:t>
      </w:r>
      <w:r>
        <w:rPr/>
        <w:t>日，公司完成杰发科技</w:t>
      </w:r>
      <w:r>
        <w:rPr>
          <w:rFonts w:ascii="Times New Roman" w:hAnsi="Times New Roman" w:cs="Times New Roman" w:eastAsia="Times New Roman" w:hint="default"/>
        </w:rPr>
        <w:t>100%</w:t>
      </w:r>
      <w:r>
        <w:rPr/>
        <w:t>股权的过户手续及工商变</w:t>
      </w:r>
      <w:r>
        <w:rPr>
          <w:spacing w:val="-63"/>
        </w:rPr>
        <w:t> </w:t>
      </w:r>
      <w:r>
        <w:rPr>
          <w:spacing w:val="-63"/>
        </w:rPr>
      </w:r>
      <w:r>
        <w:rPr/>
        <w:t>更登记，本公司自该日起，将杰发科技纳入合并报表范围。</w:t>
      </w:r>
    </w:p>
    <w:p>
      <w:pPr>
        <w:spacing w:line="240" w:lineRule="auto" w:before="10"/>
        <w:rPr>
          <w:rFonts w:ascii="宋体" w:hAnsi="宋体" w:cs="宋体" w:eastAsia="宋体" w:hint="default"/>
          <w:sz w:val="23"/>
          <w:szCs w:val="23"/>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）合并成本及商誉</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5530"/>
        <w:gridCol w:w="4040"/>
      </w:tblGrid>
      <w:tr>
        <w:trPr>
          <w:trHeight w:val="401"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合并成本</w:t>
            </w:r>
          </w:p>
        </w:tc>
        <w:tc>
          <w:tcPr>
            <w:tcW w:w="40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1115" w:right="0"/>
              <w:jc w:val="left"/>
              <w:rPr>
                <w:rFonts w:ascii="宋体" w:hAnsi="宋体" w:cs="宋体" w:eastAsia="宋体" w:hint="default"/>
                <w:sz w:val="18"/>
                <w:szCs w:val="18"/>
              </w:rPr>
            </w:pPr>
            <w:r>
              <w:rPr>
                <w:rFonts w:ascii="宋体" w:hAnsi="宋体" w:cs="宋体" w:eastAsia="宋体" w:hint="default"/>
                <w:sz w:val="18"/>
                <w:szCs w:val="18"/>
              </w:rPr>
              <w:t>合肥杰发科技有限公司</w:t>
            </w:r>
          </w:p>
        </w:tc>
      </w:tr>
      <w:tr>
        <w:trPr>
          <w:trHeight w:val="403"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3,544,593,290.12</w:t>
            </w:r>
          </w:p>
        </w:tc>
      </w:tr>
      <w:tr>
        <w:trPr>
          <w:trHeight w:val="401"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非现金资产的公允价值</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发行或承担的债务的公允价值</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发行的权益性证券的公允价值</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330,506,709.88</w:t>
            </w:r>
          </w:p>
        </w:tc>
      </w:tr>
      <w:tr>
        <w:trPr>
          <w:trHeight w:val="403"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或有对价的公允价值</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购买日之前持有的股权于购买日的公允价值</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合并成本合计</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3,875,100,000.00</w:t>
            </w:r>
          </w:p>
        </w:tc>
      </w:tr>
      <w:tr>
        <w:trPr>
          <w:trHeight w:val="403"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832,200,494.18</w:t>
            </w:r>
          </w:p>
        </w:tc>
      </w:tr>
      <w:tr>
        <w:trPr>
          <w:trHeight w:val="401" w:hRule="exact"/>
        </w:trPr>
        <w:tc>
          <w:tcPr>
            <w:tcW w:w="5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Times New Roman" w:hAnsi="Times New Roman" w:cs="Times New Roman" w:eastAsia="Times New Roman" w:hint="default"/>
                <w:sz w:val="18"/>
                <w:szCs w:val="18"/>
              </w:rPr>
              <w:t>/</w:t>
            </w:r>
            <w:r>
              <w:rPr>
                <w:rFonts w:ascii="宋体" w:hAnsi="宋体" w:cs="宋体" w:eastAsia="宋体" w:hint="default"/>
                <w:sz w:val="18"/>
                <w:szCs w:val="18"/>
              </w:rPr>
              <w:t>合并成本小于取得的可辨认净资产公允价值份额的金额</w:t>
            </w:r>
          </w:p>
        </w:tc>
        <w:tc>
          <w:tcPr>
            <w:tcW w:w="40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3,042,899,505.82</w:t>
            </w:r>
          </w:p>
        </w:tc>
      </w:tr>
    </w:tbl>
    <w:p>
      <w:pPr>
        <w:pStyle w:val="BodyText"/>
        <w:spacing w:line="240" w:lineRule="auto" w:before="49"/>
        <w:ind w:right="0"/>
        <w:jc w:val="left"/>
      </w:pPr>
      <w:r>
        <w:rPr/>
        <w:t>合并成本公允价值的确定方法、或有对价及其变动的说明：</w:t>
      </w:r>
    </w:p>
    <w:p>
      <w:pPr>
        <w:spacing w:line="240" w:lineRule="auto" w:before="3"/>
        <w:rPr>
          <w:rFonts w:ascii="宋体" w:hAnsi="宋体" w:cs="宋体" w:eastAsia="宋体" w:hint="default"/>
          <w:sz w:val="15"/>
          <w:szCs w:val="15"/>
        </w:rPr>
      </w:pPr>
    </w:p>
    <w:p>
      <w:pPr>
        <w:pStyle w:val="BodyText"/>
        <w:spacing w:line="307" w:lineRule="auto"/>
        <w:ind w:right="148" w:firstLine="439"/>
        <w:jc w:val="both"/>
      </w:pPr>
      <w:r>
        <w:rPr>
          <w:spacing w:val="-5"/>
        </w:rPr>
        <w:t>根据北京中同华资产评估有限公司出具的中同华评报字（</w:t>
      </w:r>
      <w:r>
        <w:rPr>
          <w:rFonts w:ascii="Times New Roman" w:hAnsi="Times New Roman" w:cs="Times New Roman" w:eastAsia="Times New Roman" w:hint="default"/>
          <w:spacing w:val="-5"/>
        </w:rPr>
        <w:t>2016</w:t>
      </w:r>
      <w:r>
        <w:rPr>
          <w:spacing w:val="-5"/>
        </w:rPr>
        <w:t>）第</w:t>
      </w:r>
      <w:r>
        <w:rPr>
          <w:rFonts w:ascii="Times New Roman" w:hAnsi="Times New Roman" w:cs="Times New Roman" w:eastAsia="Times New Roman" w:hint="default"/>
          <w:spacing w:val="-5"/>
        </w:rPr>
        <w:t>173</w:t>
      </w:r>
      <w:r>
        <w:rPr>
          <w:spacing w:val="-5"/>
        </w:rPr>
        <w:t>号资产评估报告书，以</w:t>
      </w:r>
      <w:r>
        <w:rPr>
          <w:rFonts w:ascii="Times New Roman" w:hAnsi="Times New Roman" w:cs="Times New Roman" w:eastAsia="Times New Roman" w:hint="default"/>
          <w:spacing w:val="-5"/>
        </w:rPr>
        <w:t>2015</w:t>
      </w:r>
      <w:r>
        <w:rPr>
          <w:spacing w:val="-5"/>
        </w:rPr>
        <w:t>年</w:t>
      </w:r>
      <w:r>
        <w:rPr>
          <w:rFonts w:ascii="Times New Roman" w:hAnsi="Times New Roman" w:cs="Times New Roman" w:eastAsia="Times New Roman" w:hint="default"/>
          <w:spacing w:val="-5"/>
        </w:rPr>
        <w:t>11</w:t>
      </w:r>
      <w:r>
        <w:rPr>
          <w:spacing w:val="-5"/>
        </w:rPr>
        <w:t>月</w:t>
      </w:r>
      <w:r>
        <w:rPr>
          <w:rFonts w:ascii="Times New Roman" w:hAnsi="Times New Roman" w:cs="Times New Roman" w:eastAsia="Times New Roman" w:hint="default"/>
          <w:spacing w:val="-5"/>
        </w:rPr>
        <w:t>30</w:t>
      </w:r>
      <w:r>
        <w:rPr>
          <w:spacing w:val="-5"/>
        </w:rPr>
        <w:t>日为基准日，</w:t>
      </w:r>
      <w:r>
        <w:rPr/>
        <w:t> </w:t>
      </w:r>
      <w:r>
        <w:rPr>
          <w:spacing w:val="-2"/>
        </w:rPr>
        <w:t>北京中同华资产评估有限公司分别采用收益法和资产基础法两种方法对杰发科技的股东全部权益价值进行了评估，并选取收</w:t>
      </w:r>
      <w:r>
        <w:rPr>
          <w:spacing w:val="-64"/>
        </w:rPr>
        <w:t> </w:t>
      </w:r>
      <w:r>
        <w:rPr>
          <w:spacing w:val="-64"/>
        </w:rPr>
      </w:r>
      <w:r>
        <w:rPr/>
        <w:t>益法评估结果</w:t>
      </w:r>
      <w:r>
        <w:rPr>
          <w:rFonts w:ascii="Times New Roman" w:hAnsi="Times New Roman" w:cs="Times New Roman" w:eastAsia="Times New Roman" w:hint="default"/>
        </w:rPr>
        <w:t>386,650.00</w:t>
      </w:r>
      <w:r>
        <w:rPr/>
        <w:t>万元作为最终评估结果。</w:t>
      </w:r>
    </w:p>
    <w:p>
      <w:pPr>
        <w:pStyle w:val="BodyText"/>
        <w:spacing w:line="300" w:lineRule="auto" w:before="127"/>
        <w:ind w:right="151" w:firstLine="439"/>
        <w:jc w:val="both"/>
      </w:pPr>
      <w:r>
        <w:rPr/>
        <w:t>同时，结合</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28</w:t>
      </w:r>
      <w:r>
        <w:rPr/>
        <w:t>日杰发科技股东新增出资情况，经交易双方协商交易价格确定为</w:t>
      </w:r>
      <w:r>
        <w:rPr>
          <w:rFonts w:ascii="Times New Roman" w:hAnsi="Times New Roman" w:cs="Times New Roman" w:eastAsia="Times New Roman" w:hint="default"/>
        </w:rPr>
        <w:t>387,510.00</w:t>
      </w:r>
      <w:r>
        <w:rPr/>
        <w:t>万元。同时根据交 易双方签署的《资产购买协议》，收购杰发科技的对价会因杰发科技</w:t>
      </w:r>
      <w:r>
        <w:rPr>
          <w:rFonts w:ascii="Times New Roman" w:hAnsi="Times New Roman" w:cs="Times New Roman" w:eastAsia="Times New Roman" w:hint="default"/>
        </w:rPr>
        <w:t>2016</w:t>
      </w:r>
      <w:r>
        <w:rPr/>
        <w:t>至</w:t>
      </w:r>
      <w:r>
        <w:rPr>
          <w:rFonts w:ascii="Times New Roman" w:hAnsi="Times New Roman" w:cs="Times New Roman" w:eastAsia="Times New Roman" w:hint="default"/>
        </w:rPr>
        <w:t>2018</w:t>
      </w:r>
      <w:r>
        <w:rPr/>
        <w:t>年税后净利润的实现情况进行调整。</w:t>
      </w:r>
    </w:p>
    <w:p>
      <w:pPr>
        <w:pStyle w:val="BodyText"/>
        <w:spacing w:line="300" w:lineRule="auto" w:before="133"/>
        <w:ind w:right="149" w:firstLine="439"/>
        <w:jc w:val="both"/>
      </w:pPr>
      <w:r>
        <w:rPr/>
        <w:t>根据上述协议约定，杰发科技原有股东承诺：杰发科技</w:t>
      </w:r>
      <w:r>
        <w:rPr>
          <w:rFonts w:ascii="Times New Roman" w:hAnsi="Times New Roman" w:cs="Times New Roman" w:eastAsia="Times New Roman" w:hint="default"/>
        </w:rPr>
        <w:t>2016</w:t>
      </w:r>
      <w:r>
        <w:rPr/>
        <w:t>年至</w:t>
      </w:r>
      <w:r>
        <w:rPr>
          <w:rFonts w:ascii="Times New Roman" w:hAnsi="Times New Roman" w:cs="Times New Roman" w:eastAsia="Times New Roman" w:hint="default"/>
        </w:rPr>
        <w:t>2018</w:t>
      </w:r>
      <w:r>
        <w:rPr/>
        <w:t>年（下称</w:t>
      </w:r>
      <w:r>
        <w:rPr>
          <w:rFonts w:ascii="Times New Roman" w:hAnsi="Times New Roman" w:cs="Times New Roman" w:eastAsia="Times New Roman" w:hint="default"/>
        </w:rPr>
        <w:t>“</w:t>
      </w:r>
      <w:r>
        <w:rPr/>
        <w:t>业绩承诺期间</w:t>
      </w:r>
      <w:r>
        <w:rPr>
          <w:rFonts w:ascii="Times New Roman" w:hAnsi="Times New Roman" w:cs="Times New Roman" w:eastAsia="Times New Roman" w:hint="default"/>
        </w:rPr>
        <w:t>”</w:t>
      </w:r>
      <w:r>
        <w:rPr/>
        <w:t>）实现的年度税后净利 润分别为：</w:t>
      </w:r>
      <w:r>
        <w:rPr>
          <w:rFonts w:ascii="Times New Roman" w:hAnsi="Times New Roman" w:cs="Times New Roman" w:eastAsia="Times New Roman" w:hint="default"/>
        </w:rPr>
        <w:t>18,665.07</w:t>
      </w:r>
      <w:r>
        <w:rPr/>
        <w:t>万元、</w:t>
      </w:r>
      <w:r>
        <w:rPr>
          <w:rFonts w:ascii="Times New Roman" w:hAnsi="Times New Roman" w:cs="Times New Roman" w:eastAsia="Times New Roman" w:hint="default"/>
        </w:rPr>
        <w:t>22,798.51</w:t>
      </w:r>
      <w:r>
        <w:rPr/>
        <w:t>万元和</w:t>
      </w:r>
      <w:r>
        <w:rPr>
          <w:rFonts w:ascii="Times New Roman" w:hAnsi="Times New Roman" w:cs="Times New Roman" w:eastAsia="Times New Roman" w:hint="default"/>
        </w:rPr>
        <w:t>30,290.37</w:t>
      </w:r>
      <w:r>
        <w:rPr/>
        <w:t>万元，三年合计税后净利润为</w:t>
      </w:r>
      <w:r>
        <w:rPr>
          <w:rFonts w:ascii="Times New Roman" w:hAnsi="Times New Roman" w:cs="Times New Roman" w:eastAsia="Times New Roman" w:hint="default"/>
        </w:rPr>
        <w:t>71,753.94</w:t>
      </w:r>
      <w:r>
        <w:rPr/>
        <w:t>万元（下称</w:t>
      </w:r>
      <w:r>
        <w:rPr>
          <w:rFonts w:ascii="Times New Roman" w:hAnsi="Times New Roman" w:cs="Times New Roman" w:eastAsia="Times New Roman" w:hint="default"/>
        </w:rPr>
        <w:t>“</w:t>
      </w:r>
      <w:r>
        <w:rPr/>
        <w:t>三年预测累计税后</w:t>
      </w:r>
      <w:r>
        <w:rPr>
          <w:spacing w:val="-85"/>
        </w:rPr>
        <w:t> </w:t>
      </w:r>
      <w:r>
        <w:rPr>
          <w:spacing w:val="-85"/>
        </w:rPr>
      </w:r>
      <w:r>
        <w:rPr/>
        <w:t>净利润</w:t>
      </w:r>
      <w:r>
        <w:rPr>
          <w:rFonts w:ascii="Times New Roman" w:hAnsi="Times New Roman" w:cs="Times New Roman" w:eastAsia="Times New Roman" w:hint="default"/>
        </w:rPr>
        <w:t>”</w:t>
      </w:r>
      <w:r>
        <w:rPr/>
        <w:t>），若实际盈利情况未及上述数据的，则杰发科技原有股东以</w:t>
      </w:r>
      <w:r>
        <w:rPr>
          <w:rFonts w:ascii="Times New Roman" w:hAnsi="Times New Roman" w:cs="Times New Roman" w:eastAsia="Times New Roman" w:hint="default"/>
        </w:rPr>
        <w:t>64,585.00</w:t>
      </w:r>
      <w:r>
        <w:rPr/>
        <w:t>万元为限进行补偿；若业绩承诺期间内杰发</w:t>
      </w:r>
      <w:r>
        <w:rPr>
          <w:spacing w:val="-76"/>
        </w:rPr>
        <w:t> </w:t>
      </w:r>
      <w:r>
        <w:rPr>
          <w:spacing w:val="-76"/>
        </w:rPr>
      </w:r>
      <w:r>
        <w:rPr>
          <w:spacing w:val="-2"/>
        </w:rPr>
        <w:t>科技三年预测累计税后净利润超过</w:t>
      </w:r>
      <w:r>
        <w:rPr>
          <w:rFonts w:ascii="Times New Roman" w:hAnsi="Times New Roman" w:cs="Times New Roman" w:eastAsia="Times New Roman" w:hint="default"/>
          <w:spacing w:val="-2"/>
        </w:rPr>
        <w:t>71,753.94</w:t>
      </w:r>
      <w:r>
        <w:rPr>
          <w:spacing w:val="-2"/>
        </w:rPr>
        <w:t>万元的，则公司应当根据超额业绩情况对本次交易的对价进行调整（即追加支付</w:t>
      </w:r>
      <w:r>
        <w:rPr>
          <w:spacing w:val="-56"/>
        </w:rPr>
        <w:t> </w:t>
      </w:r>
      <w:r>
        <w:rPr>
          <w:spacing w:val="-56"/>
        </w:rPr>
      </w:r>
      <w:r>
        <w:rPr/>
        <w:t>一笔现金对价），公司应实际支付的股权转让对价总额将调整为：交易基准对价</w:t>
      </w:r>
      <w:r>
        <w:rPr>
          <w:rFonts w:ascii="Times New Roman" w:hAnsi="Times New Roman" w:cs="Times New Roman" w:eastAsia="Times New Roman" w:hint="default"/>
        </w:rPr>
        <w:t>387,510.00</w:t>
      </w:r>
      <w:r>
        <w:rPr/>
        <w:t>万元</w:t>
      </w:r>
      <w:r>
        <w:rPr>
          <w:rFonts w:ascii="Times New Roman" w:hAnsi="Times New Roman" w:cs="Times New Roman" w:eastAsia="Times New Roman" w:hint="default"/>
        </w:rPr>
        <w:t>×</w:t>
      </w:r>
      <w:r>
        <w:rPr/>
        <w:t>三年实现累计税后净利润</w:t>
      </w:r>
      <w:r>
        <w:rPr>
          <w:rFonts w:ascii="Times New Roman" w:hAnsi="Times New Roman" w:cs="Times New Roman" w:eastAsia="Times New Roman" w:hint="default"/>
        </w:rPr>
        <w:t>/</w:t>
      </w:r>
      <w:r>
        <w:rPr>
          <w:rFonts w:ascii="Times New Roman" w:hAnsi="Times New Roman" w:cs="Times New Roman" w:eastAsia="Times New Roman" w:hint="default"/>
          <w:spacing w:val="-12"/>
        </w:rPr>
        <w:t> </w:t>
      </w:r>
      <w:r>
        <w:rPr/>
        <w:t>三年预测累计税后净利润，股权转让对价调增金额最高不得超过</w:t>
      </w:r>
      <w:r>
        <w:rPr>
          <w:rFonts w:ascii="Times New Roman" w:hAnsi="Times New Roman" w:cs="Times New Roman" w:eastAsia="Times New Roman" w:hint="default"/>
        </w:rPr>
        <w:t>64,585.00</w:t>
      </w:r>
      <w:r>
        <w:rPr/>
        <w:t>万元。</w:t>
      </w:r>
    </w:p>
    <w:p>
      <w:pPr>
        <w:spacing w:after="0" w:line="300" w:lineRule="auto"/>
        <w:jc w:val="both"/>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240" w:lineRule="auto" w:before="44"/>
        <w:ind w:right="94"/>
        <w:jc w:val="left"/>
      </w:pPr>
      <w:r>
        <w:rPr/>
        <w:t>大额商誉形成的主要原因：</w:t>
      </w:r>
    </w:p>
    <w:p>
      <w:pPr>
        <w:spacing w:line="240" w:lineRule="auto" w:before="3"/>
        <w:rPr>
          <w:rFonts w:ascii="宋体" w:hAnsi="宋体" w:cs="宋体" w:eastAsia="宋体" w:hint="default"/>
          <w:sz w:val="15"/>
          <w:szCs w:val="15"/>
        </w:rPr>
      </w:pPr>
    </w:p>
    <w:p>
      <w:pPr>
        <w:pStyle w:val="BodyText"/>
        <w:spacing w:line="240" w:lineRule="auto"/>
        <w:ind w:left="592" w:right="94"/>
        <w:jc w:val="left"/>
      </w:pPr>
      <w:r>
        <w:rPr>
          <w:spacing w:val="7"/>
        </w:rPr>
        <w:t>商誉是企业合并成本大于合并中取得的被购买方可辨认净资产公允价值份额的差额，由于收购杰发科技合并成本</w:t>
      </w:r>
    </w:p>
    <w:p>
      <w:pPr>
        <w:pStyle w:val="BodyText"/>
        <w:spacing w:line="240" w:lineRule="auto" w:before="74"/>
        <w:ind w:right="94"/>
        <w:jc w:val="left"/>
      </w:pPr>
      <w:r>
        <w:rPr>
          <w:rFonts w:ascii="Times New Roman" w:hAnsi="Times New Roman" w:cs="Times New Roman" w:eastAsia="Times New Roman" w:hint="default"/>
        </w:rPr>
        <w:t>387,510.00</w:t>
      </w:r>
      <w:r>
        <w:rPr/>
        <w:t>万元，远大于杰发科技可辨认净资产的公允价值</w:t>
      </w:r>
      <w:r>
        <w:rPr>
          <w:rFonts w:ascii="Times New Roman" w:hAnsi="Times New Roman" w:cs="Times New Roman" w:eastAsia="Times New Roman" w:hint="default"/>
        </w:rPr>
        <w:t>83,220.05</w:t>
      </w:r>
      <w:r>
        <w:rPr/>
        <w:t>万元，因而导致商誉金额较大。</w:t>
      </w:r>
    </w:p>
    <w:p>
      <w:pPr>
        <w:spacing w:line="240" w:lineRule="auto" w:before="13"/>
        <w:rPr>
          <w:rFonts w:ascii="宋体" w:hAnsi="宋体" w:cs="宋体" w:eastAsia="宋体" w:hint="default"/>
          <w:sz w:val="13"/>
          <w:szCs w:val="13"/>
        </w:rPr>
      </w:pPr>
    </w:p>
    <w:p>
      <w:pPr>
        <w:pStyle w:val="BodyText"/>
        <w:spacing w:line="312" w:lineRule="auto"/>
        <w:ind w:right="107" w:firstLine="439"/>
        <w:jc w:val="both"/>
      </w:pPr>
      <w:r>
        <w:rPr/>
        <w:t>由于杰发科技产品生产采用</w:t>
      </w:r>
      <w:r>
        <w:rPr>
          <w:rFonts w:ascii="Times New Roman" w:hAnsi="Times New Roman" w:cs="Times New Roman" w:eastAsia="Times New Roman" w:hint="default"/>
        </w:rPr>
        <w:t>Fabless</w:t>
      </w:r>
      <w:r>
        <w:rPr/>
        <w:t>模式，使得杰发科技具有</w:t>
      </w:r>
      <w:r>
        <w:rPr>
          <w:rFonts w:ascii="Times New Roman" w:hAnsi="Times New Roman" w:cs="Times New Roman" w:eastAsia="Times New Roman" w:hint="default"/>
        </w:rPr>
        <w:t>“</w:t>
      </w:r>
      <w:r>
        <w:rPr/>
        <w:t>轻资产</w:t>
      </w:r>
      <w:r>
        <w:rPr>
          <w:rFonts w:ascii="Times New Roman" w:hAnsi="Times New Roman" w:cs="Times New Roman" w:eastAsia="Times New Roman" w:hint="default"/>
        </w:rPr>
        <w:t>”</w:t>
      </w:r>
      <w:r>
        <w:rPr/>
        <w:t>的特点，其主要价值除了固定资产、营运资金及 </w:t>
      </w:r>
      <w:r>
        <w:rPr>
          <w:spacing w:val="-2"/>
        </w:rPr>
        <w:t>可确指的无形资产之外，还包括服务能力、经营理念、管理经验、人才团队优势等重要的不可辨认的资源价值，该类不可辨</w:t>
      </w:r>
      <w:r>
        <w:rPr>
          <w:spacing w:val="-67"/>
        </w:rPr>
        <w:t> </w:t>
      </w:r>
      <w:r>
        <w:rPr>
          <w:spacing w:val="-67"/>
        </w:rPr>
      </w:r>
      <w:r>
        <w:rPr>
          <w:spacing w:val="-2"/>
        </w:rPr>
        <w:t>认的资源也成为企业高速发展的动力引擎，这些要素配合企业所拥有的各项固定资产、营运资金等其他要素产生综合协同效</w:t>
      </w:r>
      <w:r>
        <w:rPr>
          <w:spacing w:val="-64"/>
        </w:rPr>
        <w:t> </w:t>
      </w:r>
      <w:r>
        <w:rPr>
          <w:spacing w:val="-64"/>
        </w:rPr>
      </w:r>
      <w:r>
        <w:rPr/>
        <w:t>应，是构成企业价值的重要组成部分，比如：专业资质影响力、产品市场竞争力、技术开发能力、经营理念和管理团队等。</w:t>
      </w:r>
    </w:p>
    <w:p>
      <w:pPr>
        <w:pStyle w:val="BodyText"/>
        <w:spacing w:line="432" w:lineRule="exact" w:before="7"/>
        <w:ind w:left="592" w:right="194"/>
        <w:jc w:val="left"/>
      </w:pPr>
      <w:r>
        <w:rPr/>
        <w:t>此外，杰发科技和公司的业务优势互补，在客户与市场方面、产品与技术方面具有较强的协同效应。 上述核心要素可以给公司带来竞争优势和良好的效益，是企业价值的组成部分，但在财务上均无法单独辨认并确认为</w:t>
      </w:r>
    </w:p>
    <w:p>
      <w:pPr>
        <w:pStyle w:val="BodyText"/>
        <w:spacing w:line="240" w:lineRule="auto" w:before="15"/>
        <w:ind w:right="94"/>
        <w:jc w:val="left"/>
      </w:pPr>
      <w:r>
        <w:rPr/>
        <w:t>资产，在公司的合并财务报表中确认为商誉。</w:t>
      </w:r>
    </w:p>
    <w:p>
      <w:pPr>
        <w:spacing w:line="240" w:lineRule="auto" w:before="0"/>
        <w:rPr>
          <w:rFonts w:ascii="宋体" w:hAnsi="宋体" w:cs="宋体" w:eastAsia="宋体" w:hint="default"/>
          <w:sz w:val="18"/>
          <w:szCs w:val="18"/>
        </w:rPr>
      </w:pPr>
    </w:p>
    <w:p>
      <w:pPr>
        <w:pStyle w:val="Heading5"/>
        <w:spacing w:line="240" w:lineRule="auto" w:before="121"/>
        <w:ind w:right="94"/>
        <w:jc w:val="left"/>
        <w:rPr>
          <w:b w:val="0"/>
          <w:bCs w:val="0"/>
        </w:rPr>
      </w:pPr>
      <w:r>
        <w:rPr/>
        <w:t>（</w:t>
      </w:r>
      <w:r>
        <w:rPr>
          <w:rFonts w:ascii="Times New Roman" w:hAnsi="Times New Roman" w:cs="Times New Roman" w:eastAsia="Times New Roman" w:hint="default"/>
        </w:rPr>
        <w:t>3</w:t>
      </w:r>
      <w:r>
        <w:rPr/>
        <w:t>）被购买方于购买日可辨认资产、负债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19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91"/>
        <w:gridCol w:w="3190"/>
        <w:gridCol w:w="3193"/>
      </w:tblGrid>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38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合肥杰发科技有限公司</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6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959"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212,362,893.06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212,362,893.06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58,176,002.95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58,176,002.95</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78,384,677.20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58,102,197.86</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7,751,090.00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6,894,448.72</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181,980,008.19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14,683,581.23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441,811,810.83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441,811,810.83</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1,919,802.43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1,919,802.43</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7,900,445.39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7,900,445.39</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借款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144,386,235.87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144,386,235.87</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13,700,000.00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13,700,000.00</w:t>
            </w:r>
          </w:p>
        </w:tc>
      </w:tr>
      <w:tr>
        <w:trPr>
          <w:trHeight w:val="404"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832,200,494.18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643,764,946.60</w:t>
            </w:r>
          </w:p>
        </w:tc>
      </w:tr>
      <w:tr>
        <w:trPr>
          <w:trHeight w:val="401" w:hRule="exact"/>
        </w:trPr>
        <w:tc>
          <w:tcPr>
            <w:tcW w:w="31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减：少数股东权益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取得的净资产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832,200,494.18</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643,764,946.60</w:t>
            </w:r>
          </w:p>
        </w:tc>
      </w:tr>
    </w:tbl>
    <w:p>
      <w:pPr>
        <w:pStyle w:val="BodyText"/>
        <w:spacing w:line="240" w:lineRule="auto" w:before="49"/>
        <w:ind w:right="94"/>
        <w:jc w:val="left"/>
      </w:pPr>
      <w:r>
        <w:rPr/>
        <w:t>可辨认资产、负债公允价值的确定方法：</w:t>
      </w:r>
    </w:p>
    <w:p>
      <w:pPr>
        <w:spacing w:line="240" w:lineRule="auto" w:before="0"/>
        <w:rPr>
          <w:rFonts w:ascii="宋体" w:hAnsi="宋体" w:cs="宋体" w:eastAsia="宋体" w:hint="default"/>
          <w:sz w:val="15"/>
          <w:szCs w:val="15"/>
        </w:rPr>
      </w:pPr>
    </w:p>
    <w:p>
      <w:pPr>
        <w:pStyle w:val="BodyText"/>
        <w:spacing w:line="240" w:lineRule="auto"/>
        <w:ind w:left="592" w:right="0"/>
        <w:jc w:val="left"/>
      </w:pPr>
      <w:r>
        <w:rPr/>
        <w:t>杰发科技可辨认资产、负债的公允价值经北京中同华资产评估有限公司于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日出具中同华评报字（</w:t>
      </w:r>
      <w:r>
        <w:rPr>
          <w:rFonts w:ascii="Times New Roman" w:hAnsi="Times New Roman" w:cs="Times New Roman" w:eastAsia="Times New Roman" w:hint="default"/>
        </w:rPr>
        <w:t>2017</w:t>
      </w:r>
      <w:r>
        <w:rPr/>
        <w:t>）第</w:t>
      </w:r>
    </w:p>
    <w:p>
      <w:pPr>
        <w:pStyle w:val="BodyText"/>
        <w:spacing w:line="240" w:lineRule="auto" w:before="63"/>
        <w:ind w:right="94"/>
        <w:jc w:val="left"/>
      </w:pPr>
      <w:r>
        <w:rPr>
          <w:rFonts w:ascii="Times New Roman" w:hAnsi="Times New Roman" w:cs="Times New Roman" w:eastAsia="Times New Roman" w:hint="default"/>
        </w:rPr>
        <w:t>576</w:t>
      </w:r>
      <w:r>
        <w:rPr/>
        <w:t>号资产评估报告书为基础确认。</w:t>
      </w:r>
    </w:p>
    <w:p>
      <w:pPr>
        <w:spacing w:line="240" w:lineRule="auto" w:before="13"/>
        <w:rPr>
          <w:rFonts w:ascii="宋体" w:hAnsi="宋体" w:cs="宋体" w:eastAsia="宋体" w:hint="default"/>
          <w:sz w:val="13"/>
          <w:szCs w:val="13"/>
        </w:rPr>
      </w:pPr>
    </w:p>
    <w:p>
      <w:pPr>
        <w:pStyle w:val="BodyText"/>
        <w:spacing w:line="357" w:lineRule="auto"/>
        <w:ind w:right="6574"/>
        <w:jc w:val="left"/>
      </w:pPr>
      <w:r>
        <w:rPr/>
        <w:t>企业合并中承担的被购买方的或有负债： 无</w:t>
      </w:r>
    </w:p>
    <w:p>
      <w:pPr>
        <w:pStyle w:val="BodyText"/>
        <w:spacing w:line="240" w:lineRule="auto" w:before="29"/>
        <w:ind w:right="94"/>
        <w:jc w:val="left"/>
      </w:pPr>
      <w:r>
        <w:rPr/>
        <w:t>其他说明：</w:t>
      </w:r>
    </w:p>
    <w:p>
      <w:pPr>
        <w:spacing w:after="0" w:line="240" w:lineRule="auto"/>
        <w:jc w:val="left"/>
        <w:sectPr>
          <w:footerReference w:type="default" r:id="rId47"/>
          <w:pgSz w:w="11910" w:h="16840"/>
          <w:pgMar w:footer="979" w:header="745" w:top="1060" w:bottom="1160" w:left="980" w:right="940"/>
          <w:pgNumType w:start="190"/>
        </w:sectPr>
      </w:pPr>
    </w:p>
    <w:p>
      <w:pPr>
        <w:spacing w:line="240" w:lineRule="auto" w:before="9"/>
        <w:rPr>
          <w:rFonts w:ascii="宋体" w:hAnsi="宋体" w:cs="宋体" w:eastAsia="宋体" w:hint="default"/>
          <w:sz w:val="25"/>
          <w:szCs w:val="25"/>
        </w:rPr>
      </w:pPr>
    </w:p>
    <w:p>
      <w:pPr>
        <w:pStyle w:val="BodyText"/>
        <w:spacing w:line="240" w:lineRule="auto" w:before="44"/>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4</w:t>
      </w:r>
      <w:r>
        <w:rPr/>
        <w:t>）购买日之前持有的股权按照公允价值重新计量产生的利得或损失</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是否存在通过多次交易分步实现企业合并且在报告期内取得控制权的交易</w:t>
      </w:r>
    </w:p>
    <w:p>
      <w:pPr>
        <w:pStyle w:val="BodyText"/>
        <w:spacing w:line="240" w:lineRule="auto" w:before="115"/>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t>（</w:t>
      </w:r>
      <w:r>
        <w:rPr>
          <w:rFonts w:ascii="Times New Roman" w:hAnsi="Times New Roman" w:cs="Times New Roman" w:eastAsia="Times New Roman" w:hint="default"/>
        </w:rPr>
        <w:t>5</w:t>
      </w:r>
      <w:r>
        <w:rPr/>
        <w:t>）购买日或合并当期期末无法合理确定合并对价或被购买方可辨认资产、负债公允价值的相关说明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6</w:t>
      </w:r>
      <w:r>
        <w:rPr/>
        <w:t>）其他说明</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2</w:t>
      </w:r>
      <w:r>
        <w:rPr/>
        <w:t>、同一控制下企业合并</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）本期发生的同一控制下企业合并</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2</w:t>
      </w:r>
      <w:r>
        <w:rPr/>
        <w:t>）合并成本</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3</w:t>
      </w:r>
      <w:r>
        <w:rPr/>
        <w:t>）合并日被合并方资产、负债的账面价值</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3</w:t>
      </w:r>
      <w:r>
        <w:rPr/>
        <w:t>、反向购买</w:t>
      </w:r>
      <w:r>
        <w:rPr>
          <w:b w:val="0"/>
          <w:bCs w:val="0"/>
        </w:rPr>
      </w:r>
    </w:p>
    <w:p>
      <w:pPr>
        <w:spacing w:line="240" w:lineRule="auto" w:before="4"/>
        <w:rPr>
          <w:rFonts w:ascii="宋体" w:hAnsi="宋体" w:cs="宋体" w:eastAsia="宋体" w:hint="default"/>
          <w:b/>
          <w:bCs/>
          <w:sz w:val="26"/>
          <w:szCs w:val="26"/>
        </w:rPr>
      </w:pPr>
    </w:p>
    <w:p>
      <w:pPr>
        <w:pStyle w:val="BodyText"/>
        <w:spacing w:line="316" w:lineRule="auto"/>
        <w:ind w:right="0"/>
        <w:jc w:val="left"/>
      </w:pPr>
      <w:r>
        <w:rPr>
          <w:spacing w:val="-2"/>
        </w:rPr>
        <w:t>交易基本信息、交易构成反向购买的依据、上市公司保留的资产、负债是否构成业务及其依据、合并成本的确定、按照权益</w:t>
      </w:r>
      <w:r>
        <w:rPr>
          <w:spacing w:val="-67"/>
        </w:rPr>
        <w:t> </w:t>
      </w:r>
      <w:r>
        <w:rPr>
          <w:spacing w:val="-67"/>
        </w:rPr>
      </w:r>
      <w:r>
        <w:rPr/>
        <w:t>性交易处理时调整权益的金额及其计算：</w:t>
      </w:r>
    </w:p>
    <w:p>
      <w:pPr>
        <w:pStyle w:val="BodyText"/>
        <w:spacing w:line="240" w:lineRule="auto" w:before="59"/>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1"/>
        <w:ind w:right="0"/>
        <w:jc w:val="left"/>
        <w:rPr>
          <w:b w:val="0"/>
          <w:bCs w:val="0"/>
        </w:rPr>
      </w:pPr>
      <w:r>
        <w:rPr>
          <w:rFonts w:ascii="Times New Roman" w:hAnsi="Times New Roman" w:cs="Times New Roman" w:eastAsia="Times New Roman" w:hint="default"/>
        </w:rPr>
        <w:t>4</w:t>
      </w:r>
      <w:r>
        <w:rPr/>
        <w:t>、处置子公司</w:t>
      </w:r>
      <w:r>
        <w:rPr>
          <w:b w:val="0"/>
          <w:bCs w:val="0"/>
        </w:rPr>
      </w:r>
    </w:p>
    <w:p>
      <w:pPr>
        <w:spacing w:line="240" w:lineRule="auto" w:before="10"/>
        <w:rPr>
          <w:rFonts w:ascii="宋体" w:hAnsi="宋体" w:cs="宋体" w:eastAsia="宋体" w:hint="default"/>
          <w:b/>
          <w:bCs/>
          <w:sz w:val="22"/>
          <w:szCs w:val="22"/>
        </w:rPr>
      </w:pPr>
    </w:p>
    <w:p>
      <w:pPr>
        <w:spacing w:after="0" w:line="240" w:lineRule="auto"/>
        <w:rPr>
          <w:rFonts w:ascii="宋体" w:hAnsi="宋体" w:cs="宋体" w:eastAsia="宋体" w:hint="default"/>
          <w:sz w:val="22"/>
          <w:szCs w:val="22"/>
        </w:rPr>
        <w:sectPr>
          <w:pgSz w:w="11910" w:h="16840"/>
          <w:pgMar w:header="745" w:footer="979" w:top="1060" w:bottom="1160" w:left="980" w:right="980"/>
        </w:sectPr>
      </w:pPr>
    </w:p>
    <w:p>
      <w:pPr>
        <w:pStyle w:val="BodyText"/>
        <w:spacing w:line="240" w:lineRule="auto" w:before="44"/>
        <w:ind w:right="-20"/>
        <w:jc w:val="left"/>
      </w:pPr>
      <w:r>
        <w:rPr/>
        <w:t>是否存在单次处置对子公司投资即丧失控制权的情形</w:t>
      </w:r>
    </w:p>
    <w:p>
      <w:pPr>
        <w:pStyle w:val="BodyText"/>
        <w:spacing w:line="240" w:lineRule="auto" w:before="117"/>
        <w:ind w:right="-2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980"/>
          <w:cols w:num="2" w:equalWidth="0">
            <w:col w:w="4293" w:space="4536"/>
            <w:col w:w="1121"/>
          </w:cols>
        </w:sectPr>
      </w:pP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6"/>
        <w:gridCol w:w="734"/>
        <w:gridCol w:w="737"/>
        <w:gridCol w:w="735"/>
        <w:gridCol w:w="737"/>
        <w:gridCol w:w="734"/>
        <w:gridCol w:w="734"/>
        <w:gridCol w:w="735"/>
        <w:gridCol w:w="737"/>
        <w:gridCol w:w="737"/>
        <w:gridCol w:w="737"/>
        <w:gridCol w:w="734"/>
        <w:gridCol w:w="737"/>
      </w:tblGrid>
      <w:tr>
        <w:trPr>
          <w:trHeight w:val="1339" w:hRule="exact"/>
        </w:trPr>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81" w:right="92"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93" w:right="89"/>
              <w:jc w:val="left"/>
              <w:rPr>
                <w:rFonts w:ascii="宋体" w:hAnsi="宋体" w:cs="宋体" w:eastAsia="宋体" w:hint="default"/>
                <w:sz w:val="18"/>
                <w:szCs w:val="18"/>
              </w:rPr>
            </w:pPr>
            <w:r>
              <w:rPr>
                <w:rFonts w:ascii="宋体" w:hAnsi="宋体" w:cs="宋体" w:eastAsia="宋体" w:hint="default"/>
                <w:sz w:val="18"/>
                <w:szCs w:val="18"/>
              </w:rPr>
              <w:t>股权处 置价款</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93" w:right="91"/>
              <w:jc w:val="left"/>
              <w:rPr>
                <w:rFonts w:ascii="宋体" w:hAnsi="宋体" w:cs="宋体" w:eastAsia="宋体" w:hint="default"/>
                <w:sz w:val="18"/>
                <w:szCs w:val="18"/>
              </w:rPr>
            </w:pPr>
            <w:r>
              <w:rPr>
                <w:rFonts w:ascii="宋体" w:hAnsi="宋体" w:cs="宋体" w:eastAsia="宋体" w:hint="default"/>
                <w:sz w:val="18"/>
                <w:szCs w:val="18"/>
              </w:rPr>
              <w:t>股权处 置比例</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93" w:right="89"/>
              <w:jc w:val="left"/>
              <w:rPr>
                <w:rFonts w:ascii="宋体" w:hAnsi="宋体" w:cs="宋体" w:eastAsia="宋体" w:hint="default"/>
                <w:sz w:val="18"/>
                <w:szCs w:val="18"/>
              </w:rPr>
            </w:pPr>
            <w:r>
              <w:rPr>
                <w:rFonts w:ascii="宋体" w:hAnsi="宋体" w:cs="宋体" w:eastAsia="宋体" w:hint="default"/>
                <w:sz w:val="18"/>
                <w:szCs w:val="18"/>
              </w:rPr>
              <w:t>股权处 置方式</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丧失控 制权的 时点</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93" w:right="89"/>
              <w:jc w:val="both"/>
              <w:rPr>
                <w:rFonts w:ascii="宋体" w:hAnsi="宋体" w:cs="宋体" w:eastAsia="宋体" w:hint="default"/>
                <w:sz w:val="18"/>
                <w:szCs w:val="18"/>
              </w:rPr>
            </w:pPr>
            <w:r>
              <w:rPr>
                <w:rFonts w:ascii="宋体" w:hAnsi="宋体" w:cs="宋体" w:eastAsia="宋体" w:hint="default"/>
                <w:sz w:val="18"/>
                <w:szCs w:val="18"/>
              </w:rPr>
              <w:t>丧失控 制权时 点的确 定依据</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3" w:right="89"/>
              <w:jc w:val="both"/>
              <w:rPr>
                <w:rFonts w:ascii="宋体" w:hAnsi="宋体" w:cs="宋体" w:eastAsia="宋体" w:hint="default"/>
                <w:sz w:val="18"/>
                <w:szCs w:val="18"/>
              </w:rPr>
            </w:pPr>
            <w:r>
              <w:rPr>
                <w:rFonts w:ascii="宋体" w:hAnsi="宋体" w:cs="宋体" w:eastAsia="宋体" w:hint="default"/>
                <w:sz w:val="18"/>
                <w:szCs w:val="18"/>
              </w:rPr>
              <w:t>处置价 款与处 置投资 对应的</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3" w:right="89"/>
              <w:jc w:val="both"/>
              <w:rPr>
                <w:rFonts w:ascii="宋体" w:hAnsi="宋体" w:cs="宋体" w:eastAsia="宋体" w:hint="default"/>
                <w:sz w:val="18"/>
                <w:szCs w:val="18"/>
              </w:rPr>
            </w:pPr>
            <w:r>
              <w:rPr>
                <w:rFonts w:ascii="宋体" w:hAnsi="宋体" w:cs="宋体" w:eastAsia="宋体" w:hint="default"/>
                <w:sz w:val="18"/>
                <w:szCs w:val="18"/>
              </w:rPr>
              <w:t>丧失控 制权之 日剩余 股权的</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3" w:right="91"/>
              <w:jc w:val="both"/>
              <w:rPr>
                <w:rFonts w:ascii="宋体" w:hAnsi="宋体" w:cs="宋体" w:eastAsia="宋体" w:hint="default"/>
                <w:sz w:val="18"/>
                <w:szCs w:val="18"/>
              </w:rPr>
            </w:pPr>
            <w:r>
              <w:rPr>
                <w:rFonts w:ascii="宋体" w:hAnsi="宋体" w:cs="宋体" w:eastAsia="宋体" w:hint="default"/>
                <w:sz w:val="18"/>
                <w:szCs w:val="18"/>
              </w:rPr>
              <w:t>丧失控 制权之 日剩余 股权的</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3" w:right="91"/>
              <w:jc w:val="both"/>
              <w:rPr>
                <w:rFonts w:ascii="宋体" w:hAnsi="宋体" w:cs="宋体" w:eastAsia="宋体" w:hint="default"/>
                <w:sz w:val="18"/>
                <w:szCs w:val="18"/>
              </w:rPr>
            </w:pPr>
            <w:r>
              <w:rPr>
                <w:rFonts w:ascii="宋体" w:hAnsi="宋体" w:cs="宋体" w:eastAsia="宋体" w:hint="default"/>
                <w:sz w:val="18"/>
                <w:szCs w:val="18"/>
              </w:rPr>
              <w:t>丧失控 制权之 日剩余 股权的</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3" w:right="92"/>
              <w:jc w:val="both"/>
              <w:rPr>
                <w:rFonts w:ascii="宋体" w:hAnsi="宋体" w:cs="宋体" w:eastAsia="宋体" w:hint="default"/>
                <w:sz w:val="18"/>
                <w:szCs w:val="18"/>
              </w:rPr>
            </w:pPr>
            <w:r>
              <w:rPr>
                <w:rFonts w:ascii="宋体" w:hAnsi="宋体" w:cs="宋体" w:eastAsia="宋体" w:hint="default"/>
                <w:sz w:val="18"/>
                <w:szCs w:val="18"/>
              </w:rPr>
              <w:t>按照公 允价值 重新计 量剩余</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3" w:right="89"/>
              <w:jc w:val="both"/>
              <w:rPr>
                <w:rFonts w:ascii="宋体" w:hAnsi="宋体" w:cs="宋体" w:eastAsia="宋体" w:hint="default"/>
                <w:sz w:val="18"/>
                <w:szCs w:val="18"/>
              </w:rPr>
            </w:pPr>
            <w:r>
              <w:rPr>
                <w:rFonts w:ascii="宋体" w:hAnsi="宋体" w:cs="宋体" w:eastAsia="宋体" w:hint="default"/>
                <w:sz w:val="18"/>
                <w:szCs w:val="18"/>
              </w:rPr>
              <w:t>丧失控 制权之 日剩余 股权公</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0"/>
              <w:ind w:left="93" w:right="91"/>
              <w:jc w:val="both"/>
              <w:rPr>
                <w:rFonts w:ascii="宋体" w:hAnsi="宋体" w:cs="宋体" w:eastAsia="宋体" w:hint="default"/>
                <w:sz w:val="18"/>
                <w:szCs w:val="18"/>
              </w:rPr>
            </w:pPr>
            <w:r>
              <w:rPr>
                <w:rFonts w:ascii="宋体" w:hAnsi="宋体" w:cs="宋体" w:eastAsia="宋体" w:hint="default"/>
                <w:sz w:val="18"/>
                <w:szCs w:val="18"/>
              </w:rPr>
              <w:t>与原子 公司股 权投资 相关的</w:t>
            </w:r>
          </w:p>
        </w:tc>
      </w:tr>
    </w:tbl>
    <w:p>
      <w:pPr>
        <w:spacing w:after="0" w:line="316" w:lineRule="auto"/>
        <w:jc w:val="both"/>
        <w:rPr>
          <w:rFonts w:ascii="宋体" w:hAnsi="宋体" w:cs="宋体" w:eastAsia="宋体" w:hint="default"/>
          <w:sz w:val="18"/>
          <w:szCs w:val="18"/>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36"/>
        <w:gridCol w:w="734"/>
        <w:gridCol w:w="737"/>
        <w:gridCol w:w="735"/>
        <w:gridCol w:w="737"/>
        <w:gridCol w:w="734"/>
        <w:gridCol w:w="734"/>
        <w:gridCol w:w="735"/>
        <w:gridCol w:w="737"/>
        <w:gridCol w:w="737"/>
        <w:gridCol w:w="737"/>
        <w:gridCol w:w="734"/>
        <w:gridCol w:w="737"/>
      </w:tblGrid>
      <w:tr>
        <w:trPr>
          <w:trHeight w:val="315" w:hRule="exact"/>
        </w:trPr>
        <w:tc>
          <w:tcPr>
            <w:tcW w:w="736" w:type="dxa"/>
            <w:vMerge w:val="restart"/>
            <w:tcBorders>
              <w:top w:val="single" w:sz="4" w:space="0" w:color="000000"/>
              <w:left w:val="single" w:sz="4" w:space="0" w:color="000000"/>
              <w:right w:val="single" w:sz="4" w:space="0" w:color="000000"/>
            </w:tcBorders>
            <w:shd w:val="clear" w:color="auto" w:fill="D2D2D2"/>
          </w:tcPr>
          <w:p>
            <w:pPr/>
          </w:p>
        </w:tc>
        <w:tc>
          <w:tcPr>
            <w:tcW w:w="734" w:type="dxa"/>
            <w:vMerge w:val="restart"/>
            <w:tcBorders>
              <w:top w:val="single" w:sz="4" w:space="0" w:color="000000"/>
              <w:left w:val="single" w:sz="4" w:space="0" w:color="000000"/>
              <w:right w:val="single" w:sz="4" w:space="0" w:color="000000"/>
            </w:tcBorders>
            <w:shd w:val="clear" w:color="auto" w:fill="D2D2D2"/>
          </w:tcPr>
          <w:p>
            <w:pPr/>
          </w:p>
        </w:tc>
        <w:tc>
          <w:tcPr>
            <w:tcW w:w="737" w:type="dxa"/>
            <w:vMerge w:val="restart"/>
            <w:tcBorders>
              <w:top w:val="single" w:sz="4" w:space="0" w:color="000000"/>
              <w:left w:val="single" w:sz="4" w:space="0" w:color="000000"/>
              <w:right w:val="single" w:sz="4" w:space="0" w:color="000000"/>
            </w:tcBorders>
            <w:shd w:val="clear" w:color="auto" w:fill="D2D2D2"/>
          </w:tcPr>
          <w:p>
            <w:pPr/>
          </w:p>
        </w:tc>
        <w:tc>
          <w:tcPr>
            <w:tcW w:w="735" w:type="dxa"/>
            <w:vMerge w:val="restart"/>
            <w:tcBorders>
              <w:top w:val="single" w:sz="4" w:space="0" w:color="000000"/>
              <w:left w:val="single" w:sz="4" w:space="0" w:color="000000"/>
              <w:right w:val="single" w:sz="4" w:space="0" w:color="000000"/>
            </w:tcBorders>
            <w:shd w:val="clear" w:color="auto" w:fill="D2D2D2"/>
          </w:tcPr>
          <w:p>
            <w:pPr/>
          </w:p>
        </w:tc>
        <w:tc>
          <w:tcPr>
            <w:tcW w:w="737" w:type="dxa"/>
            <w:vMerge w:val="restart"/>
            <w:tcBorders>
              <w:top w:val="single" w:sz="4" w:space="0" w:color="000000"/>
              <w:left w:val="single" w:sz="4" w:space="0" w:color="000000"/>
              <w:right w:val="single" w:sz="4" w:space="0" w:color="000000"/>
            </w:tcBorders>
            <w:shd w:val="clear" w:color="auto" w:fill="D2D2D2"/>
          </w:tcPr>
          <w:p>
            <w:pPr/>
          </w:p>
        </w:tc>
        <w:tc>
          <w:tcPr>
            <w:tcW w:w="734" w:type="dxa"/>
            <w:vMerge w:val="restart"/>
            <w:tcBorders>
              <w:top w:val="single" w:sz="4" w:space="0" w:color="000000"/>
              <w:left w:val="single" w:sz="4" w:space="0" w:color="000000"/>
              <w:right w:val="single" w:sz="4" w:space="0" w:color="000000"/>
            </w:tcBorders>
            <w:shd w:val="clear" w:color="auto" w:fill="D2D2D2"/>
          </w:tcPr>
          <w:p>
            <w:pP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合并财</w:t>
            </w:r>
          </w:p>
        </w:tc>
        <w:tc>
          <w:tcPr>
            <w:tcW w:w="735"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比例</w:t>
            </w:r>
          </w:p>
        </w:tc>
        <w:tc>
          <w:tcPr>
            <w:tcW w:w="73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账面价</w:t>
            </w:r>
          </w:p>
        </w:tc>
        <w:tc>
          <w:tcPr>
            <w:tcW w:w="73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公允价</w:t>
            </w:r>
          </w:p>
        </w:tc>
        <w:tc>
          <w:tcPr>
            <w:tcW w:w="73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股权产</w:t>
            </w:r>
          </w:p>
        </w:tc>
        <w:tc>
          <w:tcPr>
            <w:tcW w:w="734"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允价值</w:t>
            </w:r>
          </w:p>
        </w:tc>
        <w:tc>
          <w:tcPr>
            <w:tcW w:w="737" w:type="dxa"/>
            <w:tcBorders>
              <w:top w:val="single" w:sz="4" w:space="0" w:color="000000"/>
              <w:left w:val="single" w:sz="4" w:space="0" w:color="000000"/>
              <w:bottom w:val="nil" w:sz="6" w:space="0" w:color="auto"/>
              <w:right w:val="single" w:sz="4" w:space="0" w:color="000000"/>
            </w:tcBorders>
            <w:shd w:val="clear" w:color="auto" w:fill="D2D2D2"/>
          </w:tcPr>
          <w:p>
            <w:pPr>
              <w:pStyle w:val="TableParagraph"/>
              <w:spacing w:line="240" w:lineRule="auto" w:before="8"/>
              <w:ind w:right="91"/>
              <w:jc w:val="right"/>
              <w:rPr>
                <w:rFonts w:ascii="宋体" w:hAnsi="宋体" w:cs="宋体" w:eastAsia="宋体" w:hint="default"/>
                <w:sz w:val="18"/>
                <w:szCs w:val="18"/>
              </w:rPr>
            </w:pPr>
            <w:r>
              <w:rPr>
                <w:rFonts w:ascii="宋体" w:hAnsi="宋体" w:cs="宋体" w:eastAsia="宋体" w:hint="default"/>
                <w:sz w:val="18"/>
                <w:szCs w:val="18"/>
              </w:rPr>
              <w:t>其他综</w:t>
            </w:r>
          </w:p>
        </w:tc>
      </w:tr>
      <w:tr>
        <w:trPr>
          <w:trHeight w:val="312" w:hRule="exact"/>
        </w:trPr>
        <w:tc>
          <w:tcPr>
            <w:tcW w:w="736"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5"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务报表</w:t>
            </w:r>
          </w:p>
        </w:tc>
        <w:tc>
          <w:tcPr>
            <w:tcW w:w="735"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值</w:t>
            </w: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值</w:t>
            </w: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生的利</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的确定</w:t>
            </w: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91"/>
              <w:jc w:val="right"/>
              <w:rPr>
                <w:rFonts w:ascii="宋体" w:hAnsi="宋体" w:cs="宋体" w:eastAsia="宋体" w:hint="default"/>
                <w:sz w:val="18"/>
                <w:szCs w:val="18"/>
              </w:rPr>
            </w:pPr>
            <w:r>
              <w:rPr>
                <w:rFonts w:ascii="宋体" w:hAnsi="宋体" w:cs="宋体" w:eastAsia="宋体" w:hint="default"/>
                <w:sz w:val="18"/>
                <w:szCs w:val="18"/>
              </w:rPr>
              <w:t>合收益</w:t>
            </w:r>
          </w:p>
        </w:tc>
      </w:tr>
      <w:tr>
        <w:trPr>
          <w:trHeight w:val="312" w:hRule="exact"/>
        </w:trPr>
        <w:tc>
          <w:tcPr>
            <w:tcW w:w="736"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5"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层面享</w:t>
            </w:r>
          </w:p>
        </w:tc>
        <w:tc>
          <w:tcPr>
            <w:tcW w:w="735"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得或损</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方法及</w:t>
            </w: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91"/>
              <w:jc w:val="right"/>
              <w:rPr>
                <w:rFonts w:ascii="宋体" w:hAnsi="宋体" w:cs="宋体" w:eastAsia="宋体" w:hint="default"/>
                <w:sz w:val="18"/>
                <w:szCs w:val="18"/>
              </w:rPr>
            </w:pPr>
            <w:r>
              <w:rPr>
                <w:rFonts w:ascii="宋体" w:hAnsi="宋体" w:cs="宋体" w:eastAsia="宋体" w:hint="default"/>
                <w:sz w:val="18"/>
                <w:szCs w:val="18"/>
              </w:rPr>
              <w:t>转入投</w:t>
            </w:r>
          </w:p>
        </w:tc>
      </w:tr>
      <w:tr>
        <w:trPr>
          <w:trHeight w:val="312" w:hRule="exact"/>
        </w:trPr>
        <w:tc>
          <w:tcPr>
            <w:tcW w:w="736"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5"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有该子</w:t>
            </w:r>
          </w:p>
        </w:tc>
        <w:tc>
          <w:tcPr>
            <w:tcW w:w="735"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失</w:t>
            </w: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主要假</w:t>
            </w: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91"/>
              <w:jc w:val="right"/>
              <w:rPr>
                <w:rFonts w:ascii="宋体" w:hAnsi="宋体" w:cs="宋体" w:eastAsia="宋体" w:hint="default"/>
                <w:sz w:val="18"/>
                <w:szCs w:val="18"/>
              </w:rPr>
            </w:pPr>
            <w:r>
              <w:rPr>
                <w:rFonts w:ascii="宋体" w:hAnsi="宋体" w:cs="宋体" w:eastAsia="宋体" w:hint="default"/>
                <w:sz w:val="18"/>
                <w:szCs w:val="18"/>
              </w:rPr>
              <w:t>资损益</w:t>
            </w:r>
          </w:p>
        </w:tc>
      </w:tr>
      <w:tr>
        <w:trPr>
          <w:trHeight w:val="312" w:hRule="exact"/>
        </w:trPr>
        <w:tc>
          <w:tcPr>
            <w:tcW w:w="736"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5"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公司净</w:t>
            </w:r>
          </w:p>
        </w:tc>
        <w:tc>
          <w:tcPr>
            <w:tcW w:w="735"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设</w:t>
            </w:r>
          </w:p>
        </w:tc>
        <w:tc>
          <w:tcPr>
            <w:tcW w:w="7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right="91"/>
              <w:jc w:val="right"/>
              <w:rPr>
                <w:rFonts w:ascii="宋体" w:hAnsi="宋体" w:cs="宋体" w:eastAsia="宋体" w:hint="default"/>
                <w:sz w:val="18"/>
                <w:szCs w:val="18"/>
              </w:rPr>
            </w:pPr>
            <w:r>
              <w:rPr>
                <w:rFonts w:ascii="宋体" w:hAnsi="宋体" w:cs="宋体" w:eastAsia="宋体" w:hint="default"/>
                <w:sz w:val="18"/>
                <w:szCs w:val="18"/>
              </w:rPr>
              <w:t>的金额</w:t>
            </w:r>
          </w:p>
        </w:tc>
      </w:tr>
      <w:tr>
        <w:trPr>
          <w:trHeight w:val="312" w:hRule="exact"/>
        </w:trPr>
        <w:tc>
          <w:tcPr>
            <w:tcW w:w="736"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5"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资产份</w:t>
            </w:r>
          </w:p>
        </w:tc>
        <w:tc>
          <w:tcPr>
            <w:tcW w:w="735"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312" w:hRule="exact"/>
        </w:trPr>
        <w:tc>
          <w:tcPr>
            <w:tcW w:w="736"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5" w:type="dxa"/>
            <w:vMerge/>
            <w:tcBorders>
              <w:left w:val="single" w:sz="4" w:space="0" w:color="000000"/>
              <w:right w:val="single" w:sz="4" w:space="0" w:color="000000"/>
            </w:tcBorders>
            <w:shd w:val="clear" w:color="auto" w:fill="D2D2D2"/>
          </w:tcPr>
          <w:p>
            <w:pPr/>
          </w:p>
        </w:tc>
        <w:tc>
          <w:tcPr>
            <w:tcW w:w="737" w:type="dxa"/>
            <w:vMerge/>
            <w:tcBorders>
              <w:left w:val="single" w:sz="4" w:space="0" w:color="000000"/>
              <w:right w:val="single" w:sz="4" w:space="0" w:color="000000"/>
            </w:tcBorders>
            <w:shd w:val="clear" w:color="auto" w:fill="D2D2D2"/>
          </w:tcPr>
          <w:p>
            <w:pPr/>
          </w:p>
        </w:tc>
        <w:tc>
          <w:tcPr>
            <w:tcW w:w="734" w:type="dxa"/>
            <w:vMerge/>
            <w:tcBorders>
              <w:left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额的差</w:t>
            </w:r>
          </w:p>
        </w:tc>
        <w:tc>
          <w:tcPr>
            <w:tcW w:w="735"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c>
          <w:tcPr>
            <w:tcW w:w="734" w:type="dxa"/>
            <w:tcBorders>
              <w:top w:val="nil" w:sz="6" w:space="0" w:color="auto"/>
              <w:left w:val="single" w:sz="4" w:space="0" w:color="000000"/>
              <w:bottom w:val="nil" w:sz="6" w:space="0" w:color="auto"/>
              <w:right w:val="single" w:sz="4" w:space="0" w:color="000000"/>
            </w:tcBorders>
            <w:shd w:val="clear" w:color="auto" w:fill="D2D2D2"/>
          </w:tcPr>
          <w:p>
            <w:pPr/>
          </w:p>
        </w:tc>
        <w:tc>
          <w:tcPr>
            <w:tcW w:w="737" w:type="dxa"/>
            <w:tcBorders>
              <w:top w:val="nil" w:sz="6" w:space="0" w:color="auto"/>
              <w:left w:val="single" w:sz="4" w:space="0" w:color="000000"/>
              <w:bottom w:val="nil" w:sz="6" w:space="0" w:color="auto"/>
              <w:right w:val="single" w:sz="4" w:space="0" w:color="000000"/>
            </w:tcBorders>
            <w:shd w:val="clear" w:color="auto" w:fill="D2D2D2"/>
          </w:tcPr>
          <w:p>
            <w:pPr/>
          </w:p>
        </w:tc>
      </w:tr>
      <w:tr>
        <w:trPr>
          <w:trHeight w:val="360"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4" w:type="dxa"/>
            <w:vMerge/>
            <w:tcBorders>
              <w:left w:val="single" w:sz="4" w:space="0" w:color="000000"/>
              <w:bottom w:val="single" w:sz="4" w:space="0" w:color="000000"/>
              <w:right w:val="single" w:sz="4" w:space="0" w:color="000000"/>
            </w:tcBorders>
            <w:shd w:val="clear" w:color="auto" w:fill="D2D2D2"/>
          </w:tcPr>
          <w:p>
            <w:pPr/>
          </w:p>
        </w:tc>
        <w:tc>
          <w:tcPr>
            <w:tcW w:w="737" w:type="dxa"/>
            <w:vMerge/>
            <w:tcBorders>
              <w:left w:val="single" w:sz="4" w:space="0" w:color="000000"/>
              <w:bottom w:val="single" w:sz="4" w:space="0" w:color="000000"/>
              <w:right w:val="single" w:sz="4" w:space="0" w:color="000000"/>
            </w:tcBorders>
            <w:shd w:val="clear" w:color="auto" w:fill="D2D2D2"/>
          </w:tcPr>
          <w:p>
            <w:pPr/>
          </w:p>
        </w:tc>
        <w:tc>
          <w:tcPr>
            <w:tcW w:w="735" w:type="dxa"/>
            <w:vMerge/>
            <w:tcBorders>
              <w:left w:val="single" w:sz="4" w:space="0" w:color="000000"/>
              <w:bottom w:val="single" w:sz="4" w:space="0" w:color="000000"/>
              <w:right w:val="single" w:sz="4" w:space="0" w:color="000000"/>
            </w:tcBorders>
            <w:shd w:val="clear" w:color="auto" w:fill="D2D2D2"/>
          </w:tcPr>
          <w:p>
            <w:pPr/>
          </w:p>
        </w:tc>
        <w:tc>
          <w:tcPr>
            <w:tcW w:w="737" w:type="dxa"/>
            <w:vMerge/>
            <w:tcBorders>
              <w:left w:val="single" w:sz="4" w:space="0" w:color="000000"/>
              <w:bottom w:val="single" w:sz="4" w:space="0" w:color="000000"/>
              <w:right w:val="single" w:sz="4" w:space="0" w:color="000000"/>
            </w:tcBorders>
            <w:shd w:val="clear" w:color="auto" w:fill="D2D2D2"/>
          </w:tcPr>
          <w:p>
            <w:pPr/>
          </w:p>
        </w:tc>
        <w:tc>
          <w:tcPr>
            <w:tcW w:w="734" w:type="dxa"/>
            <w:vMerge/>
            <w:tcBorders>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240" w:lineRule="auto" w:before="10"/>
              <w:ind w:left="2" w:right="0"/>
              <w:jc w:val="center"/>
              <w:rPr>
                <w:rFonts w:ascii="宋体" w:hAnsi="宋体" w:cs="宋体" w:eastAsia="宋体" w:hint="default"/>
                <w:sz w:val="18"/>
                <w:szCs w:val="18"/>
              </w:rPr>
            </w:pPr>
            <w:r>
              <w:rPr>
                <w:rFonts w:ascii="宋体" w:hAnsi="宋体" w:cs="宋体" w:eastAsia="宋体" w:hint="default"/>
                <w:sz w:val="18"/>
                <w:szCs w:val="18"/>
              </w:rPr>
              <w:t>额</w:t>
            </w:r>
          </w:p>
        </w:tc>
        <w:tc>
          <w:tcPr>
            <w:tcW w:w="7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37" w:type="dxa"/>
            <w:tcBorders>
              <w:top w:val="nil" w:sz="6" w:space="0" w:color="auto"/>
              <w:left w:val="single" w:sz="4" w:space="0" w:color="000000"/>
              <w:bottom w:val="single" w:sz="4" w:space="0" w:color="000000"/>
              <w:right w:val="single" w:sz="4" w:space="0" w:color="000000"/>
            </w:tcBorders>
            <w:shd w:val="clear" w:color="auto" w:fill="D2D2D2"/>
          </w:tcPr>
          <w:p>
            <w:pPr/>
          </w:p>
        </w:tc>
        <w:tc>
          <w:tcPr>
            <w:tcW w:w="737" w:type="dxa"/>
            <w:tcBorders>
              <w:top w:val="nil" w:sz="6" w:space="0" w:color="auto"/>
              <w:left w:val="single" w:sz="4" w:space="0" w:color="000000"/>
              <w:bottom w:val="single" w:sz="4" w:space="0" w:color="000000"/>
              <w:right w:val="single" w:sz="4" w:space="0" w:color="000000"/>
            </w:tcBorders>
            <w:shd w:val="clear" w:color="auto" w:fill="D2D2D2"/>
          </w:tcPr>
          <w:p>
            <w:pPr/>
          </w:p>
        </w:tc>
        <w:tc>
          <w:tcPr>
            <w:tcW w:w="737" w:type="dxa"/>
            <w:tcBorders>
              <w:top w:val="nil" w:sz="6" w:space="0" w:color="auto"/>
              <w:left w:val="single" w:sz="4" w:space="0" w:color="000000"/>
              <w:bottom w:val="single" w:sz="4" w:space="0" w:color="000000"/>
              <w:right w:val="single" w:sz="4" w:space="0" w:color="000000"/>
            </w:tcBorders>
            <w:shd w:val="clear" w:color="auto" w:fill="D2D2D2"/>
          </w:tcPr>
          <w:p>
            <w:pPr/>
          </w:p>
        </w:tc>
        <w:tc>
          <w:tcPr>
            <w:tcW w:w="734" w:type="dxa"/>
            <w:tcBorders>
              <w:top w:val="nil" w:sz="6" w:space="0" w:color="auto"/>
              <w:left w:val="single" w:sz="4" w:space="0" w:color="000000"/>
              <w:bottom w:val="single" w:sz="4" w:space="0" w:color="000000"/>
              <w:right w:val="single" w:sz="4" w:space="0" w:color="000000"/>
            </w:tcBorders>
            <w:shd w:val="clear" w:color="auto" w:fill="D2D2D2"/>
          </w:tcPr>
          <w:p>
            <w:pPr/>
          </w:p>
        </w:tc>
        <w:tc>
          <w:tcPr>
            <w:tcW w:w="73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337"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2" w:right="161"/>
              <w:jc w:val="both"/>
              <w:rPr>
                <w:rFonts w:ascii="宋体" w:hAnsi="宋体" w:cs="宋体" w:eastAsia="宋体" w:hint="default"/>
                <w:sz w:val="18"/>
                <w:szCs w:val="18"/>
              </w:rPr>
            </w:pPr>
            <w:r>
              <w:rPr>
                <w:rFonts w:ascii="宋体" w:hAnsi="宋体" w:cs="宋体" w:eastAsia="宋体" w:hint="default"/>
                <w:sz w:val="18"/>
                <w:szCs w:val="18"/>
              </w:rPr>
              <w:t>北京图 新数聚 科技有 限公司</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1,250,00</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12.00%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159"/>
              <w:jc w:val="both"/>
              <w:rPr>
                <w:rFonts w:ascii="宋体" w:hAnsi="宋体" w:cs="宋体" w:eastAsia="宋体" w:hint="default"/>
                <w:sz w:val="18"/>
                <w:szCs w:val="18"/>
              </w:rPr>
            </w:pPr>
            <w:r>
              <w:rPr>
                <w:rFonts w:ascii="宋体" w:hAnsi="宋体" w:cs="宋体" w:eastAsia="宋体" w:hint="default"/>
                <w:sz w:val="18"/>
                <w:szCs w:val="18"/>
              </w:rPr>
              <w:t>第三方 股东增 资视同 处置</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8"/>
              <w:jc w:val="both"/>
              <w:rPr>
                <w:rFonts w:ascii="宋体" w:hAnsi="宋体" w:cs="宋体" w:eastAsia="宋体" w:hint="default"/>
                <w:sz w:val="18"/>
                <w:szCs w:val="18"/>
              </w:rPr>
            </w:pPr>
            <w:r>
              <w:rPr>
                <w:rFonts w:ascii="宋体" w:hAnsi="宋体" w:cs="宋体" w:eastAsia="宋体" w:hint="default"/>
                <w:sz w:val="18"/>
                <w:szCs w:val="18"/>
              </w:rPr>
              <w:t>增资及 工商变 更登记 完成</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1,094,58</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9.16</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29" w:right="0"/>
              <w:jc w:val="center"/>
              <w:rPr>
                <w:rFonts w:ascii="Times New Roman" w:hAnsi="Times New Roman" w:cs="Times New Roman" w:eastAsia="Times New Roman" w:hint="default"/>
                <w:sz w:val="18"/>
                <w:szCs w:val="18"/>
              </w:rPr>
            </w:pPr>
            <w:r>
              <w:rPr>
                <w:rFonts w:ascii="Times New Roman"/>
                <w:sz w:val="18"/>
              </w:rPr>
              <w:t>48.00%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621,643.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35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2,378,35</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6.65</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4" w:right="158"/>
              <w:jc w:val="left"/>
              <w:rPr>
                <w:rFonts w:ascii="宋体" w:hAnsi="宋体" w:cs="宋体" w:eastAsia="宋体" w:hint="default"/>
                <w:sz w:val="18"/>
                <w:szCs w:val="18"/>
              </w:rPr>
            </w:pPr>
            <w:r>
              <w:rPr>
                <w:rFonts w:ascii="宋体" w:hAnsi="宋体" w:cs="宋体" w:eastAsia="宋体" w:hint="default"/>
                <w:sz w:val="18"/>
                <w:szCs w:val="18"/>
              </w:rPr>
              <w:t>交易价 格</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7"/>
        <w:rPr>
          <w:rFonts w:ascii="宋体" w:hAnsi="宋体" w:cs="宋体" w:eastAsia="宋体" w:hint="default"/>
          <w:sz w:val="15"/>
          <w:szCs w:val="15"/>
        </w:rPr>
      </w:pPr>
    </w:p>
    <w:p>
      <w:pPr>
        <w:pStyle w:val="BodyText"/>
        <w:spacing w:line="240" w:lineRule="auto" w:before="44"/>
        <w:ind w:right="0"/>
        <w:jc w:val="left"/>
      </w:pPr>
      <w:r>
        <w:rPr/>
        <w:t>其他说明</w:t>
      </w:r>
    </w:p>
    <w:p>
      <w:pPr>
        <w:spacing w:line="240" w:lineRule="auto" w:before="12"/>
        <w:rPr>
          <w:rFonts w:ascii="宋体" w:hAnsi="宋体" w:cs="宋体" w:eastAsia="宋体" w:hint="default"/>
          <w:sz w:val="22"/>
          <w:szCs w:val="22"/>
        </w:rPr>
      </w:pPr>
    </w:p>
    <w:p>
      <w:pPr>
        <w:pStyle w:val="Heading7"/>
        <w:spacing w:line="240" w:lineRule="auto"/>
        <w:ind w:right="0"/>
        <w:jc w:val="left"/>
        <w:rPr>
          <w:rFonts w:ascii="宋体" w:hAnsi="宋体" w:cs="宋体" w:eastAsia="宋体" w:hint="default"/>
        </w:rPr>
      </w:pPr>
      <w:r>
        <w:rPr/>
        <w:t>注：本报告期，因第三方股东增资导致本公司在图新数聚的持股比例由</w:t>
      </w:r>
      <w:r>
        <w:rPr>
          <w:rFonts w:ascii="Times New Roman" w:hAnsi="Times New Roman" w:cs="Times New Roman" w:eastAsia="Times New Roman" w:hint="default"/>
        </w:rPr>
        <w:t>60.00%</w:t>
      </w:r>
      <w:r>
        <w:rPr/>
        <w:t>减少到</w:t>
      </w:r>
      <w:r>
        <w:rPr>
          <w:rFonts w:ascii="Times New Roman" w:hAnsi="Times New Roman" w:cs="Times New Roman" w:eastAsia="Times New Roman" w:hint="default"/>
        </w:rPr>
        <w:t>48.00%</w:t>
      </w:r>
      <w:r>
        <w:rPr/>
        <w:t>。</w:t>
      </w:r>
      <w:r>
        <w:rPr>
          <w:rFonts w:ascii="宋体" w:hAnsi="宋体" w:cs="宋体" w:eastAsia="宋体" w:hint="default"/>
        </w:rPr>
        <w:t> </w:t>
      </w:r>
    </w:p>
    <w:p>
      <w:pPr>
        <w:spacing w:line="240" w:lineRule="auto" w:before="3"/>
        <w:rPr>
          <w:rFonts w:ascii="宋体" w:hAnsi="宋体" w:cs="宋体" w:eastAsia="宋体" w:hint="default"/>
          <w:sz w:val="22"/>
          <w:szCs w:val="22"/>
        </w:rPr>
      </w:pPr>
    </w:p>
    <w:p>
      <w:pPr>
        <w:pStyle w:val="BodyText"/>
        <w:spacing w:line="240" w:lineRule="auto"/>
        <w:ind w:right="0"/>
        <w:jc w:val="left"/>
      </w:pPr>
      <w:r>
        <w:rPr/>
        <w:t>是否存在通过多次交易分步处置对子公司投资且在本期丧失控制权的情形</w:t>
      </w:r>
    </w:p>
    <w:p>
      <w:pPr>
        <w:pStyle w:val="BodyText"/>
        <w:spacing w:line="240" w:lineRule="auto" w:before="117"/>
        <w:ind w:right="0"/>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否</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rFonts w:ascii="Times New Roman" w:hAnsi="Times New Roman" w:cs="Times New Roman" w:eastAsia="Times New Roman" w:hint="default"/>
        </w:rPr>
        <w:t>5</w:t>
      </w:r>
      <w:r>
        <w:rPr/>
        <w:t>、其他原因的合并范围变动</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说明其他原因导致的合并范围变动（如，新设子公司、清算子公司等）及其相关情况：</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410"/>
        <w:gridCol w:w="1808"/>
        <w:gridCol w:w="1808"/>
        <w:gridCol w:w="1807"/>
        <w:gridCol w:w="1808"/>
      </w:tblGrid>
      <w:tr>
        <w:trPr>
          <w:trHeight w:val="344" w:hRule="exact"/>
        </w:trPr>
        <w:tc>
          <w:tcPr>
            <w:tcW w:w="24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center"/>
              <w:rPr>
                <w:rFonts w:ascii="宋体" w:hAnsi="宋体" w:cs="宋体" w:eastAsia="宋体" w:hint="default"/>
                <w:sz w:val="20"/>
                <w:szCs w:val="20"/>
              </w:rPr>
            </w:pPr>
            <w:r>
              <w:rPr>
                <w:rFonts w:ascii="宋体" w:hAnsi="宋体" w:cs="宋体" w:eastAsia="宋体" w:hint="default"/>
                <w:sz w:val="20"/>
                <w:szCs w:val="20"/>
              </w:rPr>
              <w:t>公司名称</w:t>
            </w:r>
          </w:p>
        </w:tc>
        <w:tc>
          <w:tcPr>
            <w:tcW w:w="18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1" w:right="0"/>
              <w:jc w:val="center"/>
              <w:rPr>
                <w:rFonts w:ascii="宋体" w:hAnsi="宋体" w:cs="宋体" w:eastAsia="宋体" w:hint="default"/>
                <w:sz w:val="20"/>
                <w:szCs w:val="20"/>
              </w:rPr>
            </w:pPr>
            <w:r>
              <w:rPr>
                <w:rFonts w:ascii="宋体" w:hAnsi="宋体" w:cs="宋体" w:eastAsia="宋体" w:hint="default"/>
                <w:sz w:val="20"/>
                <w:szCs w:val="20"/>
              </w:rPr>
              <w:t>合并范围变动原因</w:t>
            </w:r>
          </w:p>
        </w:tc>
        <w:tc>
          <w:tcPr>
            <w:tcW w:w="18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2" w:right="0"/>
              <w:jc w:val="center"/>
              <w:rPr>
                <w:rFonts w:ascii="宋体" w:hAnsi="宋体" w:cs="宋体" w:eastAsia="宋体" w:hint="default"/>
                <w:sz w:val="20"/>
                <w:szCs w:val="20"/>
              </w:rPr>
            </w:pPr>
            <w:r>
              <w:rPr>
                <w:rFonts w:ascii="宋体" w:hAnsi="宋体" w:cs="宋体" w:eastAsia="宋体" w:hint="default"/>
                <w:sz w:val="20"/>
                <w:szCs w:val="20"/>
              </w:rPr>
              <w:t>持股比例（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p>
        </w:tc>
        <w:tc>
          <w:tcPr>
            <w:tcW w:w="1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400" w:right="0"/>
              <w:jc w:val="left"/>
              <w:rPr>
                <w:rFonts w:ascii="宋体" w:hAnsi="宋体" w:cs="宋体" w:eastAsia="宋体" w:hint="default"/>
                <w:sz w:val="20"/>
                <w:szCs w:val="20"/>
              </w:rPr>
            </w:pPr>
            <w:r>
              <w:rPr>
                <w:rFonts w:ascii="宋体" w:hAnsi="宋体" w:cs="宋体" w:eastAsia="宋体" w:hint="default"/>
                <w:sz w:val="20"/>
                <w:szCs w:val="20"/>
              </w:rPr>
              <w:t>年末净资产</w:t>
            </w:r>
          </w:p>
        </w:tc>
        <w:tc>
          <w:tcPr>
            <w:tcW w:w="18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left="401" w:right="0"/>
              <w:jc w:val="left"/>
              <w:rPr>
                <w:rFonts w:ascii="宋体" w:hAnsi="宋体" w:cs="宋体" w:eastAsia="宋体" w:hint="default"/>
                <w:sz w:val="20"/>
                <w:szCs w:val="20"/>
              </w:rPr>
            </w:pPr>
            <w:r>
              <w:rPr>
                <w:rFonts w:ascii="宋体" w:hAnsi="宋体" w:cs="宋体" w:eastAsia="宋体" w:hint="default"/>
                <w:sz w:val="20"/>
                <w:szCs w:val="20"/>
              </w:rPr>
              <w:t>本年净利润</w:t>
            </w:r>
          </w:p>
        </w:tc>
      </w:tr>
      <w:tr>
        <w:trPr>
          <w:trHeight w:val="343"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7" w:right="0"/>
              <w:jc w:val="left"/>
              <w:rPr>
                <w:rFonts w:ascii="宋体" w:hAnsi="宋体" w:cs="宋体" w:eastAsia="宋体" w:hint="default"/>
                <w:sz w:val="20"/>
                <w:szCs w:val="20"/>
              </w:rPr>
            </w:pPr>
            <w:r>
              <w:rPr>
                <w:rFonts w:ascii="宋体" w:hAnsi="宋体" w:cs="宋体" w:eastAsia="宋体" w:hint="default"/>
                <w:sz w:val="20"/>
                <w:szCs w:val="20"/>
              </w:rPr>
              <w:t>四维图新新加坡有限公司</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3" w:right="0"/>
              <w:jc w:val="center"/>
              <w:rPr>
                <w:rFonts w:ascii="宋体" w:hAnsi="宋体" w:cs="宋体" w:eastAsia="宋体" w:hint="default"/>
                <w:sz w:val="20"/>
                <w:szCs w:val="20"/>
              </w:rPr>
            </w:pPr>
            <w:r>
              <w:rPr>
                <w:rFonts w:ascii="宋体" w:hAnsi="宋体" w:cs="宋体" w:eastAsia="宋体" w:hint="default"/>
                <w:sz w:val="20"/>
                <w:szCs w:val="20"/>
              </w:rPr>
              <w:t>设立</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4" w:right="0"/>
              <w:jc w:val="center"/>
              <w:rPr>
                <w:rFonts w:ascii="Times New Roman" w:hAnsi="Times New Roman" w:cs="Times New Roman" w:eastAsia="Times New Roman" w:hint="default"/>
                <w:sz w:val="20"/>
                <w:szCs w:val="20"/>
              </w:rPr>
            </w:pPr>
            <w:r>
              <w:rPr>
                <w:rFonts w:ascii="Times New Roman"/>
                <w:sz w:val="20"/>
              </w:rPr>
              <w:t>100.00</w:t>
            </w:r>
          </w:p>
        </w:tc>
        <w:tc>
          <w:tcPr>
            <w:tcW w:w="18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r>
    </w:tbl>
    <w:p>
      <w:pPr>
        <w:spacing w:line="240" w:lineRule="auto" w:before="11"/>
        <w:rPr>
          <w:rFonts w:ascii="宋体" w:hAnsi="宋体" w:cs="宋体" w:eastAsia="宋体" w:hint="default"/>
          <w:sz w:val="14"/>
          <w:szCs w:val="14"/>
        </w:rPr>
      </w:pPr>
    </w:p>
    <w:p>
      <w:pPr>
        <w:pStyle w:val="Heading7"/>
        <w:spacing w:line="271" w:lineRule="auto" w:before="37"/>
        <w:ind w:right="174"/>
        <w:jc w:val="left"/>
      </w:pPr>
      <w:r>
        <w:rPr/>
        <w:t>注：四维图新新加坡有限公司成立于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20</w:t>
      </w:r>
      <w:r>
        <w:rPr/>
        <w:t>日，是由本公司出资设立的全资子公司，注册资本为</w:t>
      </w:r>
      <w:r>
        <w:rPr>
          <w:rFonts w:ascii="Times New Roman" w:hAnsi="Times New Roman" w:cs="Times New Roman" w:eastAsia="Times New Roman" w:hint="default"/>
        </w:rPr>
        <w:t>10</w:t>
      </w:r>
      <w:r>
        <w:rPr/>
        <w:t>万美</w:t>
      </w:r>
      <w:r>
        <w:rPr>
          <w:w w:val="99"/>
        </w:rPr>
        <w:t> </w:t>
      </w:r>
      <w:r>
        <w:rPr/>
        <w:t>元，截至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日，本公司尚未实际缴付出资。</w:t>
      </w:r>
    </w:p>
    <w:p>
      <w:pPr>
        <w:spacing w:line="240" w:lineRule="auto" w:before="1"/>
        <w:rPr>
          <w:rFonts w:ascii="宋体" w:hAnsi="宋体" w:cs="宋体" w:eastAsia="宋体" w:hint="default"/>
          <w:sz w:val="23"/>
          <w:szCs w:val="23"/>
        </w:rPr>
      </w:pPr>
    </w:p>
    <w:p>
      <w:pPr>
        <w:pStyle w:val="Heading5"/>
        <w:spacing w:line="240" w:lineRule="auto"/>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九、在其他主体中的权益</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、在子公司中的权益</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）企业集团的构成</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8"/>
        <w:gridCol w:w="1366"/>
        <w:gridCol w:w="1368"/>
        <w:gridCol w:w="1368"/>
        <w:gridCol w:w="1366"/>
        <w:gridCol w:w="1366"/>
      </w:tblGrid>
      <w:tr>
        <w:trPr>
          <w:trHeight w:val="401"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b/>
                <w:bCs/>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3"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24"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北京图新经纬 导航系统有限公 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26" w:right="70"/>
              <w:jc w:val="left"/>
              <w:rPr>
                <w:rFonts w:ascii="宋体" w:hAnsi="宋体" w:cs="宋体" w:eastAsia="宋体" w:hint="default"/>
                <w:sz w:val="18"/>
                <w:szCs w:val="18"/>
              </w:rPr>
            </w:pPr>
            <w:r>
              <w:rPr>
                <w:rFonts w:ascii="宋体" w:hAnsi="宋体" w:cs="宋体" w:eastAsia="宋体" w:hint="default"/>
                <w:sz w:val="18"/>
                <w:szCs w:val="18"/>
              </w:rPr>
              <w:t>导航电子地图销 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8"/>
        <w:gridCol w:w="1366"/>
        <w:gridCol w:w="1368"/>
        <w:gridCol w:w="1368"/>
        <w:gridCol w:w="1366"/>
        <w:gridCol w:w="1366"/>
      </w:tblGrid>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上海纳维信息 技术有限公司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导航电子地图销 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2"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北京四维图新 科技有限公司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6" w:right="70"/>
              <w:jc w:val="left"/>
              <w:rPr>
                <w:rFonts w:ascii="宋体" w:hAnsi="宋体" w:cs="宋体" w:eastAsia="宋体" w:hint="default"/>
                <w:sz w:val="18"/>
                <w:szCs w:val="18"/>
              </w:rPr>
            </w:pPr>
            <w:r>
              <w:rPr>
                <w:rFonts w:ascii="宋体" w:hAnsi="宋体" w:cs="宋体" w:eastAsia="宋体" w:hint="default"/>
                <w:sz w:val="18"/>
                <w:szCs w:val="18"/>
              </w:rPr>
              <w:t>导航电子地图技 术开发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北京世纪高通 科技有限公司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动态交通信息服 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90.00%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2" w:right="11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四维图新（香 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6" w:right="70"/>
              <w:jc w:val="left"/>
              <w:rPr>
                <w:rFonts w:ascii="宋体" w:hAnsi="宋体" w:cs="宋体" w:eastAsia="宋体" w:hint="default"/>
                <w:sz w:val="18"/>
                <w:szCs w:val="18"/>
              </w:rPr>
            </w:pPr>
            <w:r>
              <w:rPr>
                <w:rFonts w:ascii="宋体" w:hAnsi="宋体" w:cs="宋体" w:eastAsia="宋体" w:hint="default"/>
                <w:sz w:val="18"/>
                <w:szCs w:val="18"/>
              </w:rPr>
              <w:t>导航电子地图产 品与技术开发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22"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上海四维图新 信息技术有限公 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6" w:right="70"/>
              <w:jc w:val="left"/>
              <w:rPr>
                <w:rFonts w:ascii="宋体" w:hAnsi="宋体" w:cs="宋体" w:eastAsia="宋体" w:hint="default"/>
                <w:sz w:val="18"/>
                <w:szCs w:val="18"/>
              </w:rPr>
            </w:pPr>
            <w:r>
              <w:rPr>
                <w:rFonts w:ascii="宋体" w:hAnsi="宋体" w:cs="宋体" w:eastAsia="宋体" w:hint="default"/>
                <w:sz w:val="18"/>
                <w:szCs w:val="18"/>
              </w:rPr>
              <w:t>计算机软件开发 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51"/>
              <w:ind w:left="22"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西安四维图新 信息技术有限公 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西安</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西安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4" w:lineRule="auto"/>
              <w:ind w:left="26" w:right="70"/>
              <w:jc w:val="left"/>
              <w:rPr>
                <w:rFonts w:ascii="宋体" w:hAnsi="宋体" w:cs="宋体" w:eastAsia="宋体" w:hint="default"/>
                <w:sz w:val="18"/>
                <w:szCs w:val="18"/>
              </w:rPr>
            </w:pPr>
            <w:r>
              <w:rPr>
                <w:rFonts w:ascii="宋体" w:hAnsi="宋体" w:cs="宋体" w:eastAsia="宋体" w:hint="default"/>
                <w:sz w:val="18"/>
                <w:szCs w:val="18"/>
              </w:rPr>
              <w:t>信息技术产品开 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49"/>
              <w:ind w:left="22" w:right="75"/>
              <w:jc w:val="both"/>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中交宇科（北 京）空间信息技 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6" w:right="0"/>
              <w:jc w:val="left"/>
              <w:rPr>
                <w:rFonts w:ascii="宋体" w:hAnsi="宋体" w:cs="宋体" w:eastAsia="宋体" w:hint="default"/>
                <w:sz w:val="18"/>
                <w:szCs w:val="18"/>
              </w:rPr>
            </w:pPr>
            <w:r>
              <w:rPr>
                <w:rFonts w:ascii="宋体" w:hAnsi="宋体" w:cs="宋体" w:eastAsia="宋体" w:hint="default"/>
                <w:sz w:val="18"/>
                <w:szCs w:val="18"/>
              </w:rPr>
              <w:t>勘察测绘</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51.98%</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316" w:lineRule="auto"/>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361" w:hRule="exact"/>
        </w:trPr>
        <w:tc>
          <w:tcPr>
            <w:tcW w:w="137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北京图迅丰达</w:t>
            </w: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车载导航地图系</w:t>
            </w: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vMerge w:val="restart"/>
            <w:tcBorders>
              <w:top w:val="single" w:sz="4" w:space="0" w:color="000000"/>
              <w:left w:val="single" w:sz="4" w:space="0" w:color="000000"/>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3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信息技术有限公</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6" w:right="0"/>
              <w:jc w:val="left"/>
              <w:rPr>
                <w:rFonts w:ascii="宋体" w:hAnsi="宋体" w:cs="宋体" w:eastAsia="宋体" w:hint="default"/>
                <w:sz w:val="18"/>
                <w:szCs w:val="18"/>
              </w:rPr>
            </w:pPr>
            <w:r>
              <w:rPr>
                <w:rFonts w:ascii="宋体" w:hAnsi="宋体" w:cs="宋体" w:eastAsia="宋体" w:hint="default"/>
                <w:sz w:val="18"/>
                <w:szCs w:val="18"/>
              </w:rPr>
              <w:t>统的技术开发及</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8"/>
              <w:jc w:val="right"/>
              <w:rPr>
                <w:rFonts w:ascii="Times New Roman" w:hAnsi="Times New Roman" w:cs="Times New Roman" w:eastAsia="Times New Roman" w:hint="default"/>
                <w:sz w:val="18"/>
                <w:szCs w:val="18"/>
              </w:rPr>
            </w:pPr>
            <w:r>
              <w:rPr>
                <w:rFonts w:ascii="Times New Roman"/>
                <w:sz w:val="18"/>
              </w:rPr>
              <w:t>51.00%</w:t>
            </w:r>
          </w:p>
        </w:tc>
        <w:tc>
          <w:tcPr>
            <w:tcW w:w="1366" w:type="dxa"/>
            <w:vMerge/>
            <w:tcBorders>
              <w:left w:val="single" w:sz="4" w:space="0" w:color="000000"/>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54" w:hRule="exact"/>
        </w:trPr>
        <w:tc>
          <w:tcPr>
            <w:tcW w:w="137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4"/>
              <w:ind w:left="26" w:right="0"/>
              <w:jc w:val="left"/>
              <w:rPr>
                <w:rFonts w:ascii="宋体" w:hAnsi="宋体" w:cs="宋体" w:eastAsia="宋体" w:hint="default"/>
                <w:sz w:val="18"/>
                <w:szCs w:val="18"/>
              </w:rPr>
            </w:pPr>
            <w:r>
              <w:rPr>
                <w:rFonts w:ascii="宋体" w:hAnsi="宋体" w:cs="宋体" w:eastAsia="宋体" w:hint="default"/>
                <w:sz w:val="18"/>
                <w:szCs w:val="18"/>
              </w:rPr>
              <w:t>服务</w:t>
            </w: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vMerge/>
            <w:tcBorders>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r>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中寰卫星导航</w:t>
            </w:r>
            <w:r>
              <w:rPr>
                <w:rFonts w:ascii="宋体" w:hAnsi="宋体" w:cs="宋体" w:eastAsia="宋体" w:hint="default"/>
                <w:spacing w:val="-87"/>
                <w:sz w:val="18"/>
                <w:szCs w:val="18"/>
              </w:rPr>
              <w:t> </w:t>
            </w:r>
            <w:r>
              <w:rPr>
                <w:rFonts w:ascii="宋体" w:hAnsi="宋体" w:cs="宋体" w:eastAsia="宋体" w:hint="default"/>
                <w:sz w:val="18"/>
                <w:szCs w:val="18"/>
              </w:rPr>
              <w:t>通信有限公司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车载定位系统及 监控服务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76.32%</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同一控制下企业 合并</w:t>
            </w:r>
          </w:p>
        </w:tc>
      </w:tr>
      <w:tr>
        <w:trPr>
          <w:trHeight w:val="361" w:hRule="exact"/>
        </w:trPr>
        <w:tc>
          <w:tcPr>
            <w:tcW w:w="137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北京图新智盛</w:t>
            </w: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vMerge w:val="restart"/>
            <w:tcBorders>
              <w:top w:val="single" w:sz="4" w:space="0" w:color="000000"/>
              <w:left w:val="single" w:sz="4" w:space="0" w:color="000000"/>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3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信息技术有限公</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6"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8"/>
              <w:jc w:val="right"/>
              <w:rPr>
                <w:rFonts w:ascii="Times New Roman" w:hAnsi="Times New Roman" w:cs="Times New Roman" w:eastAsia="Times New Roman" w:hint="default"/>
                <w:sz w:val="18"/>
                <w:szCs w:val="18"/>
              </w:rPr>
            </w:pPr>
            <w:r>
              <w:rPr>
                <w:rFonts w:ascii="Times New Roman"/>
                <w:sz w:val="18"/>
              </w:rPr>
              <w:t>65.00%</w:t>
            </w:r>
          </w:p>
        </w:tc>
        <w:tc>
          <w:tcPr>
            <w:tcW w:w="1366" w:type="dxa"/>
            <w:vMerge/>
            <w:tcBorders>
              <w:left w:val="single" w:sz="4" w:space="0" w:color="000000"/>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54" w:hRule="exact"/>
        </w:trPr>
        <w:tc>
          <w:tcPr>
            <w:tcW w:w="137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vMerge/>
            <w:tcBorders>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r>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西安四维图新</w:t>
            </w:r>
            <w:r>
              <w:rPr>
                <w:rFonts w:ascii="宋体" w:hAnsi="宋体" w:cs="宋体" w:eastAsia="宋体" w:hint="default"/>
                <w:spacing w:val="-87"/>
                <w:sz w:val="18"/>
                <w:szCs w:val="18"/>
              </w:rPr>
              <w:t> </w:t>
            </w:r>
            <w:r>
              <w:rPr>
                <w:rFonts w:ascii="宋体" w:hAnsi="宋体" w:cs="宋体" w:eastAsia="宋体" w:hint="default"/>
                <w:sz w:val="18"/>
                <w:szCs w:val="18"/>
              </w:rPr>
              <w:t>实业有限公司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西安</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西安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房地产开发与经 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97" w:lineRule="auto" w:before="51"/>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长沙市海图科</w:t>
            </w:r>
            <w:r>
              <w:rPr>
                <w:rFonts w:ascii="宋体" w:hAnsi="宋体" w:cs="宋体" w:eastAsia="宋体" w:hint="default"/>
                <w:spacing w:val="-87"/>
                <w:sz w:val="18"/>
                <w:szCs w:val="18"/>
              </w:rPr>
              <w:t> </w:t>
            </w:r>
            <w:r>
              <w:rPr>
                <w:rFonts w:ascii="宋体" w:hAnsi="宋体" w:cs="宋体" w:eastAsia="宋体" w:hint="default"/>
                <w:sz w:val="18"/>
                <w:szCs w:val="18"/>
              </w:rPr>
              <w:t>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长沙</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6" w:right="70"/>
              <w:jc w:val="left"/>
              <w:rPr>
                <w:rFonts w:ascii="宋体" w:hAnsi="宋体" w:cs="宋体" w:eastAsia="宋体" w:hint="default"/>
                <w:sz w:val="18"/>
                <w:szCs w:val="18"/>
              </w:rPr>
            </w:pPr>
            <w:r>
              <w:rPr>
                <w:rFonts w:ascii="宋体" w:hAnsi="宋体" w:cs="宋体" w:eastAsia="宋体" w:hint="default"/>
                <w:sz w:val="18"/>
                <w:szCs w:val="18"/>
              </w:rPr>
              <w:t>地理信息系统的 研发及技术服务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宋体" w:hAnsi="宋体" w:cs="宋体" w:eastAsia="宋体" w:hint="default"/>
                <w:sz w:val="18"/>
                <w:szCs w:val="18"/>
              </w:rPr>
              <w:t>武汉四维图新</w:t>
            </w:r>
            <w:r>
              <w:rPr>
                <w:rFonts w:ascii="宋体" w:hAnsi="宋体" w:cs="宋体" w:eastAsia="宋体" w:hint="default"/>
                <w:spacing w:val="-87"/>
                <w:sz w:val="18"/>
                <w:szCs w:val="18"/>
              </w:rPr>
              <w:t> </w:t>
            </w:r>
            <w:r>
              <w:rPr>
                <w:rFonts w:ascii="宋体" w:hAnsi="宋体" w:cs="宋体" w:eastAsia="宋体" w:hint="default"/>
                <w:sz w:val="18"/>
                <w:szCs w:val="18"/>
              </w:rPr>
              <w:t>科技有限公司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导航电子地图技 术开发</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97" w:lineRule="auto"/>
              <w:ind w:left="22" w:right="117"/>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四维图新新 加坡有限公司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6" w:right="70"/>
              <w:jc w:val="both"/>
              <w:rPr>
                <w:rFonts w:ascii="宋体" w:hAnsi="宋体" w:cs="宋体" w:eastAsia="宋体" w:hint="default"/>
                <w:sz w:val="18"/>
                <w:szCs w:val="18"/>
              </w:rPr>
            </w:pPr>
            <w:r>
              <w:rPr>
                <w:rFonts w:ascii="宋体" w:hAnsi="宋体" w:cs="宋体" w:eastAsia="宋体" w:hint="default"/>
                <w:sz w:val="18"/>
                <w:szCs w:val="18"/>
              </w:rPr>
              <w:t>导航电子地图开 发和销售及车联 网业务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3"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152"/>
              <w:jc w:val="left"/>
              <w:rPr>
                <w:rFonts w:ascii="Times New Roman" w:hAnsi="Times New Roman" w:cs="Times New Roman" w:eastAsia="Times New Roman" w:hint="default"/>
                <w:sz w:val="18"/>
                <w:szCs w:val="18"/>
              </w:rPr>
            </w:pPr>
            <w:r>
              <w:rPr>
                <w:rFonts w:ascii="Times New Roman" w:hAnsi="Times New Roman"/>
                <w:sz w:val="18"/>
              </w:rPr>
              <w:t>16.Coöperatieve NavInfo</w:t>
            </w:r>
            <w:r>
              <w:rPr>
                <w:rFonts w:ascii="Times New Roman" w:hAnsi="Times New Roman"/>
                <w:spacing w:val="-7"/>
                <w:sz w:val="18"/>
              </w:rPr>
              <w:t> </w:t>
            </w:r>
            <w:r>
              <w:rPr>
                <w:rFonts w:ascii="Times New Roman" w:hAnsi="Times New Roman"/>
                <w:sz w:val="18"/>
              </w:rPr>
              <w:t>U.A.</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荷兰</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荷兰</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导航电子地图相 关研发与销售</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7"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Times New Roman" w:hAnsi="Times New Roman" w:cs="Times New Roman" w:eastAsia="Times New Roman" w:hint="default"/>
                <w:sz w:val="21"/>
                <w:szCs w:val="21"/>
              </w:rPr>
            </w:pPr>
          </w:p>
          <w:p>
            <w:pPr>
              <w:pStyle w:val="TableParagraph"/>
              <w:spacing w:line="360" w:lineRule="auto"/>
              <w:ind w:left="22" w:right="55"/>
              <w:jc w:val="left"/>
              <w:rPr>
                <w:rFonts w:ascii="Times New Roman" w:hAnsi="Times New Roman" w:cs="Times New Roman" w:eastAsia="Times New Roman" w:hint="default"/>
                <w:sz w:val="18"/>
                <w:szCs w:val="18"/>
              </w:rPr>
            </w:pPr>
            <w:r>
              <w:rPr>
                <w:rFonts w:ascii="Times New Roman"/>
                <w:sz w:val="18"/>
              </w:rPr>
              <w:t>17.Navinfo</w:t>
            </w:r>
            <w:r>
              <w:rPr>
                <w:rFonts w:ascii="Times New Roman"/>
                <w:spacing w:val="-4"/>
                <w:sz w:val="18"/>
              </w:rPr>
              <w:t> </w:t>
            </w:r>
            <w:r>
              <w:rPr>
                <w:rFonts w:ascii="Times New Roman"/>
                <w:sz w:val="18"/>
              </w:rPr>
              <w:t>North</w:t>
            </w:r>
            <w:r>
              <w:rPr>
                <w:rFonts w:ascii="Times New Roman"/>
                <w:w w:val="99"/>
                <w:sz w:val="18"/>
              </w:rPr>
              <w:t> </w:t>
            </w:r>
            <w:r>
              <w:rPr>
                <w:rFonts w:ascii="Times New Roman"/>
                <w:sz w:val="18"/>
              </w:rPr>
              <w:t>America</w:t>
            </w:r>
            <w:r>
              <w:rPr>
                <w:rFonts w:ascii="Times New Roman"/>
                <w:spacing w:val="-3"/>
                <w:sz w:val="18"/>
              </w:rPr>
              <w:t> </w:t>
            </w:r>
            <w:r>
              <w:rPr>
                <w:rFonts w:ascii="Times New Roman"/>
                <w:sz w:val="18"/>
              </w:rPr>
              <w:t>Corp.</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6" w:right="70"/>
              <w:jc w:val="both"/>
              <w:rPr>
                <w:rFonts w:ascii="宋体" w:hAnsi="宋体" w:cs="宋体" w:eastAsia="宋体" w:hint="default"/>
                <w:sz w:val="18"/>
                <w:szCs w:val="18"/>
              </w:rPr>
            </w:pPr>
            <w:r>
              <w:rPr>
                <w:rFonts w:ascii="宋体" w:hAnsi="宋体" w:cs="宋体" w:eastAsia="宋体" w:hint="default"/>
                <w:sz w:val="18"/>
                <w:szCs w:val="18"/>
              </w:rPr>
              <w:t>研发和销售汽车 导航相关软件产 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370"/>
        <w:gridCol w:w="1368"/>
        <w:gridCol w:w="1366"/>
        <w:gridCol w:w="1368"/>
        <w:gridCol w:w="1368"/>
        <w:gridCol w:w="1366"/>
        <w:gridCol w:w="1366"/>
      </w:tblGrid>
      <w:tr>
        <w:trPr>
          <w:trHeight w:val="102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487"/>
              <w:jc w:val="left"/>
              <w:rPr>
                <w:rFonts w:ascii="Times New Roman" w:hAnsi="Times New Roman" w:cs="Times New Roman" w:eastAsia="Times New Roman" w:hint="default"/>
                <w:sz w:val="18"/>
                <w:szCs w:val="18"/>
              </w:rPr>
            </w:pPr>
            <w:r>
              <w:rPr>
                <w:rFonts w:ascii="Times New Roman"/>
                <w:sz w:val="18"/>
              </w:rPr>
              <w:t>18.Mapbar </w:t>
            </w:r>
            <w:r>
              <w:rPr>
                <w:rFonts w:ascii="Times New Roman"/>
                <w:spacing w:val="-2"/>
                <w:sz w:val="18"/>
              </w:rPr>
              <w:t>Technology</w:t>
            </w:r>
            <w:r>
              <w:rPr>
                <w:rFonts w:ascii="Times New Roman"/>
                <w:spacing w:val="-39"/>
                <w:sz w:val="18"/>
              </w:rPr>
              <w:t> </w:t>
            </w:r>
            <w:r>
              <w:rPr>
                <w:rFonts w:ascii="Times New Roman"/>
                <w:spacing w:val="-39"/>
                <w:sz w:val="18"/>
              </w:rPr>
            </w:r>
            <w:r>
              <w:rPr>
                <w:rFonts w:ascii="Times New Roman"/>
                <w:sz w:val="18"/>
              </w:rPr>
              <w:t>Limited</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4"/>
              <w:ind w:left="23" w:right="0"/>
              <w:jc w:val="left"/>
              <w:rPr>
                <w:rFonts w:ascii="宋体" w:hAnsi="宋体" w:cs="宋体" w:eastAsia="宋体" w:hint="default"/>
                <w:sz w:val="18"/>
                <w:szCs w:val="18"/>
              </w:rPr>
            </w:pPr>
            <w:r>
              <w:rPr>
                <w:rFonts w:ascii="宋体" w:hAnsi="宋体" w:cs="宋体" w:eastAsia="宋体" w:hint="default"/>
                <w:sz w:val="18"/>
                <w:szCs w:val="18"/>
              </w:rPr>
              <w:t>英属维尔京群岛</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6" w:right="70"/>
              <w:jc w:val="left"/>
              <w:rPr>
                <w:rFonts w:ascii="宋体" w:hAnsi="宋体" w:cs="宋体" w:eastAsia="宋体" w:hint="default"/>
                <w:sz w:val="18"/>
                <w:szCs w:val="18"/>
              </w:rPr>
            </w:pPr>
            <w:r>
              <w:rPr>
                <w:rFonts w:ascii="宋体" w:hAnsi="宋体" w:cs="宋体" w:eastAsia="宋体" w:hint="default"/>
                <w:sz w:val="18"/>
                <w:szCs w:val="18"/>
              </w:rPr>
              <w:t>车联网事业相关 业务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60.33%</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7"/>
                <w:szCs w:val="17"/>
              </w:rPr>
            </w:pPr>
          </w:p>
          <w:p>
            <w:pPr>
              <w:pStyle w:val="TableParagraph"/>
              <w:spacing w:line="316" w:lineRule="auto"/>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361" w:hRule="exact"/>
        </w:trPr>
        <w:tc>
          <w:tcPr>
            <w:tcW w:w="137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宋体" w:hAnsi="宋体" w:cs="宋体" w:eastAsia="宋体" w:hint="default"/>
                <w:sz w:val="18"/>
                <w:szCs w:val="18"/>
              </w:rPr>
              <w:t>图新投资（香</w:t>
            </w: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8" w:type="dxa"/>
            <w:tcBorders>
              <w:top w:val="single" w:sz="4" w:space="0" w:color="000000"/>
              <w:left w:val="single" w:sz="4" w:space="0" w:color="000000"/>
              <w:bottom w:val="nil" w:sz="6" w:space="0" w:color="auto"/>
              <w:right w:val="single" w:sz="4" w:space="0" w:color="000000"/>
            </w:tcBorders>
          </w:tcPr>
          <w:p>
            <w:pPr/>
          </w:p>
        </w:tc>
        <w:tc>
          <w:tcPr>
            <w:tcW w:w="1366" w:type="dxa"/>
            <w:vMerge w:val="restart"/>
            <w:tcBorders>
              <w:top w:val="single" w:sz="4" w:space="0" w:color="000000"/>
              <w:left w:val="single" w:sz="4" w:space="0" w:color="000000"/>
              <w:right w:val="single" w:sz="4" w:space="0" w:color="000000"/>
            </w:tcBorders>
          </w:tcPr>
          <w:p>
            <w:pPr/>
          </w:p>
        </w:tc>
        <w:tc>
          <w:tcPr>
            <w:tcW w:w="1366"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137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港）科技有限公</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6" w:right="0"/>
              <w:jc w:val="left"/>
              <w:rPr>
                <w:rFonts w:ascii="宋体" w:hAnsi="宋体" w:cs="宋体" w:eastAsia="宋体" w:hint="default"/>
                <w:sz w:val="18"/>
                <w:szCs w:val="18"/>
              </w:rPr>
            </w:pPr>
            <w:r>
              <w:rPr>
                <w:rFonts w:ascii="宋体" w:hAnsi="宋体" w:cs="宋体" w:eastAsia="宋体" w:hint="default"/>
                <w:sz w:val="18"/>
                <w:szCs w:val="18"/>
              </w:rPr>
              <w:t>投资并购</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vMerge/>
            <w:tcBorders>
              <w:left w:val="single" w:sz="4" w:space="0" w:color="000000"/>
              <w:right w:val="single" w:sz="4" w:space="0" w:color="000000"/>
            </w:tcBorders>
          </w:tcPr>
          <w:p>
            <w:pPr/>
          </w:p>
        </w:tc>
        <w:tc>
          <w:tcPr>
            <w:tcW w:w="136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left="23"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354" w:hRule="exact"/>
        </w:trPr>
        <w:tc>
          <w:tcPr>
            <w:tcW w:w="137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4"/>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8" w:type="dxa"/>
            <w:tcBorders>
              <w:top w:val="nil" w:sz="6" w:space="0" w:color="auto"/>
              <w:left w:val="single" w:sz="4" w:space="0" w:color="000000"/>
              <w:bottom w:val="single" w:sz="4" w:space="0" w:color="000000"/>
              <w:right w:val="single" w:sz="4" w:space="0" w:color="000000"/>
            </w:tcBorders>
          </w:tcPr>
          <w:p>
            <w:pPr/>
          </w:p>
        </w:tc>
        <w:tc>
          <w:tcPr>
            <w:tcW w:w="1366" w:type="dxa"/>
            <w:vMerge/>
            <w:tcBorders>
              <w:left w:val="single" w:sz="4" w:space="0" w:color="000000"/>
              <w:bottom w:val="single" w:sz="4" w:space="0" w:color="000000"/>
              <w:right w:val="single" w:sz="4" w:space="0" w:color="000000"/>
            </w:tcBorders>
          </w:tcPr>
          <w:p>
            <w:pPr/>
          </w:p>
        </w:tc>
        <w:tc>
          <w:tcPr>
            <w:tcW w:w="1366" w:type="dxa"/>
            <w:tcBorders>
              <w:top w:val="nil" w:sz="6" w:space="0" w:color="auto"/>
              <w:left w:val="single" w:sz="4" w:space="0" w:color="000000"/>
              <w:bottom w:val="single" w:sz="4" w:space="0" w:color="000000"/>
              <w:right w:val="single" w:sz="4" w:space="0" w:color="000000"/>
            </w:tcBorders>
          </w:tcPr>
          <w:p>
            <w:pPr/>
          </w:p>
        </w:tc>
      </w:tr>
      <w:tr>
        <w:trPr>
          <w:trHeight w:val="715"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49"/>
              <w:ind w:left="22" w:right="26"/>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宋体" w:hAnsi="宋体" w:cs="宋体" w:eastAsia="宋体" w:hint="default"/>
                <w:sz w:val="18"/>
                <w:szCs w:val="18"/>
              </w:rPr>
              <w:t>合肥杰发科技</w:t>
            </w:r>
            <w:r>
              <w:rPr>
                <w:rFonts w:ascii="宋体" w:hAnsi="宋体" w:cs="宋体" w:eastAsia="宋体" w:hint="default"/>
                <w:spacing w:val="-87"/>
                <w:sz w:val="18"/>
                <w:szCs w:val="18"/>
              </w:rPr>
              <w:t> </w:t>
            </w:r>
            <w:r>
              <w:rPr>
                <w:rFonts w:ascii="宋体" w:hAnsi="宋体" w:cs="宋体" w:eastAsia="宋体" w:hint="default"/>
                <w:sz w:val="18"/>
                <w:szCs w:val="18"/>
              </w:rPr>
              <w:t>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台湾</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合肥</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7"/>
                <w:szCs w:val="17"/>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汽车电子芯片</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bl>
    <w:p>
      <w:pPr>
        <w:pStyle w:val="BodyText"/>
        <w:spacing w:line="357" w:lineRule="auto" w:before="49"/>
        <w:ind w:right="1674"/>
        <w:jc w:val="left"/>
      </w:pPr>
      <w:r>
        <w:rPr/>
        <w:t>在子公司的持股比例不同于表决权比例的说明：无 持有半数或以下表决权但仍控制被投资单位、以及持有半数以上表决权但不控制被投资单位的依据：无 对于纳入合并范围的重要的结构化主体，控制的依据：无</w:t>
      </w:r>
    </w:p>
    <w:p>
      <w:pPr>
        <w:pStyle w:val="BodyText"/>
        <w:spacing w:line="360" w:lineRule="auto" w:before="26"/>
        <w:ind w:right="6534"/>
        <w:jc w:val="left"/>
      </w:pPr>
      <w:r>
        <w:rPr/>
        <w:t>确定公司是代理人还是委托人的依据：无 其他说明：无</w:t>
      </w:r>
    </w:p>
    <w:p>
      <w:pPr>
        <w:spacing w:line="240" w:lineRule="auto" w:before="4"/>
        <w:rPr>
          <w:rFonts w:ascii="宋体" w:hAnsi="宋体" w:cs="宋体" w:eastAsia="宋体" w:hint="default"/>
          <w:sz w:val="20"/>
          <w:szCs w:val="20"/>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）重要的非全资子公司</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4"/>
        <w:gridCol w:w="1916"/>
        <w:gridCol w:w="1913"/>
        <w:gridCol w:w="1913"/>
        <w:gridCol w:w="1916"/>
      </w:tblGrid>
      <w:tr>
        <w:trPr>
          <w:trHeight w:val="766"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5"/>
              <w:ind w:left="772" w:right="48"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75"/>
              <w:ind w:left="592" w:right="48"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50"/>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713"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81"/>
              <w:jc w:val="left"/>
              <w:rPr>
                <w:rFonts w:ascii="宋体" w:hAnsi="宋体" w:cs="宋体" w:eastAsia="宋体" w:hint="default"/>
                <w:sz w:val="18"/>
                <w:szCs w:val="18"/>
              </w:rPr>
            </w:pPr>
            <w:r>
              <w:rPr>
                <w:rFonts w:ascii="宋体" w:hAnsi="宋体" w:cs="宋体" w:eastAsia="宋体" w:hint="default"/>
                <w:sz w:val="18"/>
                <w:szCs w:val="18"/>
              </w:rPr>
              <w:t>北京图新经纬导航系统 有限公司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49.00%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4,034,605.11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3,675,000.00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15,119,709.55</w:t>
            </w:r>
          </w:p>
        </w:tc>
      </w:tr>
      <w:tr>
        <w:trPr>
          <w:trHeight w:val="715"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81"/>
              <w:jc w:val="left"/>
              <w:rPr>
                <w:rFonts w:ascii="宋体" w:hAnsi="宋体" w:cs="宋体" w:eastAsia="宋体" w:hint="default"/>
                <w:sz w:val="18"/>
                <w:szCs w:val="18"/>
              </w:rPr>
            </w:pPr>
            <w:r>
              <w:rPr>
                <w:rFonts w:ascii="宋体" w:hAnsi="宋体" w:cs="宋体" w:eastAsia="宋体" w:hint="default"/>
                <w:sz w:val="18"/>
                <w:szCs w:val="18"/>
              </w:rPr>
              <w:t>北京世纪高通科技有限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6,563,397.94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4,021,620.53</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15,032,576.65</w:t>
            </w:r>
          </w:p>
        </w:tc>
      </w:tr>
      <w:tr>
        <w:trPr>
          <w:trHeight w:val="713"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81"/>
              <w:jc w:val="left"/>
              <w:rPr>
                <w:rFonts w:ascii="宋体" w:hAnsi="宋体" w:cs="宋体" w:eastAsia="宋体" w:hint="default"/>
                <w:sz w:val="18"/>
                <w:szCs w:val="18"/>
              </w:rPr>
            </w:pPr>
            <w:r>
              <w:rPr>
                <w:rFonts w:ascii="宋体" w:hAnsi="宋体" w:cs="宋体" w:eastAsia="宋体" w:hint="default"/>
                <w:sz w:val="18"/>
                <w:szCs w:val="18"/>
              </w:rPr>
              <w:t>中交宇科（北京）空间 信息技术有限公司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48.02%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3,498,261.66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39,936,247.83</w:t>
            </w:r>
          </w:p>
        </w:tc>
      </w:tr>
      <w:tr>
        <w:trPr>
          <w:trHeight w:val="715"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81"/>
              <w:jc w:val="left"/>
              <w:rPr>
                <w:rFonts w:ascii="宋体" w:hAnsi="宋体" w:cs="宋体" w:eastAsia="宋体" w:hint="default"/>
                <w:sz w:val="18"/>
                <w:szCs w:val="18"/>
              </w:rPr>
            </w:pPr>
            <w:r>
              <w:rPr>
                <w:rFonts w:ascii="宋体" w:hAnsi="宋体" w:cs="宋体" w:eastAsia="宋体" w:hint="default"/>
                <w:sz w:val="18"/>
                <w:szCs w:val="18"/>
              </w:rPr>
              <w:t>北京图迅丰达信息技术 有限公司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49.00%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3,069,317.98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18,715,772.82</w:t>
            </w:r>
          </w:p>
        </w:tc>
      </w:tr>
      <w:tr>
        <w:trPr>
          <w:trHeight w:val="713"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81"/>
              <w:jc w:val="left"/>
              <w:rPr>
                <w:rFonts w:ascii="宋体" w:hAnsi="宋体" w:cs="宋体" w:eastAsia="宋体" w:hint="default"/>
                <w:sz w:val="18"/>
                <w:szCs w:val="18"/>
              </w:rPr>
            </w:pPr>
            <w:r>
              <w:rPr>
                <w:rFonts w:ascii="宋体" w:hAnsi="宋体" w:cs="宋体" w:eastAsia="宋体" w:hint="default"/>
                <w:sz w:val="18"/>
                <w:szCs w:val="18"/>
              </w:rPr>
              <w:t>中寰卫星导航通信有限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23.68%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-1,116,458.16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2,660,000.00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37,298,246.68</w:t>
            </w:r>
          </w:p>
        </w:tc>
      </w:tr>
      <w:tr>
        <w:trPr>
          <w:trHeight w:val="716"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22" w:right="81"/>
              <w:jc w:val="left"/>
              <w:rPr>
                <w:rFonts w:ascii="宋体" w:hAnsi="宋体" w:cs="宋体" w:eastAsia="宋体" w:hint="default"/>
                <w:sz w:val="18"/>
                <w:szCs w:val="18"/>
              </w:rPr>
            </w:pPr>
            <w:r>
              <w:rPr>
                <w:rFonts w:ascii="宋体" w:hAnsi="宋体" w:cs="宋体" w:eastAsia="宋体" w:hint="default"/>
                <w:sz w:val="18"/>
                <w:szCs w:val="18"/>
              </w:rPr>
              <w:t>北京图新智盛信息技术 有限公司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35.00%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-1,886,263.25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7,189,630.43</w:t>
            </w:r>
          </w:p>
        </w:tc>
      </w:tr>
      <w:tr>
        <w:trPr>
          <w:trHeight w:val="713"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49"/>
              <w:ind w:left="22" w:right="81"/>
              <w:jc w:val="left"/>
              <w:rPr>
                <w:rFonts w:ascii="宋体" w:hAnsi="宋体" w:cs="宋体" w:eastAsia="宋体" w:hint="default"/>
                <w:sz w:val="18"/>
                <w:szCs w:val="18"/>
              </w:rPr>
            </w:pPr>
            <w:r>
              <w:rPr>
                <w:rFonts w:ascii="宋体" w:hAnsi="宋体" w:cs="宋体" w:eastAsia="宋体" w:hint="default"/>
                <w:sz w:val="18"/>
                <w:szCs w:val="18"/>
              </w:rPr>
              <w:t>长沙市海图科技有限公 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49.00%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-10,478,390.52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6,585,798.84</w:t>
            </w:r>
          </w:p>
        </w:tc>
      </w:tr>
      <w:tr>
        <w:trPr>
          <w:trHeight w:val="715" w:hRule="exact"/>
        </w:trPr>
        <w:tc>
          <w:tcPr>
            <w:tcW w:w="1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430"/>
              <w:jc w:val="left"/>
              <w:rPr>
                <w:rFonts w:ascii="Times New Roman" w:hAnsi="Times New Roman" w:cs="Times New Roman" w:eastAsia="Times New Roman" w:hint="default"/>
                <w:sz w:val="18"/>
                <w:szCs w:val="18"/>
              </w:rPr>
            </w:pPr>
            <w:r>
              <w:rPr>
                <w:rFonts w:ascii="Times New Roman"/>
                <w:sz w:val="18"/>
              </w:rPr>
              <w:t>Mapbar</w:t>
            </w:r>
            <w:r>
              <w:rPr>
                <w:rFonts w:ascii="Times New Roman"/>
                <w:spacing w:val="-15"/>
                <w:sz w:val="18"/>
              </w:rPr>
              <w:t> </w:t>
            </w:r>
            <w:r>
              <w:rPr>
                <w:rFonts w:ascii="Times New Roman"/>
                <w:sz w:val="18"/>
              </w:rPr>
              <w:t>Technology</w:t>
            </w:r>
            <w:r>
              <w:rPr>
                <w:rFonts w:ascii="Times New Roman"/>
                <w:sz w:val="18"/>
              </w:rPr>
              <w:t> Limited</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39.67%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-87,833,542.80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53,989,049.92</w:t>
            </w:r>
          </w:p>
        </w:tc>
      </w:tr>
    </w:tbl>
    <w:p>
      <w:pPr>
        <w:pStyle w:val="BodyText"/>
        <w:spacing w:line="357" w:lineRule="auto" w:before="49"/>
        <w:ind w:right="5454"/>
        <w:jc w:val="left"/>
      </w:pPr>
      <w:r>
        <w:rPr/>
        <w:t>子公司少数股东的持股比例不同于表决权比例的说明： 其他说明：</w:t>
      </w:r>
    </w:p>
    <w:p>
      <w:pPr>
        <w:spacing w:line="240" w:lineRule="auto" w:before="5"/>
        <w:rPr>
          <w:rFonts w:ascii="宋体" w:hAnsi="宋体" w:cs="宋体" w:eastAsia="宋体" w:hint="default"/>
          <w:sz w:val="16"/>
          <w:szCs w:val="16"/>
        </w:rPr>
      </w:pPr>
    </w:p>
    <w:p>
      <w:pPr>
        <w:pStyle w:val="Heading7"/>
        <w:spacing w:line="268" w:lineRule="auto"/>
        <w:ind w:right="0" w:firstLine="401"/>
        <w:jc w:val="left"/>
      </w:pPr>
      <w:r>
        <w:rPr>
          <w:w w:val="95"/>
        </w:rPr>
        <w:t>由于中寰卫星增资时点为</w:t>
      </w:r>
      <w:r>
        <w:rPr>
          <w:rFonts w:ascii="Times New Roman" w:hAnsi="Times New Roman" w:cs="Times New Roman" w:eastAsia="Times New Roman" w:hint="default"/>
          <w:w w:val="95"/>
        </w:rPr>
        <w:t>2017</w:t>
      </w:r>
      <w:r>
        <w:rPr>
          <w:w w:val="95"/>
        </w:rPr>
        <w:t>年</w:t>
      </w:r>
      <w:r>
        <w:rPr>
          <w:rFonts w:ascii="Times New Roman" w:hAnsi="Times New Roman" w:cs="Times New Roman" w:eastAsia="Times New Roman" w:hint="default"/>
          <w:w w:val="95"/>
        </w:rPr>
        <w:t>12</w:t>
      </w:r>
      <w:r>
        <w:rPr>
          <w:w w:val="95"/>
        </w:rPr>
        <w:t>月</w:t>
      </w:r>
      <w:r>
        <w:rPr>
          <w:rFonts w:ascii="Times New Roman" w:hAnsi="Times New Roman" w:cs="Times New Roman" w:eastAsia="Times New Roman" w:hint="default"/>
          <w:w w:val="95"/>
        </w:rPr>
        <w:t>31</w:t>
      </w:r>
      <w:r>
        <w:rPr>
          <w:w w:val="95"/>
        </w:rPr>
        <w:t>日，因此本年归属于少数股东的损益仍按照增资前少数股东股权比</w:t>
      </w:r>
      <w:r>
        <w:rPr>
          <w:spacing w:val="-45"/>
          <w:w w:val="95"/>
        </w:rPr>
        <w:t> </w:t>
      </w:r>
      <w:r>
        <w:rPr>
          <w:spacing w:val="-45"/>
          <w:w w:val="95"/>
        </w:rPr>
      </w:r>
      <w:r>
        <w:rPr/>
        <w:t>例</w:t>
      </w:r>
      <w:r>
        <w:rPr>
          <w:rFonts w:ascii="Times New Roman" w:hAnsi="Times New Roman" w:cs="Times New Roman" w:eastAsia="Times New Roman" w:hint="default"/>
        </w:rPr>
        <w:t>61.08%</w:t>
      </w:r>
      <w:r>
        <w:rPr/>
        <w:t>计算，年末少数股东权益余额按照增资后少数股东股权比例</w:t>
      </w:r>
      <w:r>
        <w:rPr>
          <w:rFonts w:ascii="Times New Roman" w:hAnsi="Times New Roman" w:cs="Times New Roman" w:eastAsia="Times New Roman" w:hint="default"/>
        </w:rPr>
        <w:t>23.68%</w:t>
      </w:r>
      <w:r>
        <w:rPr/>
        <w:t>计算。</w:t>
      </w:r>
    </w:p>
    <w:p>
      <w:pPr>
        <w:spacing w:after="0" w:line="268"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6"/>
        <w:gridCol w:w="734"/>
        <w:gridCol w:w="737"/>
        <w:gridCol w:w="737"/>
        <w:gridCol w:w="734"/>
        <w:gridCol w:w="737"/>
        <w:gridCol w:w="734"/>
        <w:gridCol w:w="735"/>
        <w:gridCol w:w="734"/>
        <w:gridCol w:w="737"/>
        <w:gridCol w:w="737"/>
        <w:gridCol w:w="734"/>
        <w:gridCol w:w="737"/>
      </w:tblGrid>
      <w:tr>
        <w:trPr>
          <w:trHeight w:val="403"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316" w:lineRule="auto"/>
              <w:ind w:left="181" w:right="92"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3"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2"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91"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89"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4" w:right="89" w:hanging="181"/>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2"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182" w:right="89" w:hanging="89"/>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73"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355"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北京图</w:t>
            </w: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0"/>
              <w:ind w:left="22" w:right="161"/>
              <w:jc w:val="both"/>
              <w:rPr>
                <w:rFonts w:ascii="宋体" w:hAnsi="宋体" w:cs="宋体" w:eastAsia="宋体" w:hint="default"/>
                <w:sz w:val="18"/>
                <w:szCs w:val="18"/>
              </w:rPr>
            </w:pPr>
            <w:r>
              <w:rPr>
                <w:rFonts w:ascii="宋体" w:hAnsi="宋体" w:cs="宋体" w:eastAsia="宋体" w:hint="default"/>
                <w:sz w:val="18"/>
                <w:szCs w:val="18"/>
              </w:rPr>
              <w:t>新经纬 导航系 统有限</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105,161,</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713.34</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1,167,15</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5.60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8" w:right="0"/>
              <w:jc w:val="center"/>
              <w:rPr>
                <w:rFonts w:ascii="Times New Roman" w:hAnsi="Times New Roman" w:cs="Times New Roman" w:eastAsia="Times New Roman" w:hint="default"/>
                <w:sz w:val="18"/>
                <w:szCs w:val="18"/>
              </w:rPr>
            </w:pPr>
            <w:r>
              <w:rPr>
                <w:rFonts w:ascii="Times New Roman"/>
                <w:sz w:val="18"/>
              </w:rPr>
              <w:t>106,328,</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868.94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75,472,3</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18.83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75,472,3</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18.83</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0" w:right="0"/>
              <w:jc w:val="center"/>
              <w:rPr>
                <w:rFonts w:ascii="Times New Roman" w:hAnsi="Times New Roman" w:cs="Times New Roman" w:eastAsia="Times New Roman" w:hint="default"/>
                <w:sz w:val="18"/>
                <w:szCs w:val="18"/>
              </w:rPr>
            </w:pPr>
            <w:r>
              <w:rPr>
                <w:rFonts w:ascii="Times New Roman"/>
                <w:sz w:val="18"/>
              </w:rPr>
              <w:t>109,825,</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690.10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1,420,63</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6.55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111,246,</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326.65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1" w:right="0"/>
              <w:jc w:val="left"/>
              <w:rPr>
                <w:rFonts w:ascii="Times New Roman" w:hAnsi="Times New Roman" w:cs="Times New Roman" w:eastAsia="Times New Roman" w:hint="default"/>
                <w:sz w:val="18"/>
                <w:szCs w:val="18"/>
              </w:rPr>
            </w:pPr>
            <w:r>
              <w:rPr>
                <w:rFonts w:ascii="Times New Roman"/>
                <w:sz w:val="18"/>
              </w:rPr>
              <w:t>80,711,9</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70.12</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80,711,9</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70.12</w:t>
            </w:r>
          </w:p>
        </w:tc>
      </w:tr>
      <w:tr>
        <w:trPr>
          <w:trHeight w:val="360"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北京世</w:t>
            </w: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纪高通</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z w:val="18"/>
              </w:rPr>
              <w:t>152,722,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60,185,6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212,908,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57,719,9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w w:val="95"/>
                <w:sz w:val="18"/>
              </w:rPr>
              <w:t>4,862,26</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62,582,2</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128,337,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66,272,0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194,609,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65,531,9</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1"/>
              <w:jc w:val="right"/>
              <w:rPr>
                <w:rFonts w:ascii="Times New Roman" w:hAnsi="Times New Roman" w:cs="Times New Roman" w:eastAsia="Times New Roman" w:hint="default"/>
                <w:sz w:val="18"/>
                <w:szCs w:val="18"/>
              </w:rPr>
            </w:pPr>
            <w:r>
              <w:rPr>
                <w:rFonts w:ascii="Times New Roman"/>
                <w:w w:val="95"/>
                <w:sz w:val="18"/>
              </w:rPr>
              <w:t>4,169,81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69,701,7</w:t>
            </w:r>
          </w:p>
        </w:tc>
      </w:tr>
      <w:tr>
        <w:trPr>
          <w:trHeight w:val="312"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科技有</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pacing w:val="-2"/>
                <w:sz w:val="18"/>
              </w:rPr>
              <w:t>411.18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z w:val="18"/>
              </w:rPr>
              <w:t>03.09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3"/>
              <w:jc w:val="right"/>
              <w:rPr>
                <w:rFonts w:ascii="Times New Roman" w:hAnsi="Times New Roman" w:cs="Times New Roman" w:eastAsia="Times New Roman" w:hint="default"/>
                <w:sz w:val="18"/>
                <w:szCs w:val="18"/>
              </w:rPr>
            </w:pPr>
            <w:r>
              <w:rPr>
                <w:rFonts w:ascii="Times New Roman"/>
                <w:spacing w:val="-1"/>
                <w:sz w:val="18"/>
              </w:rPr>
              <w:t>014.27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z w:val="18"/>
              </w:rPr>
              <w:t>83.77</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pacing w:val="-1"/>
                <w:sz w:val="18"/>
              </w:rPr>
              <w:t>4.04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z w:val="18"/>
              </w:rPr>
              <w:t>47.81</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9"/>
              <w:jc w:val="right"/>
              <w:rPr>
                <w:rFonts w:ascii="Times New Roman" w:hAnsi="Times New Roman" w:cs="Times New Roman" w:eastAsia="Times New Roman" w:hint="default"/>
                <w:sz w:val="18"/>
                <w:szCs w:val="18"/>
              </w:rPr>
            </w:pPr>
            <w:r>
              <w:rPr>
                <w:rFonts w:ascii="Times New Roman"/>
                <w:spacing w:val="-1"/>
                <w:sz w:val="18"/>
              </w:rPr>
              <w:t>700.88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z w:val="18"/>
              </w:rPr>
              <w:t>14.15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pacing w:val="-1"/>
                <w:sz w:val="18"/>
              </w:rPr>
              <w:t>715.03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9"/>
              <w:jc w:val="right"/>
              <w:rPr>
                <w:rFonts w:ascii="Times New Roman" w:hAnsi="Times New Roman" w:cs="Times New Roman" w:eastAsia="Times New Roman" w:hint="default"/>
                <w:sz w:val="18"/>
                <w:szCs w:val="18"/>
              </w:rPr>
            </w:pPr>
            <w:r>
              <w:rPr>
                <w:rFonts w:ascii="Times New Roman"/>
                <w:spacing w:val="-2"/>
                <w:sz w:val="18"/>
              </w:rPr>
              <w:t>11.42</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pacing w:val="-1"/>
                <w:sz w:val="18"/>
              </w:rPr>
              <w:t>1.23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z w:val="18"/>
              </w:rPr>
              <w:t>22.65</w:t>
            </w:r>
          </w:p>
        </w:tc>
      </w:tr>
      <w:tr>
        <w:trPr>
          <w:trHeight w:val="353"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中交宇</w:t>
            </w: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科（北</w:t>
            </w: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r>
      <w:tr>
        <w:trPr>
          <w:trHeight w:val="629"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0"/>
              <w:ind w:left="22" w:right="22"/>
              <w:jc w:val="left"/>
              <w:rPr>
                <w:rFonts w:ascii="宋体" w:hAnsi="宋体" w:cs="宋体" w:eastAsia="宋体" w:hint="default"/>
                <w:sz w:val="18"/>
                <w:szCs w:val="18"/>
              </w:rPr>
            </w:pPr>
            <w:r>
              <w:rPr>
                <w:rFonts w:ascii="宋体" w:hAnsi="宋体" w:cs="宋体" w:eastAsia="宋体" w:hint="default"/>
                <w:spacing w:val="-11"/>
                <w:sz w:val="18"/>
                <w:szCs w:val="18"/>
              </w:rPr>
              <w:t>京）空间</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信息技</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58" w:right="0"/>
              <w:jc w:val="center"/>
              <w:rPr>
                <w:rFonts w:ascii="Times New Roman" w:hAnsi="Times New Roman" w:cs="Times New Roman" w:eastAsia="Times New Roman" w:hint="default"/>
                <w:sz w:val="18"/>
                <w:szCs w:val="18"/>
              </w:rPr>
            </w:pPr>
            <w:r>
              <w:rPr>
                <w:rFonts w:ascii="Times New Roman"/>
                <w:sz w:val="18"/>
              </w:rPr>
              <w:t>117,868,</w:t>
            </w:r>
          </w:p>
          <w:p>
            <w:pPr>
              <w:pStyle w:val="TableParagraph"/>
              <w:spacing w:line="240" w:lineRule="auto" w:before="105"/>
              <w:ind w:left="187" w:right="0"/>
              <w:jc w:val="center"/>
              <w:rPr>
                <w:rFonts w:ascii="Times New Roman" w:hAnsi="Times New Roman" w:cs="Times New Roman" w:eastAsia="Times New Roman" w:hint="default"/>
                <w:sz w:val="18"/>
                <w:szCs w:val="18"/>
              </w:rPr>
            </w:pPr>
            <w:r>
              <w:rPr>
                <w:rFonts w:ascii="Times New Roman"/>
                <w:sz w:val="18"/>
              </w:rPr>
              <w:t>006.42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2,203,77</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8.59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48" w:right="0"/>
              <w:jc w:val="center"/>
              <w:rPr>
                <w:rFonts w:ascii="Times New Roman" w:hAnsi="Times New Roman" w:cs="Times New Roman" w:eastAsia="Times New Roman" w:hint="default"/>
                <w:sz w:val="18"/>
                <w:szCs w:val="18"/>
              </w:rPr>
            </w:pPr>
            <w:r>
              <w:rPr>
                <w:rFonts w:ascii="Times New Roman"/>
                <w:sz w:val="18"/>
              </w:rPr>
              <w:t>120,071,</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785.01</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36,649,8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16.54</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2" w:right="0"/>
              <w:jc w:val="left"/>
              <w:rPr>
                <w:rFonts w:ascii="Times New Roman" w:hAnsi="Times New Roman" w:cs="Times New Roman" w:eastAsia="Times New Roman" w:hint="default"/>
                <w:sz w:val="18"/>
                <w:szCs w:val="18"/>
              </w:rPr>
            </w:pPr>
            <w:r>
              <w:rPr>
                <w:rFonts w:ascii="Times New Roman"/>
                <w:sz w:val="18"/>
              </w:rPr>
              <w:t>36,649,8</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16.54</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2" w:right="0"/>
              <w:jc w:val="left"/>
              <w:rPr>
                <w:rFonts w:ascii="Times New Roman" w:hAnsi="Times New Roman" w:cs="Times New Roman" w:eastAsia="Times New Roman" w:hint="default"/>
                <w:sz w:val="18"/>
                <w:szCs w:val="18"/>
              </w:rPr>
            </w:pPr>
            <w:r>
              <w:rPr>
                <w:rFonts w:ascii="Times New Roman"/>
                <w:sz w:val="18"/>
              </w:rPr>
              <w:t>95,433,3</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85.83</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6,376,54</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8.37</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48" w:right="0"/>
              <w:jc w:val="center"/>
              <w:rPr>
                <w:rFonts w:ascii="Times New Roman" w:hAnsi="Times New Roman" w:cs="Times New Roman" w:eastAsia="Times New Roman" w:hint="default"/>
                <w:sz w:val="18"/>
                <w:szCs w:val="18"/>
              </w:rPr>
            </w:pPr>
            <w:r>
              <w:rPr>
                <w:rFonts w:ascii="Times New Roman"/>
                <w:sz w:val="18"/>
              </w:rPr>
              <w:t>101,809,</w:t>
            </w:r>
          </w:p>
          <w:p>
            <w:pPr>
              <w:pStyle w:val="TableParagraph"/>
              <w:spacing w:line="240" w:lineRule="auto" w:before="105"/>
              <w:ind w:left="185" w:right="0"/>
              <w:jc w:val="center"/>
              <w:rPr>
                <w:rFonts w:ascii="Times New Roman" w:hAnsi="Times New Roman" w:cs="Times New Roman" w:eastAsia="Times New Roman" w:hint="default"/>
                <w:sz w:val="18"/>
                <w:szCs w:val="18"/>
              </w:rPr>
            </w:pPr>
            <w:r>
              <w:rPr>
                <w:rFonts w:ascii="Times New Roman"/>
                <w:sz w:val="18"/>
              </w:rPr>
              <w:t>934.20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4" w:right="0"/>
              <w:jc w:val="left"/>
              <w:rPr>
                <w:rFonts w:ascii="Times New Roman" w:hAnsi="Times New Roman" w:cs="Times New Roman" w:eastAsia="Times New Roman" w:hint="default"/>
                <w:sz w:val="18"/>
                <w:szCs w:val="18"/>
              </w:rPr>
            </w:pPr>
            <w:r>
              <w:rPr>
                <w:rFonts w:ascii="Times New Roman"/>
                <w:sz w:val="18"/>
              </w:rPr>
              <w:t>27,731,3</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70.10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2" w:right="0"/>
              <w:jc w:val="left"/>
              <w:rPr>
                <w:rFonts w:ascii="Times New Roman" w:hAnsi="Times New Roman" w:cs="Times New Roman" w:eastAsia="Times New Roman" w:hint="default"/>
                <w:sz w:val="18"/>
                <w:szCs w:val="18"/>
              </w:rPr>
            </w:pPr>
            <w:r>
              <w:rPr>
                <w:rFonts w:ascii="Times New Roman"/>
                <w:sz w:val="18"/>
              </w:rPr>
              <w:t>27,731,3</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70.10</w:t>
            </w:r>
          </w:p>
        </w:tc>
      </w:tr>
      <w:tr>
        <w:trPr>
          <w:trHeight w:val="307"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术有限</w:t>
            </w: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5"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c>
          <w:tcPr>
            <w:tcW w:w="734" w:type="dxa"/>
            <w:tcBorders>
              <w:top w:val="nil" w:sz="6" w:space="0" w:color="auto"/>
              <w:left w:val="single" w:sz="4" w:space="0" w:color="000000"/>
              <w:bottom w:val="nil" w:sz="6" w:space="0" w:color="auto"/>
              <w:right w:val="single" w:sz="4" w:space="0" w:color="000000"/>
            </w:tcBorders>
          </w:tcPr>
          <w:p>
            <w:pPr/>
          </w:p>
        </w:tc>
        <w:tc>
          <w:tcPr>
            <w:tcW w:w="737" w:type="dxa"/>
            <w:tcBorders>
              <w:top w:val="nil" w:sz="6" w:space="0" w:color="auto"/>
              <w:left w:val="single" w:sz="4" w:space="0" w:color="000000"/>
              <w:bottom w:val="nil" w:sz="6" w:space="0" w:color="auto"/>
              <w:right w:val="single" w:sz="4" w:space="0" w:color="000000"/>
            </w:tcBorders>
          </w:tcPr>
          <w:p>
            <w:pPr/>
          </w:p>
        </w:tc>
      </w:tr>
      <w:tr>
        <w:trPr>
          <w:trHeight w:val="360"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356"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北京图</w:t>
            </w: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936"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0"/>
              <w:ind w:left="22" w:right="161"/>
              <w:jc w:val="both"/>
              <w:rPr>
                <w:rFonts w:ascii="宋体" w:hAnsi="宋体" w:cs="宋体" w:eastAsia="宋体" w:hint="default"/>
                <w:sz w:val="18"/>
                <w:szCs w:val="18"/>
              </w:rPr>
            </w:pPr>
            <w:r>
              <w:rPr>
                <w:rFonts w:ascii="宋体" w:hAnsi="宋体" w:cs="宋体" w:eastAsia="宋体" w:hint="default"/>
                <w:sz w:val="18"/>
                <w:szCs w:val="18"/>
              </w:rPr>
              <w:t>迅丰达 信息技 术有限</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52,684,7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87.73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4,775,30</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57,460,0</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93.82</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19,264,6</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39.09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19,264,6</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39.09</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57,325,0</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69.40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498,226.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53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57,823,2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95.93</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25,891,7</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55.44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25,891,7</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55.44</w:t>
            </w:r>
          </w:p>
        </w:tc>
      </w:tr>
      <w:tr>
        <w:trPr>
          <w:trHeight w:val="357"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中寰卫</w:t>
            </w: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星导航</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8"/>
              <w:jc w:val="right"/>
              <w:rPr>
                <w:rFonts w:ascii="Times New Roman" w:hAnsi="Times New Roman" w:cs="Times New Roman" w:eastAsia="Times New Roman" w:hint="default"/>
                <w:sz w:val="18"/>
                <w:szCs w:val="18"/>
              </w:rPr>
            </w:pPr>
            <w:r>
              <w:rPr>
                <w:rFonts w:ascii="Times New Roman"/>
                <w:sz w:val="18"/>
              </w:rPr>
              <w:t>171,099,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58,341,0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229,440,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40,906,6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w w:val="95"/>
                <w:sz w:val="18"/>
              </w:rPr>
              <w:t>8,033,54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48,940,2</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184,165,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38,499,6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222,665,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z w:val="18"/>
              </w:rPr>
              <w:t>33,718,4</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w w:val="95"/>
                <w:sz w:val="18"/>
              </w:rPr>
              <w:t>8,033,54</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1"/>
              <w:jc w:val="right"/>
              <w:rPr>
                <w:rFonts w:ascii="Times New Roman" w:hAnsi="Times New Roman" w:cs="Times New Roman" w:eastAsia="Times New Roman" w:hint="default"/>
                <w:sz w:val="18"/>
                <w:szCs w:val="18"/>
              </w:rPr>
            </w:pPr>
            <w:r>
              <w:rPr>
                <w:rFonts w:ascii="Times New Roman"/>
                <w:sz w:val="18"/>
              </w:rPr>
              <w:t>41,752,0</w:t>
            </w:r>
          </w:p>
        </w:tc>
      </w:tr>
      <w:tr>
        <w:trPr>
          <w:trHeight w:val="312"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通信有</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0"/>
              <w:jc w:val="right"/>
              <w:rPr>
                <w:rFonts w:ascii="Times New Roman" w:hAnsi="Times New Roman" w:cs="Times New Roman" w:eastAsia="Times New Roman" w:hint="default"/>
                <w:sz w:val="18"/>
                <w:szCs w:val="18"/>
              </w:rPr>
            </w:pPr>
            <w:r>
              <w:rPr>
                <w:rFonts w:ascii="Times New Roman"/>
                <w:spacing w:val="-1"/>
                <w:sz w:val="18"/>
              </w:rPr>
              <w:t>728.09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z w:val="18"/>
              </w:rPr>
              <w:t>79.29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3"/>
              <w:jc w:val="right"/>
              <w:rPr>
                <w:rFonts w:ascii="Times New Roman" w:hAnsi="Times New Roman" w:cs="Times New Roman" w:eastAsia="Times New Roman" w:hint="default"/>
                <w:sz w:val="18"/>
                <w:szCs w:val="18"/>
              </w:rPr>
            </w:pPr>
            <w:r>
              <w:rPr>
                <w:rFonts w:ascii="Times New Roman"/>
                <w:spacing w:val="-1"/>
                <w:sz w:val="18"/>
              </w:rPr>
              <w:t>807.38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z w:val="18"/>
              </w:rPr>
              <w:t>77.22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pacing w:val="-1"/>
                <w:sz w:val="18"/>
              </w:rPr>
              <w:t>4.16</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z w:val="18"/>
              </w:rPr>
              <w:t>21.38</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9"/>
              <w:jc w:val="right"/>
              <w:rPr>
                <w:rFonts w:ascii="Times New Roman" w:hAnsi="Times New Roman" w:cs="Times New Roman" w:eastAsia="Times New Roman" w:hint="default"/>
                <w:sz w:val="18"/>
                <w:szCs w:val="18"/>
              </w:rPr>
            </w:pPr>
            <w:r>
              <w:rPr>
                <w:rFonts w:ascii="Times New Roman"/>
                <w:spacing w:val="-1"/>
                <w:sz w:val="18"/>
              </w:rPr>
              <w:t>346.83</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z w:val="18"/>
              </w:rPr>
              <w:t>57.95</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pacing w:val="-1"/>
                <w:sz w:val="18"/>
              </w:rPr>
              <w:t>004.78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9"/>
              <w:jc w:val="right"/>
              <w:rPr>
                <w:rFonts w:ascii="Times New Roman" w:hAnsi="Times New Roman" w:cs="Times New Roman" w:eastAsia="Times New Roman" w:hint="default"/>
                <w:sz w:val="18"/>
                <w:szCs w:val="18"/>
              </w:rPr>
            </w:pPr>
            <w:r>
              <w:rPr>
                <w:rFonts w:ascii="Times New Roman"/>
                <w:sz w:val="18"/>
              </w:rPr>
              <w:t>65.92</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8"/>
              <w:jc w:val="right"/>
              <w:rPr>
                <w:rFonts w:ascii="Times New Roman" w:hAnsi="Times New Roman" w:cs="Times New Roman" w:eastAsia="Times New Roman" w:hint="default"/>
                <w:sz w:val="18"/>
                <w:szCs w:val="18"/>
              </w:rPr>
            </w:pPr>
            <w:r>
              <w:rPr>
                <w:rFonts w:ascii="Times New Roman"/>
                <w:spacing w:val="-1"/>
                <w:sz w:val="18"/>
              </w:rPr>
              <w:t>4.16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21"/>
              <w:jc w:val="right"/>
              <w:rPr>
                <w:rFonts w:ascii="Times New Roman" w:hAnsi="Times New Roman" w:cs="Times New Roman" w:eastAsia="Times New Roman" w:hint="default"/>
                <w:sz w:val="18"/>
                <w:szCs w:val="18"/>
              </w:rPr>
            </w:pPr>
            <w:r>
              <w:rPr>
                <w:rFonts w:ascii="Times New Roman"/>
                <w:sz w:val="18"/>
              </w:rPr>
              <w:t>10.08</w:t>
            </w:r>
          </w:p>
        </w:tc>
      </w:tr>
      <w:tr>
        <w:trPr>
          <w:trHeight w:val="355"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北京图</w:t>
            </w: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937"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9" w:lineRule="auto" w:before="10"/>
              <w:ind w:left="22" w:right="161"/>
              <w:jc w:val="both"/>
              <w:rPr>
                <w:rFonts w:ascii="宋体" w:hAnsi="宋体" w:cs="宋体" w:eastAsia="宋体" w:hint="default"/>
                <w:sz w:val="18"/>
                <w:szCs w:val="18"/>
              </w:rPr>
            </w:pPr>
            <w:r>
              <w:rPr>
                <w:rFonts w:ascii="宋体" w:hAnsi="宋体" w:cs="宋体" w:eastAsia="宋体" w:hint="default"/>
                <w:sz w:val="18"/>
                <w:szCs w:val="18"/>
              </w:rPr>
              <w:t>新智盛 信息技 术有限</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38,234,1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03.77</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976,804.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31</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39,210,9</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08.08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18,669,1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06.86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18,669,1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06.86</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46,027,6</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03.37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86" w:right="0"/>
              <w:jc w:val="left"/>
              <w:rPr>
                <w:rFonts w:ascii="Times New Roman" w:hAnsi="Times New Roman" w:cs="Times New Roman" w:eastAsia="Times New Roman" w:hint="default"/>
                <w:sz w:val="18"/>
                <w:szCs w:val="18"/>
              </w:rPr>
            </w:pPr>
            <w:r>
              <w:rPr>
                <w:rFonts w:ascii="Times New Roman"/>
                <w:sz w:val="18"/>
              </w:rPr>
              <w:t>1,111,66</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3.89</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47,139,2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67.26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21,208,1</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42.47</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2" w:right="0"/>
              <w:jc w:val="left"/>
              <w:rPr>
                <w:rFonts w:ascii="Times New Roman" w:hAnsi="Times New Roman" w:cs="Times New Roman" w:eastAsia="Times New Roman" w:hint="default"/>
                <w:sz w:val="18"/>
                <w:szCs w:val="18"/>
              </w:rPr>
            </w:pPr>
            <w:r>
              <w:rPr>
                <w:rFonts w:ascii="Times New Roman"/>
                <w:sz w:val="18"/>
              </w:rPr>
              <w:t>21,208,1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42.47</w:t>
            </w:r>
          </w:p>
        </w:tc>
      </w:tr>
      <w:tr>
        <w:trPr>
          <w:trHeight w:val="357"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355"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长沙市</w:t>
            </w: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5"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c>
          <w:tcPr>
            <w:tcW w:w="734" w:type="dxa"/>
            <w:tcBorders>
              <w:top w:val="single" w:sz="4" w:space="0" w:color="000000"/>
              <w:left w:val="single" w:sz="4" w:space="0" w:color="000000"/>
              <w:bottom w:val="nil" w:sz="6" w:space="0" w:color="auto"/>
              <w:right w:val="single" w:sz="4" w:space="0" w:color="000000"/>
            </w:tcBorders>
          </w:tcPr>
          <w:p>
            <w:pPr/>
          </w:p>
        </w:tc>
        <w:tc>
          <w:tcPr>
            <w:tcW w:w="737" w:type="dxa"/>
            <w:tcBorders>
              <w:top w:val="single" w:sz="4" w:space="0" w:color="000000"/>
              <w:left w:val="single" w:sz="4" w:space="0" w:color="000000"/>
              <w:bottom w:val="nil" w:sz="6" w:space="0" w:color="auto"/>
              <w:right w:val="single" w:sz="4" w:space="0" w:color="000000"/>
            </w:tcBorders>
          </w:tcPr>
          <w:p>
            <w:pPr/>
          </w:p>
        </w:tc>
      </w:tr>
      <w:tr>
        <w:trPr>
          <w:trHeight w:val="629" w:hRule="exact"/>
        </w:trPr>
        <w:tc>
          <w:tcPr>
            <w:tcW w:w="73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0"/>
              <w:ind w:left="22" w:right="161"/>
              <w:jc w:val="left"/>
              <w:rPr>
                <w:rFonts w:ascii="宋体" w:hAnsi="宋体" w:cs="宋体" w:eastAsia="宋体" w:hint="default"/>
                <w:sz w:val="18"/>
                <w:szCs w:val="18"/>
              </w:rPr>
            </w:pPr>
            <w:r>
              <w:rPr>
                <w:rFonts w:ascii="宋体" w:hAnsi="宋体" w:cs="宋体" w:eastAsia="宋体" w:hint="default"/>
                <w:sz w:val="18"/>
                <w:szCs w:val="18"/>
              </w:rPr>
              <w:t>海图科 技有限</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17,306,4</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23.06</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3,266,24</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9.02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20,572,6</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72.08</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7,132,26</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6.28</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2" w:right="0"/>
              <w:jc w:val="left"/>
              <w:rPr>
                <w:rFonts w:ascii="Times New Roman" w:hAnsi="Times New Roman" w:cs="Times New Roman" w:eastAsia="Times New Roman" w:hint="default"/>
                <w:sz w:val="18"/>
                <w:szCs w:val="18"/>
              </w:rPr>
            </w:pPr>
            <w:r>
              <w:rPr>
                <w:rFonts w:ascii="Times New Roman"/>
                <w:sz w:val="18"/>
              </w:rPr>
              <w:t>7,132,26</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6.28</w:t>
            </w:r>
          </w:p>
        </w:tc>
        <w:tc>
          <w:tcPr>
            <w:tcW w:w="735"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2" w:right="0"/>
              <w:jc w:val="left"/>
              <w:rPr>
                <w:rFonts w:ascii="Times New Roman" w:hAnsi="Times New Roman" w:cs="Times New Roman" w:eastAsia="Times New Roman" w:hint="default"/>
                <w:sz w:val="18"/>
                <w:szCs w:val="18"/>
              </w:rPr>
            </w:pPr>
            <w:r>
              <w:rPr>
                <w:rFonts w:ascii="Times New Roman"/>
                <w:sz w:val="18"/>
              </w:rPr>
              <w:t>31,953,9</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42.75</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10,266,2</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24.92</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1" w:right="0"/>
              <w:jc w:val="left"/>
              <w:rPr>
                <w:rFonts w:ascii="Times New Roman" w:hAnsi="Times New Roman" w:cs="Times New Roman" w:eastAsia="Times New Roman" w:hint="default"/>
                <w:sz w:val="18"/>
                <w:szCs w:val="18"/>
              </w:rPr>
            </w:pPr>
            <w:r>
              <w:rPr>
                <w:rFonts w:ascii="Times New Roman"/>
                <w:sz w:val="18"/>
              </w:rPr>
              <w:t>42,220,1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67.67</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4" w:right="0"/>
              <w:jc w:val="left"/>
              <w:rPr>
                <w:rFonts w:ascii="Times New Roman" w:hAnsi="Times New Roman" w:cs="Times New Roman" w:eastAsia="Times New Roman" w:hint="default"/>
                <w:sz w:val="18"/>
                <w:szCs w:val="18"/>
              </w:rPr>
            </w:pPr>
            <w:r>
              <w:rPr>
                <w:rFonts w:ascii="Times New Roman"/>
                <w:sz w:val="18"/>
              </w:rPr>
              <w:t>2,954,42</w:t>
            </w:r>
          </w:p>
          <w:p>
            <w:pPr>
              <w:pStyle w:val="TableParagraph"/>
              <w:spacing w:line="240" w:lineRule="auto" w:before="105"/>
              <w:ind w:left="391" w:right="0"/>
              <w:jc w:val="left"/>
              <w:rPr>
                <w:rFonts w:ascii="Times New Roman" w:hAnsi="Times New Roman" w:cs="Times New Roman" w:eastAsia="Times New Roman" w:hint="default"/>
                <w:sz w:val="18"/>
                <w:szCs w:val="18"/>
              </w:rPr>
            </w:pPr>
            <w:r>
              <w:rPr>
                <w:rFonts w:ascii="Times New Roman"/>
                <w:sz w:val="18"/>
              </w:rPr>
              <w:t>7.09</w:t>
            </w:r>
          </w:p>
        </w:tc>
        <w:tc>
          <w:tcPr>
            <w:tcW w:w="73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37"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2" w:right="0"/>
              <w:jc w:val="left"/>
              <w:rPr>
                <w:rFonts w:ascii="Times New Roman" w:hAnsi="Times New Roman" w:cs="Times New Roman" w:eastAsia="Times New Roman" w:hint="default"/>
                <w:sz w:val="18"/>
                <w:szCs w:val="18"/>
              </w:rPr>
            </w:pPr>
            <w:r>
              <w:rPr>
                <w:rFonts w:ascii="Times New Roman"/>
                <w:sz w:val="18"/>
              </w:rPr>
              <w:t>2,954,42</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7.09</w:t>
            </w:r>
          </w:p>
        </w:tc>
      </w:tr>
      <w:tr>
        <w:trPr>
          <w:trHeight w:val="355"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5"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c>
          <w:tcPr>
            <w:tcW w:w="734" w:type="dxa"/>
            <w:tcBorders>
              <w:top w:val="nil" w:sz="6" w:space="0" w:color="auto"/>
              <w:left w:val="single" w:sz="4" w:space="0" w:color="000000"/>
              <w:bottom w:val="single" w:sz="4" w:space="0" w:color="000000"/>
              <w:right w:val="single" w:sz="4" w:space="0" w:color="000000"/>
            </w:tcBorders>
          </w:tcPr>
          <w:p>
            <w:pPr/>
          </w:p>
        </w:tc>
        <w:tc>
          <w:tcPr>
            <w:tcW w:w="737" w:type="dxa"/>
            <w:tcBorders>
              <w:top w:val="nil" w:sz="6" w:space="0" w:color="auto"/>
              <w:left w:val="single" w:sz="4" w:space="0" w:color="000000"/>
              <w:bottom w:val="single" w:sz="4" w:space="0" w:color="000000"/>
              <w:right w:val="single" w:sz="4" w:space="0" w:color="000000"/>
            </w:tcBorders>
          </w:tcPr>
          <w:p>
            <w:pPr/>
          </w:p>
        </w:tc>
      </w:tr>
      <w:tr>
        <w:trPr>
          <w:trHeight w:val="374" w:hRule="exact"/>
        </w:trPr>
        <w:tc>
          <w:tcPr>
            <w:tcW w:w="736"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110"/>
              <w:ind w:left="22" w:right="0"/>
              <w:jc w:val="left"/>
              <w:rPr>
                <w:rFonts w:ascii="Times New Roman" w:hAnsi="Times New Roman" w:cs="Times New Roman" w:eastAsia="Times New Roman" w:hint="default"/>
                <w:sz w:val="18"/>
                <w:szCs w:val="18"/>
              </w:rPr>
            </w:pPr>
            <w:r>
              <w:rPr>
                <w:rFonts w:ascii="Times New Roman"/>
                <w:sz w:val="18"/>
              </w:rPr>
              <w:t>Mapbar</w:t>
            </w:r>
          </w:p>
        </w:tc>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135,083,</w:t>
            </w:r>
          </w:p>
        </w:tc>
        <w:tc>
          <w:tcPr>
            <w:tcW w:w="7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155,456,</w:t>
            </w:r>
          </w:p>
        </w:tc>
        <w:tc>
          <w:tcPr>
            <w:tcW w:w="7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290,540,</w:t>
            </w:r>
          </w:p>
        </w:tc>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151,538,</w:t>
            </w:r>
          </w:p>
        </w:tc>
        <w:tc>
          <w:tcPr>
            <w:tcW w:w="7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12,000,0</w:t>
            </w:r>
          </w:p>
        </w:tc>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163,538,</w:t>
            </w:r>
          </w:p>
        </w:tc>
        <w:tc>
          <w:tcPr>
            <w:tcW w:w="73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129,559,</w:t>
            </w:r>
          </w:p>
        </w:tc>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105,675,</w:t>
            </w:r>
          </w:p>
        </w:tc>
        <w:tc>
          <w:tcPr>
            <w:tcW w:w="7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235,234,</w:t>
            </w:r>
          </w:p>
        </w:tc>
        <w:tc>
          <w:tcPr>
            <w:tcW w:w="7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67,395,0</w:t>
            </w:r>
          </w:p>
        </w:tc>
        <w:tc>
          <w:tcPr>
            <w:tcW w:w="7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12,000,0</w:t>
            </w:r>
          </w:p>
        </w:tc>
        <w:tc>
          <w:tcPr>
            <w:tcW w:w="7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79,395,0</w:t>
            </w:r>
          </w:p>
        </w:tc>
      </w:tr>
      <w:tr>
        <w:trPr>
          <w:trHeight w:val="339" w:hRule="exact"/>
        </w:trPr>
        <w:tc>
          <w:tcPr>
            <w:tcW w:w="736"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53"/>
              <w:ind w:left="22" w:right="0"/>
              <w:jc w:val="left"/>
              <w:rPr>
                <w:rFonts w:ascii="Times New Roman" w:hAnsi="Times New Roman" w:cs="Times New Roman" w:eastAsia="Times New Roman" w:hint="default"/>
                <w:sz w:val="18"/>
                <w:szCs w:val="18"/>
              </w:rPr>
            </w:pPr>
            <w:r>
              <w:rPr>
                <w:rFonts w:ascii="Times New Roman"/>
                <w:sz w:val="18"/>
              </w:rPr>
              <w:t>Technolo</w:t>
            </w:r>
          </w:p>
        </w:tc>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694.67</w:t>
            </w:r>
          </w:p>
        </w:tc>
        <w:tc>
          <w:tcPr>
            <w:tcW w:w="7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740.30</w:t>
            </w:r>
          </w:p>
        </w:tc>
        <w:tc>
          <w:tcPr>
            <w:tcW w:w="7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3"/>
              <w:jc w:val="right"/>
              <w:rPr>
                <w:rFonts w:ascii="Times New Roman" w:hAnsi="Times New Roman" w:cs="Times New Roman" w:eastAsia="Times New Roman" w:hint="default"/>
                <w:sz w:val="18"/>
                <w:szCs w:val="18"/>
              </w:rPr>
            </w:pPr>
            <w:r>
              <w:rPr>
                <w:rFonts w:ascii="Times New Roman"/>
                <w:spacing w:val="-1"/>
                <w:sz w:val="18"/>
              </w:rPr>
              <w:t>434.97</w:t>
            </w:r>
          </w:p>
        </w:tc>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990.41</w:t>
            </w:r>
          </w:p>
        </w:tc>
        <w:tc>
          <w:tcPr>
            <w:tcW w:w="7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z w:val="18"/>
              </w:rPr>
              <w:t>00.00</w:t>
            </w:r>
          </w:p>
        </w:tc>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990.41</w:t>
            </w:r>
          </w:p>
        </w:tc>
        <w:tc>
          <w:tcPr>
            <w:tcW w:w="73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pacing w:val="-1"/>
                <w:sz w:val="18"/>
              </w:rPr>
              <w:t>154.13</w:t>
            </w:r>
          </w:p>
        </w:tc>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0"/>
              <w:jc w:val="right"/>
              <w:rPr>
                <w:rFonts w:ascii="Times New Roman" w:hAnsi="Times New Roman" w:cs="Times New Roman" w:eastAsia="Times New Roman" w:hint="default"/>
                <w:sz w:val="18"/>
                <w:szCs w:val="18"/>
              </w:rPr>
            </w:pPr>
            <w:r>
              <w:rPr>
                <w:rFonts w:ascii="Times New Roman"/>
                <w:spacing w:val="-1"/>
                <w:sz w:val="18"/>
              </w:rPr>
              <w:t>025.35</w:t>
            </w:r>
          </w:p>
        </w:tc>
        <w:tc>
          <w:tcPr>
            <w:tcW w:w="7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pacing w:val="-1"/>
                <w:sz w:val="18"/>
              </w:rPr>
              <w:t>179.48</w:t>
            </w:r>
          </w:p>
        </w:tc>
        <w:tc>
          <w:tcPr>
            <w:tcW w:w="7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19"/>
              <w:jc w:val="right"/>
              <w:rPr>
                <w:rFonts w:ascii="Times New Roman" w:hAnsi="Times New Roman" w:cs="Times New Roman" w:eastAsia="Times New Roman" w:hint="default"/>
                <w:sz w:val="18"/>
                <w:szCs w:val="18"/>
              </w:rPr>
            </w:pPr>
            <w:r>
              <w:rPr>
                <w:rFonts w:ascii="Times New Roman"/>
                <w:sz w:val="18"/>
              </w:rPr>
              <w:t>84.37</w:t>
            </w:r>
          </w:p>
        </w:tc>
        <w:tc>
          <w:tcPr>
            <w:tcW w:w="7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18"/>
              <w:jc w:val="right"/>
              <w:rPr>
                <w:rFonts w:ascii="Times New Roman" w:hAnsi="Times New Roman" w:cs="Times New Roman" w:eastAsia="Times New Roman" w:hint="default"/>
                <w:sz w:val="18"/>
                <w:szCs w:val="18"/>
              </w:rPr>
            </w:pPr>
            <w:r>
              <w:rPr>
                <w:rFonts w:ascii="Times New Roman"/>
                <w:sz w:val="18"/>
              </w:rPr>
              <w:t>00.00</w:t>
            </w:r>
          </w:p>
        </w:tc>
        <w:tc>
          <w:tcPr>
            <w:tcW w:w="7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2"/>
              <w:ind w:right="21"/>
              <w:jc w:val="right"/>
              <w:rPr>
                <w:rFonts w:ascii="Times New Roman" w:hAnsi="Times New Roman" w:cs="Times New Roman" w:eastAsia="Times New Roman" w:hint="default"/>
                <w:sz w:val="18"/>
                <w:szCs w:val="18"/>
              </w:rPr>
            </w:pPr>
            <w:r>
              <w:rPr>
                <w:rFonts w:ascii="Times New Roman"/>
                <w:sz w:val="18"/>
              </w:rPr>
              <w:t>84.37</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36"/>
        <w:gridCol w:w="734"/>
        <w:gridCol w:w="737"/>
        <w:gridCol w:w="737"/>
        <w:gridCol w:w="734"/>
        <w:gridCol w:w="737"/>
        <w:gridCol w:w="734"/>
        <w:gridCol w:w="735"/>
        <w:gridCol w:w="734"/>
        <w:gridCol w:w="737"/>
        <w:gridCol w:w="737"/>
        <w:gridCol w:w="734"/>
        <w:gridCol w:w="737"/>
      </w:tblGrid>
      <w:tr>
        <w:trPr>
          <w:trHeight w:val="675" w:hRule="exact"/>
        </w:trPr>
        <w:tc>
          <w:tcPr>
            <w:tcW w:w="7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50"/>
              <w:ind w:left="22" w:right="134"/>
              <w:jc w:val="left"/>
              <w:rPr>
                <w:rFonts w:ascii="Times New Roman" w:hAnsi="Times New Roman" w:cs="Times New Roman" w:eastAsia="Times New Roman" w:hint="default"/>
                <w:sz w:val="18"/>
                <w:szCs w:val="18"/>
              </w:rPr>
            </w:pPr>
            <w:r>
              <w:rPr>
                <w:rFonts w:ascii="Times New Roman"/>
                <w:sz w:val="18"/>
              </w:rPr>
              <w:t>gy Limited</w:t>
            </w: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5"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4"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49"/>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0"/>
        <w:gridCol w:w="1061"/>
        <w:gridCol w:w="1064"/>
        <w:gridCol w:w="1063"/>
        <w:gridCol w:w="1066"/>
        <w:gridCol w:w="1064"/>
        <w:gridCol w:w="1063"/>
        <w:gridCol w:w="1064"/>
        <w:gridCol w:w="1066"/>
      </w:tblGrid>
      <w:tr>
        <w:trPr>
          <w:trHeight w:val="403" w:hRule="exact"/>
        </w:trPr>
        <w:tc>
          <w:tcPr>
            <w:tcW w:w="10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3" w:hRule="exact"/>
        </w:trPr>
        <w:tc>
          <w:tcPr>
            <w:tcW w:w="1060"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4"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436" w:right="75"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59" w:right="7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1027" w:hRule="exact"/>
        </w:trPr>
        <w:tc>
          <w:tcPr>
            <w:tcW w:w="1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25"/>
              <w:jc w:val="both"/>
              <w:rPr>
                <w:rFonts w:ascii="宋体" w:hAnsi="宋体" w:cs="宋体" w:eastAsia="宋体" w:hint="default"/>
                <w:sz w:val="18"/>
                <w:szCs w:val="18"/>
              </w:rPr>
            </w:pPr>
            <w:r>
              <w:rPr>
                <w:rFonts w:ascii="宋体" w:hAnsi="宋体" w:cs="宋体" w:eastAsia="宋体" w:hint="default"/>
                <w:sz w:val="18"/>
                <w:szCs w:val="18"/>
              </w:rPr>
              <w:t>北京图新经 纬导航系统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122,884,429.</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83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8,233,887.98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8,233,887.98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13,525,076.4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156,456,532.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9,540,800.89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9,540,800.89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6,277,622.09</w:t>
            </w:r>
          </w:p>
        </w:tc>
      </w:tr>
      <w:tr>
        <w:trPr>
          <w:trHeight w:val="1025" w:hRule="exact"/>
        </w:trPr>
        <w:tc>
          <w:tcPr>
            <w:tcW w:w="1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22" w:right="125"/>
              <w:jc w:val="both"/>
              <w:rPr>
                <w:rFonts w:ascii="宋体" w:hAnsi="宋体" w:cs="宋体" w:eastAsia="宋体" w:hint="default"/>
                <w:sz w:val="18"/>
                <w:szCs w:val="18"/>
              </w:rPr>
            </w:pPr>
            <w:r>
              <w:rPr>
                <w:rFonts w:ascii="宋体" w:hAnsi="宋体" w:cs="宋体" w:eastAsia="宋体" w:hint="default"/>
                <w:sz w:val="18"/>
                <w:szCs w:val="18"/>
              </w:rPr>
              <w:t>北京世纪高 通科技有限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210,793,120.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65,633,979.3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65,633,979.3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73,358,036.7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143,746,806.</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44,684,672.5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44,684,672.5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6</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51,080,132.1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r>
      <w:tr>
        <w:trPr>
          <w:trHeight w:val="355" w:hRule="exact"/>
        </w:trPr>
        <w:tc>
          <w:tcPr>
            <w:tcW w:w="106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中交宇</w:t>
            </w:r>
            <w:r>
              <w:rPr>
                <w:rFonts w:ascii="宋体" w:hAnsi="宋体" w:cs="宋体" w:eastAsia="宋体" w:hint="default"/>
                <w:spacing w:val="-75"/>
                <w:sz w:val="18"/>
                <w:szCs w:val="18"/>
              </w:rPr>
              <w:t>科</w:t>
            </w:r>
            <w:r>
              <w:rPr>
                <w:rFonts w:ascii="宋体" w:hAnsi="宋体" w:cs="宋体" w:eastAsia="宋体" w:hint="default"/>
                <w:sz w:val="18"/>
                <w:szCs w:val="18"/>
              </w:rPr>
              <w:t>（北</w:t>
            </w:r>
          </w:p>
        </w:tc>
        <w:tc>
          <w:tcPr>
            <w:tcW w:w="1061" w:type="dxa"/>
            <w:tcBorders>
              <w:top w:val="single" w:sz="4" w:space="0" w:color="000000"/>
              <w:left w:val="single" w:sz="4" w:space="0" w:color="000000"/>
              <w:bottom w:val="nil" w:sz="6" w:space="0" w:color="auto"/>
              <w:right w:val="single" w:sz="4" w:space="0" w:color="000000"/>
            </w:tcBorders>
          </w:tcPr>
          <w:p>
            <w:pPr/>
          </w:p>
        </w:tc>
        <w:tc>
          <w:tcPr>
            <w:tcW w:w="10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4"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629" w:hRule="exact"/>
        </w:trPr>
        <w:tc>
          <w:tcPr>
            <w:tcW w:w="106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10"/>
              <w:ind w:left="22" w:right="19"/>
              <w:jc w:val="left"/>
              <w:rPr>
                <w:rFonts w:ascii="宋体" w:hAnsi="宋体" w:cs="宋体" w:eastAsia="宋体" w:hint="default"/>
                <w:sz w:val="18"/>
                <w:szCs w:val="18"/>
              </w:rPr>
            </w:pPr>
            <w:r>
              <w:rPr>
                <w:rFonts w:ascii="宋体" w:hAnsi="宋体" w:cs="宋体" w:eastAsia="宋体" w:hint="default"/>
                <w:spacing w:val="-13"/>
                <w:sz w:val="18"/>
                <w:szCs w:val="18"/>
              </w:rPr>
              <w:t>京）空间信息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技术有限公</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54,433,325.1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7,285,009.71</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7,285,009.71</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-18,660,052.8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48,702,577.7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2,828,270.12</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2,828,270.12</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-1,613,106.82</w:t>
            </w:r>
          </w:p>
        </w:tc>
      </w:tr>
      <w:tr>
        <w:trPr>
          <w:trHeight w:val="355" w:hRule="exact"/>
        </w:trPr>
        <w:tc>
          <w:tcPr>
            <w:tcW w:w="106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司</w:t>
            </w:r>
          </w:p>
        </w:tc>
        <w:tc>
          <w:tcPr>
            <w:tcW w:w="1061" w:type="dxa"/>
            <w:tcBorders>
              <w:top w:val="nil" w:sz="6" w:space="0" w:color="auto"/>
              <w:left w:val="single" w:sz="4" w:space="0" w:color="000000"/>
              <w:bottom w:val="single" w:sz="4" w:space="0" w:color="000000"/>
              <w:right w:val="single" w:sz="4" w:space="0" w:color="000000"/>
            </w:tcBorders>
          </w:tcPr>
          <w:p>
            <w:pPr/>
          </w:p>
        </w:tc>
        <w:tc>
          <w:tcPr>
            <w:tcW w:w="10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4"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1025" w:hRule="exact"/>
        </w:trPr>
        <w:tc>
          <w:tcPr>
            <w:tcW w:w="1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25"/>
              <w:jc w:val="both"/>
              <w:rPr>
                <w:rFonts w:ascii="宋体" w:hAnsi="宋体" w:cs="宋体" w:eastAsia="宋体" w:hint="default"/>
                <w:sz w:val="18"/>
                <w:szCs w:val="18"/>
              </w:rPr>
            </w:pPr>
            <w:r>
              <w:rPr>
                <w:rFonts w:ascii="宋体" w:hAnsi="宋体" w:cs="宋体" w:eastAsia="宋体" w:hint="default"/>
                <w:sz w:val="18"/>
                <w:szCs w:val="18"/>
              </w:rPr>
              <w:t>北京图迅丰 达信息技术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109,744,045.</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6,263,914.24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6,263,914.24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8,849,942.60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93,460,558.2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4" w:right="0"/>
              <w:jc w:val="center"/>
              <w:rPr>
                <w:rFonts w:ascii="Times New Roman" w:hAnsi="Times New Roman" w:cs="Times New Roman" w:eastAsia="Times New Roman" w:hint="default"/>
                <w:sz w:val="18"/>
                <w:szCs w:val="18"/>
              </w:rPr>
            </w:pPr>
            <w:r>
              <w:rPr>
                <w:rFonts w:ascii="Times New Roman"/>
                <w:sz w:val="18"/>
              </w:rPr>
              <w:t>5,805,703.28</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5,805,703.28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13,803,433.3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r>
      <w:tr>
        <w:trPr>
          <w:trHeight w:val="1028" w:hRule="exact"/>
        </w:trPr>
        <w:tc>
          <w:tcPr>
            <w:tcW w:w="1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49"/>
              <w:ind w:left="22" w:right="125"/>
              <w:jc w:val="both"/>
              <w:rPr>
                <w:rFonts w:ascii="宋体" w:hAnsi="宋体" w:cs="宋体" w:eastAsia="宋体" w:hint="default"/>
                <w:sz w:val="18"/>
                <w:szCs w:val="18"/>
              </w:rPr>
            </w:pPr>
            <w:r>
              <w:rPr>
                <w:rFonts w:ascii="宋体" w:hAnsi="宋体" w:cs="宋体" w:eastAsia="宋体" w:hint="default"/>
                <w:sz w:val="18"/>
                <w:szCs w:val="18"/>
              </w:rPr>
              <w:t>中寰卫星导 航通信有限 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179,286,028.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01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-1,827,862.09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-1,827,862.09</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1,519,294.32</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150,562,287.</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-3,132,412.83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-3,132,412.83</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-3,108,056.19</w:t>
            </w:r>
          </w:p>
        </w:tc>
      </w:tr>
      <w:tr>
        <w:trPr>
          <w:trHeight w:val="355" w:hRule="exact"/>
        </w:trPr>
        <w:tc>
          <w:tcPr>
            <w:tcW w:w="1060" w:type="dxa"/>
            <w:tcBorders>
              <w:top w:val="single" w:sz="4" w:space="0" w:color="000000"/>
              <w:left w:val="single" w:sz="4" w:space="0" w:color="000000"/>
              <w:bottom w:val="nil" w:sz="6" w:space="0" w:color="auto"/>
              <w:right w:val="single" w:sz="4" w:space="0" w:color="000000"/>
            </w:tcBorders>
            <w:shd w:val="clear" w:color="auto" w:fill="D9D9D9"/>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北京图新智</w:t>
            </w:r>
          </w:p>
        </w:tc>
        <w:tc>
          <w:tcPr>
            <w:tcW w:w="1061" w:type="dxa"/>
            <w:tcBorders>
              <w:top w:val="single" w:sz="4" w:space="0" w:color="000000"/>
              <w:left w:val="single" w:sz="4" w:space="0" w:color="000000"/>
              <w:bottom w:val="nil" w:sz="6" w:space="0" w:color="auto"/>
              <w:right w:val="single" w:sz="4" w:space="0" w:color="000000"/>
            </w:tcBorders>
          </w:tcPr>
          <w:p>
            <w:pPr/>
          </w:p>
        </w:tc>
        <w:tc>
          <w:tcPr>
            <w:tcW w:w="10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64"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4"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r>
      <w:tr>
        <w:trPr>
          <w:trHeight w:val="317" w:hRule="exact"/>
        </w:trPr>
        <w:tc>
          <w:tcPr>
            <w:tcW w:w="1060"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盛信息技术</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62" w:right="0"/>
              <w:jc w:val="center"/>
              <w:rPr>
                <w:rFonts w:ascii="Times New Roman" w:hAnsi="Times New Roman" w:cs="Times New Roman" w:eastAsia="Times New Roman" w:hint="default"/>
                <w:sz w:val="18"/>
                <w:szCs w:val="18"/>
              </w:rPr>
            </w:pPr>
            <w:r>
              <w:rPr>
                <w:rFonts w:ascii="Times New Roman"/>
                <w:sz w:val="18"/>
              </w:rPr>
              <w:t>8,869,468.28</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-5,389,323.57</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-5,389,323.57</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 w:right="0"/>
              <w:jc w:val="center"/>
              <w:rPr>
                <w:rFonts w:ascii="Times New Roman" w:hAnsi="Times New Roman" w:cs="Times New Roman" w:eastAsia="Times New Roman" w:hint="default"/>
                <w:sz w:val="18"/>
                <w:szCs w:val="18"/>
              </w:rPr>
            </w:pPr>
            <w:r>
              <w:rPr>
                <w:rFonts w:ascii="Times New Roman"/>
                <w:sz w:val="18"/>
              </w:rPr>
              <w:t>-5,413,746.88</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64" w:right="0"/>
              <w:jc w:val="center"/>
              <w:rPr>
                <w:rFonts w:ascii="Times New Roman" w:hAnsi="Times New Roman" w:cs="Times New Roman" w:eastAsia="Times New Roman" w:hint="default"/>
                <w:sz w:val="18"/>
                <w:szCs w:val="18"/>
              </w:rPr>
            </w:pPr>
            <w:r>
              <w:rPr>
                <w:rFonts w:ascii="Times New Roman"/>
                <w:sz w:val="18"/>
              </w:rPr>
              <w:t>7,367,461.93</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-7,649,732.27</w:t>
            </w:r>
          </w:p>
        </w:tc>
        <w:tc>
          <w:tcPr>
            <w:tcW w:w="1064"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-7,649,732.27</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7" w:right="0"/>
              <w:jc w:val="center"/>
              <w:rPr>
                <w:rFonts w:ascii="Times New Roman" w:hAnsi="Times New Roman" w:cs="Times New Roman" w:eastAsia="Times New Roman" w:hint="default"/>
                <w:sz w:val="18"/>
                <w:szCs w:val="18"/>
              </w:rPr>
            </w:pPr>
            <w:r>
              <w:rPr>
                <w:rFonts w:ascii="Times New Roman"/>
                <w:sz w:val="18"/>
              </w:rPr>
              <w:t>-5,316,758.94</w:t>
            </w:r>
          </w:p>
        </w:tc>
      </w:tr>
      <w:tr>
        <w:trPr>
          <w:trHeight w:val="353" w:hRule="exact"/>
        </w:trPr>
        <w:tc>
          <w:tcPr>
            <w:tcW w:w="106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061" w:type="dxa"/>
            <w:tcBorders>
              <w:top w:val="nil" w:sz="6" w:space="0" w:color="auto"/>
              <w:left w:val="single" w:sz="4" w:space="0" w:color="000000"/>
              <w:bottom w:val="single" w:sz="4" w:space="0" w:color="000000"/>
              <w:right w:val="single" w:sz="4" w:space="0" w:color="000000"/>
            </w:tcBorders>
          </w:tcPr>
          <w:p>
            <w:pPr/>
          </w:p>
        </w:tc>
        <w:tc>
          <w:tcPr>
            <w:tcW w:w="10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64"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4"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r>
      <w:tr>
        <w:trPr>
          <w:trHeight w:val="1027" w:hRule="exact"/>
        </w:trPr>
        <w:tc>
          <w:tcPr>
            <w:tcW w:w="1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9"/>
              <w:ind w:left="22" w:right="125"/>
              <w:jc w:val="both"/>
              <w:rPr>
                <w:rFonts w:ascii="宋体" w:hAnsi="宋体" w:cs="宋体" w:eastAsia="宋体" w:hint="default"/>
                <w:sz w:val="18"/>
                <w:szCs w:val="18"/>
              </w:rPr>
            </w:pPr>
            <w:r>
              <w:rPr>
                <w:rFonts w:ascii="宋体" w:hAnsi="宋体" w:cs="宋体" w:eastAsia="宋体" w:hint="default"/>
                <w:sz w:val="18"/>
                <w:szCs w:val="18"/>
              </w:rPr>
              <w:t>长沙市海图 科技有限公 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10,263,097.7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-21,384,470.4</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-21,384,470.4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-4,966,988.47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15,604,149.2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-16,333,437.6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-16,333,437.6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-5,951,320.45</w:t>
            </w:r>
          </w:p>
        </w:tc>
      </w:tr>
      <w:tr>
        <w:trPr>
          <w:trHeight w:val="1025" w:hRule="exact"/>
        </w:trPr>
        <w:tc>
          <w:tcPr>
            <w:tcW w:w="10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177"/>
              <w:jc w:val="left"/>
              <w:rPr>
                <w:rFonts w:ascii="Times New Roman" w:hAnsi="Times New Roman" w:cs="Times New Roman" w:eastAsia="Times New Roman" w:hint="default"/>
                <w:sz w:val="18"/>
                <w:szCs w:val="18"/>
              </w:rPr>
            </w:pPr>
            <w:r>
              <w:rPr>
                <w:rFonts w:ascii="Times New Roman"/>
                <w:sz w:val="18"/>
              </w:rPr>
              <w:t>Mapbar </w:t>
            </w:r>
            <w:r>
              <w:rPr>
                <w:rFonts w:ascii="Times New Roman"/>
                <w:spacing w:val="-2"/>
                <w:sz w:val="18"/>
              </w:rPr>
              <w:t>Technology</w:t>
            </w:r>
            <w:r>
              <w:rPr>
                <w:rFonts w:ascii="Times New Roman"/>
                <w:spacing w:val="-39"/>
                <w:sz w:val="18"/>
              </w:rPr>
              <w:t> </w:t>
            </w:r>
            <w:r>
              <w:rPr>
                <w:rFonts w:ascii="Times New Roman"/>
                <w:spacing w:val="-39"/>
                <w:sz w:val="18"/>
              </w:rPr>
            </w:r>
            <w:r>
              <w:rPr>
                <w:rFonts w:ascii="Times New Roman"/>
                <w:sz w:val="18"/>
              </w:rPr>
              <w:t>Limited</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49,916,606.3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-108,910,539.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-114,691,743.</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20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-115,585,360.</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40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143,456,632.</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72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-87,491,352.5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-87,636,994.8</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-45,062,013.4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）使用企业集团资产和清偿企业集团债务的重大限制</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5</w:t>
      </w:r>
      <w:r>
        <w:rPr/>
        <w:t>）向纳入合并财务报表范围的结构化主体提供的财务支持或其他支持</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202"/>
        <w:jc w:val="left"/>
        <w:rPr>
          <w:b w:val="0"/>
          <w:bCs w:val="0"/>
        </w:rPr>
      </w:pP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202"/>
        <w:jc w:val="left"/>
        <w:rPr>
          <w:b w:val="0"/>
          <w:bCs w:val="0"/>
        </w:rPr>
      </w:pP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12"/>
        <w:rPr>
          <w:rFonts w:ascii="宋体" w:hAnsi="宋体" w:cs="宋体" w:eastAsia="宋体" w:hint="default"/>
          <w:b/>
          <w:bCs/>
          <w:sz w:val="24"/>
          <w:szCs w:val="24"/>
        </w:rPr>
      </w:pPr>
    </w:p>
    <w:p>
      <w:pPr>
        <w:pStyle w:val="Heading7"/>
        <w:spacing w:line="271" w:lineRule="auto"/>
        <w:ind w:right="104" w:firstLine="322"/>
        <w:jc w:val="left"/>
      </w:pPr>
      <w:r>
        <w:rPr>
          <w:rFonts w:ascii="Times New Roman" w:hAnsi="Times New Roman" w:cs="Times New Roman" w:eastAsia="Times New Roman" w:hint="default"/>
          <w:spacing w:val="-2"/>
        </w:rPr>
        <w:t>1</w:t>
      </w:r>
      <w:r>
        <w:rPr>
          <w:spacing w:val="-2"/>
        </w:rPr>
        <w:t>）本公司于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月以</w:t>
      </w:r>
      <w:r>
        <w:rPr>
          <w:rFonts w:ascii="Times New Roman" w:hAnsi="Times New Roman" w:cs="Times New Roman" w:eastAsia="Times New Roman" w:hint="default"/>
          <w:spacing w:val="-2"/>
        </w:rPr>
        <w:t>66,350,900.00</w:t>
      </w:r>
      <w:r>
        <w:rPr>
          <w:spacing w:val="-2"/>
        </w:rPr>
        <w:t>元收购所属子公司中寰卫星导航通信有限公司（以下简称</w:t>
      </w:r>
      <w:r>
        <w:rPr>
          <w:rFonts w:ascii="Times New Roman" w:hAnsi="Times New Roman" w:cs="Times New Roman" w:eastAsia="Times New Roman" w:hint="default"/>
          <w:spacing w:val="-2"/>
        </w:rPr>
        <w:t>“</w:t>
      </w:r>
      <w:r>
        <w:rPr>
          <w:spacing w:val="-2"/>
        </w:rPr>
        <w:t>中寰卫星</w:t>
      </w:r>
      <w:r>
        <w:rPr>
          <w:rFonts w:ascii="Times New Roman" w:hAnsi="Times New Roman" w:cs="Times New Roman" w:eastAsia="Times New Roman" w:hint="default"/>
          <w:spacing w:val="-2"/>
        </w:rPr>
        <w:t>”</w:t>
      </w:r>
      <w:r>
        <w:rPr>
          <w:spacing w:val="-2"/>
        </w:rPr>
        <w:t>）</w:t>
      </w:r>
      <w:r>
        <w:rPr>
          <w:w w:val="99"/>
        </w:rPr>
        <w:t> </w:t>
      </w:r>
      <w:r>
        <w:rPr/>
        <w:t>少数股东中国四维测绘技术有限公司持有的中寰卫星之</w:t>
      </w:r>
      <w:r>
        <w:rPr>
          <w:rFonts w:ascii="Times New Roman" w:hAnsi="Times New Roman" w:cs="Times New Roman" w:eastAsia="Times New Roman" w:hint="default"/>
        </w:rPr>
        <w:t>37.40%</w:t>
      </w:r>
      <w:r>
        <w:rPr/>
        <w:t>股权，交易完成后，本公司持有中寰卫星</w:t>
      </w:r>
      <w:r>
        <w:rPr>
          <w:rFonts w:ascii="Times New Roman" w:hAnsi="Times New Roman" w:cs="Times New Roman" w:eastAsia="Times New Roman" w:hint="default"/>
        </w:rPr>
        <w:t>76.32%</w:t>
      </w:r>
      <w:r>
        <w:rPr>
          <w:rFonts w:ascii="Times New Roman" w:hAnsi="Times New Roman" w:cs="Times New Roman" w:eastAsia="Times New Roman" w:hint="default"/>
          <w:spacing w:val="-48"/>
        </w:rPr>
        <w:t> </w:t>
      </w:r>
      <w:r>
        <w:rPr>
          <w:rFonts w:ascii="Times New Roman" w:hAnsi="Times New Roman" w:cs="Times New Roman" w:eastAsia="Times New Roman" w:hint="default"/>
          <w:spacing w:val="-48"/>
        </w:rPr>
      </w:r>
      <w:r>
        <w:rPr/>
        <w:t>股权，该公司仍为本公司之子公司，纳入合并报表范围。</w:t>
      </w:r>
    </w:p>
    <w:p>
      <w:pPr>
        <w:pStyle w:val="Heading7"/>
        <w:spacing w:line="271" w:lineRule="auto" w:before="24"/>
        <w:ind w:right="312" w:firstLine="322"/>
        <w:jc w:val="both"/>
      </w:pPr>
      <w:r>
        <w:rPr>
          <w:rFonts w:ascii="Times New Roman" w:hAnsi="Times New Roman" w:cs="Times New Roman" w:eastAsia="Times New Roman" w:hint="default"/>
        </w:rPr>
        <w:t>2</w:t>
      </w:r>
      <w:r>
        <w:rPr/>
        <w:t>）本公司之子公司</w:t>
      </w:r>
      <w:r>
        <w:rPr>
          <w:rFonts w:ascii="Times New Roman" w:hAnsi="Times New Roman" w:cs="Times New Roman" w:eastAsia="Times New Roman" w:hint="default"/>
        </w:rPr>
        <w:t>Mapbar Technology Limited</w:t>
      </w:r>
      <w:r>
        <w:rPr/>
        <w:t>（以下简称图吧</w:t>
      </w:r>
      <w:r>
        <w:rPr>
          <w:rFonts w:ascii="Times New Roman" w:hAnsi="Times New Roman" w:cs="Times New Roman" w:eastAsia="Times New Roman" w:hint="default"/>
        </w:rPr>
        <w:t>BVI</w:t>
      </w:r>
      <w:r>
        <w:rPr/>
        <w:t>）回购除本公司及</w:t>
      </w:r>
      <w:r>
        <w:rPr>
          <w:rFonts w:ascii="Times New Roman" w:hAnsi="Times New Roman" w:cs="Times New Roman" w:eastAsia="Times New Roman" w:hint="default"/>
        </w:rPr>
        <w:t>Baidu Holdings</w:t>
      </w:r>
      <w:r>
        <w:rPr>
          <w:rFonts w:ascii="Times New Roman" w:hAnsi="Times New Roman" w:cs="Times New Roman" w:eastAsia="Times New Roman" w:hint="default"/>
          <w:spacing w:val="2"/>
        </w:rPr>
        <w:t> </w:t>
      </w:r>
      <w:r>
        <w:rPr>
          <w:rFonts w:ascii="Times New Roman" w:hAnsi="Times New Roman" w:cs="Times New Roman" w:eastAsia="Times New Roman" w:hint="default"/>
        </w:rPr>
        <w:t>Limited</w:t>
      </w:r>
      <w:r>
        <w:rPr>
          <w:rFonts w:ascii="Times New Roman" w:hAnsi="Times New Roman" w:cs="Times New Roman" w:eastAsia="Times New Roman" w:hint="default"/>
          <w:w w:val="99"/>
        </w:rPr>
        <w:t> </w:t>
      </w:r>
      <w:r>
        <w:rPr>
          <w:spacing w:val="9"/>
        </w:rPr>
        <w:t>之外的其他股东持有图吧</w:t>
      </w:r>
      <w:r>
        <w:rPr>
          <w:rFonts w:ascii="Times New Roman" w:hAnsi="Times New Roman" w:cs="Times New Roman" w:eastAsia="Times New Roman" w:hint="default"/>
          <w:spacing w:val="9"/>
        </w:rPr>
        <w:t>BVI</w:t>
      </w:r>
      <w:r>
        <w:rPr>
          <w:spacing w:val="9"/>
        </w:rPr>
        <w:t>的</w:t>
      </w:r>
      <w:r>
        <w:rPr>
          <w:rFonts w:ascii="Times New Roman" w:hAnsi="Times New Roman" w:cs="Times New Roman" w:eastAsia="Times New Roman" w:hint="default"/>
          <w:spacing w:val="9"/>
        </w:rPr>
        <w:t>37,301,390</w:t>
      </w:r>
      <w:r>
        <w:rPr>
          <w:spacing w:val="9"/>
        </w:rPr>
        <w:t>股份，同时向讯发有限公司发行新股</w:t>
      </w:r>
      <w:r>
        <w:rPr>
          <w:spacing w:val="-81"/>
        </w:rPr>
        <w:t> </w:t>
      </w:r>
      <w:r>
        <w:rPr>
          <w:rFonts w:ascii="Times New Roman" w:hAnsi="Times New Roman" w:cs="Times New Roman" w:eastAsia="Times New Roman" w:hint="default"/>
          <w:spacing w:val="5"/>
        </w:rPr>
        <w:t>28,504,992</w:t>
      </w:r>
      <w:r>
        <w:rPr>
          <w:spacing w:val="5"/>
        </w:rPr>
        <w:t>股，并同时注销</w:t>
      </w:r>
      <w:r>
        <w:rPr>
          <w:spacing w:val="-98"/>
        </w:rPr>
        <w:t> </w:t>
      </w:r>
      <w:r>
        <w:rPr>
          <w:spacing w:val="-98"/>
        </w:rPr>
      </w:r>
      <w:r>
        <w:rPr>
          <w:rFonts w:ascii="Times New Roman" w:hAnsi="Times New Roman" w:cs="Times New Roman" w:eastAsia="Times New Roman" w:hint="default"/>
          <w:spacing w:val="-1"/>
          <w:w w:val="95"/>
        </w:rPr>
        <w:t>4,825,975</w:t>
      </w:r>
      <w:r>
        <w:rPr>
          <w:spacing w:val="-1"/>
          <w:w w:val="95"/>
        </w:rPr>
        <w:t>股，与此同时，本公司以对价</w:t>
      </w:r>
      <w:r>
        <w:rPr>
          <w:rFonts w:ascii="Times New Roman" w:hAnsi="Times New Roman" w:cs="Times New Roman" w:eastAsia="Times New Roman" w:hint="default"/>
          <w:spacing w:val="-1"/>
          <w:w w:val="95"/>
        </w:rPr>
        <w:t>158,345,232.00</w:t>
      </w:r>
      <w:r>
        <w:rPr>
          <w:spacing w:val="-1"/>
          <w:w w:val="95"/>
        </w:rPr>
        <w:t>元，收购图吧</w:t>
      </w:r>
      <w:r>
        <w:rPr>
          <w:rFonts w:ascii="Times New Roman" w:hAnsi="Times New Roman" w:cs="Times New Roman" w:eastAsia="Times New Roman" w:hint="default"/>
          <w:spacing w:val="-1"/>
          <w:w w:val="95"/>
        </w:rPr>
        <w:t>BVI</w:t>
      </w:r>
      <w:r>
        <w:rPr>
          <w:spacing w:val="-1"/>
          <w:w w:val="95"/>
        </w:rPr>
        <w:t>通过</w:t>
      </w:r>
      <w:r>
        <w:rPr>
          <w:rFonts w:ascii="Times New Roman" w:hAnsi="Times New Roman" w:cs="Times New Roman" w:eastAsia="Times New Roman" w:hint="default"/>
          <w:spacing w:val="-1"/>
          <w:w w:val="95"/>
        </w:rPr>
        <w:t>VIE</w:t>
      </w:r>
      <w:r>
        <w:rPr>
          <w:spacing w:val="-1"/>
          <w:w w:val="95"/>
        </w:rPr>
        <w:t>协议控制的北京图为先科技有限</w:t>
      </w:r>
      <w:r>
        <w:rPr>
          <w:spacing w:val="67"/>
          <w:w w:val="95"/>
        </w:rPr>
        <w:t> </w:t>
      </w:r>
      <w:r>
        <w:rPr>
          <w:spacing w:val="67"/>
          <w:w w:val="95"/>
        </w:rPr>
      </w:r>
      <w:r>
        <w:rPr>
          <w:spacing w:val="-1"/>
          <w:w w:val="95"/>
        </w:rPr>
        <w:t>公司的</w:t>
      </w:r>
      <w:r>
        <w:rPr>
          <w:rFonts w:ascii="Times New Roman" w:hAnsi="Times New Roman" w:cs="Times New Roman" w:eastAsia="Times New Roman" w:hint="default"/>
          <w:spacing w:val="-1"/>
          <w:w w:val="95"/>
        </w:rPr>
        <w:t>55,000,000</w:t>
      </w:r>
      <w:r>
        <w:rPr>
          <w:spacing w:val="-1"/>
          <w:w w:val="95"/>
        </w:rPr>
        <w:t>股份。上述交易完成后，本公司持有北京图为先科技有限公司</w:t>
      </w:r>
      <w:r>
        <w:rPr>
          <w:rFonts w:ascii="Times New Roman" w:hAnsi="Times New Roman" w:cs="Times New Roman" w:eastAsia="Times New Roman" w:hint="default"/>
          <w:spacing w:val="-1"/>
          <w:w w:val="95"/>
        </w:rPr>
        <w:t>100%</w:t>
      </w:r>
      <w:r>
        <w:rPr>
          <w:spacing w:val="-1"/>
          <w:w w:val="95"/>
        </w:rPr>
        <w:t>股权，该部分权益通过</w:t>
      </w:r>
      <w:r>
        <w:rPr>
          <w:rFonts w:ascii="Times New Roman" w:hAnsi="Times New Roman" w:cs="Times New Roman" w:eastAsia="Times New Roman" w:hint="default"/>
          <w:spacing w:val="-1"/>
          <w:w w:val="95"/>
        </w:rPr>
        <w:t>VIE</w:t>
      </w:r>
      <w:r>
        <w:rPr>
          <w:rFonts w:ascii="Times New Roman" w:hAnsi="Times New Roman" w:cs="Times New Roman" w:eastAsia="Times New Roman" w:hint="default"/>
          <w:spacing w:val="44"/>
          <w:w w:val="95"/>
        </w:rPr>
        <w:t> </w:t>
      </w:r>
      <w:r>
        <w:rPr>
          <w:rFonts w:ascii="Times New Roman" w:hAnsi="Times New Roman" w:cs="Times New Roman" w:eastAsia="Times New Roman" w:hint="default"/>
          <w:spacing w:val="44"/>
          <w:w w:val="95"/>
        </w:rPr>
      </w:r>
      <w:r>
        <w:rPr>
          <w:spacing w:val="-1"/>
          <w:w w:val="95"/>
        </w:rPr>
        <w:t>协议的方式全部由图吧</w:t>
      </w:r>
      <w:r>
        <w:rPr>
          <w:rFonts w:ascii="Times New Roman" w:hAnsi="Times New Roman" w:cs="Times New Roman" w:eastAsia="Times New Roman" w:hint="default"/>
          <w:spacing w:val="-1"/>
          <w:w w:val="95"/>
        </w:rPr>
        <w:t>BVI</w:t>
      </w:r>
      <w:r>
        <w:rPr>
          <w:spacing w:val="-1"/>
          <w:w w:val="95"/>
        </w:rPr>
        <w:t>享有，同时本公司在图吧</w:t>
      </w:r>
      <w:r>
        <w:rPr>
          <w:rFonts w:ascii="Times New Roman" w:hAnsi="Times New Roman" w:cs="Times New Roman" w:eastAsia="Times New Roman" w:hint="default"/>
          <w:spacing w:val="-1"/>
          <w:w w:val="95"/>
        </w:rPr>
        <w:t>BVI</w:t>
      </w:r>
      <w:r>
        <w:rPr>
          <w:spacing w:val="-1"/>
          <w:w w:val="95"/>
        </w:rPr>
        <w:t>中的持股比例由原</w:t>
      </w:r>
      <w:r>
        <w:rPr>
          <w:rFonts w:ascii="Times New Roman" w:hAnsi="Times New Roman" w:cs="Times New Roman" w:eastAsia="Times New Roman" w:hint="default"/>
          <w:spacing w:val="-1"/>
          <w:w w:val="95"/>
        </w:rPr>
        <w:t>51.00%</w:t>
      </w:r>
      <w:r>
        <w:rPr>
          <w:spacing w:val="-1"/>
          <w:w w:val="95"/>
        </w:rPr>
        <w:t>上升为</w:t>
      </w:r>
      <w:r>
        <w:rPr>
          <w:rFonts w:ascii="Times New Roman" w:hAnsi="Times New Roman" w:cs="Times New Roman" w:eastAsia="Times New Roman" w:hint="default"/>
          <w:spacing w:val="-1"/>
          <w:w w:val="95"/>
        </w:rPr>
        <w:t>60.33%</w:t>
      </w:r>
      <w:r>
        <w:rPr>
          <w:spacing w:val="-1"/>
          <w:w w:val="95"/>
        </w:rPr>
        <w:t>，该公司仍为本</w:t>
      </w:r>
      <w:r>
        <w:rPr>
          <w:spacing w:val="69"/>
          <w:w w:val="95"/>
        </w:rPr>
        <w:t> </w:t>
      </w:r>
      <w:r>
        <w:rPr>
          <w:spacing w:val="69"/>
          <w:w w:val="95"/>
        </w:rPr>
      </w:r>
      <w:r>
        <w:rPr/>
        <w:t>公司之子公司，纳入合并报表范围。</w:t>
      </w:r>
    </w:p>
    <w:p>
      <w:pPr>
        <w:spacing w:line="240" w:lineRule="auto" w:before="6"/>
        <w:rPr>
          <w:rFonts w:ascii="宋体" w:hAnsi="宋体" w:cs="宋体" w:eastAsia="宋体" w:hint="default"/>
          <w:sz w:val="24"/>
          <w:szCs w:val="24"/>
        </w:rPr>
      </w:pPr>
    </w:p>
    <w:p>
      <w:pPr>
        <w:pStyle w:val="Heading5"/>
        <w:spacing w:line="240" w:lineRule="auto"/>
        <w:ind w:right="202"/>
        <w:jc w:val="left"/>
        <w:rPr>
          <w:b w:val="0"/>
          <w:bCs w:val="0"/>
        </w:rPr>
      </w:pP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left="0" w:right="31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3"/>
      </w:tblGrid>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1"/>
              <w:ind w:left="559" w:right="0"/>
              <w:jc w:val="left"/>
              <w:rPr>
                <w:rFonts w:ascii="Times New Roman" w:hAnsi="Times New Roman" w:cs="Times New Roman" w:eastAsia="Times New Roman" w:hint="default"/>
                <w:sz w:val="18"/>
                <w:szCs w:val="18"/>
              </w:rPr>
            </w:pPr>
            <w:r>
              <w:rPr>
                <w:rFonts w:ascii="Times New Roman"/>
                <w:sz w:val="18"/>
              </w:rPr>
              <w:t>Mapbar Technology</w:t>
            </w:r>
            <w:r>
              <w:rPr>
                <w:rFonts w:ascii="Times New Roman"/>
                <w:spacing w:val="-27"/>
                <w:sz w:val="18"/>
              </w:rPr>
              <w:t> </w:t>
            </w:r>
            <w:r>
              <w:rPr>
                <w:rFonts w:ascii="Times New Roman"/>
                <w:sz w:val="18"/>
              </w:rPr>
              <w:t>Limited</w:t>
            </w:r>
          </w:p>
        </w:tc>
        <w:tc>
          <w:tcPr>
            <w:tcW w:w="31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511" w:right="0"/>
              <w:jc w:val="left"/>
              <w:rPr>
                <w:rFonts w:ascii="宋体" w:hAnsi="宋体" w:cs="宋体" w:eastAsia="宋体" w:hint="default"/>
                <w:sz w:val="18"/>
                <w:szCs w:val="18"/>
              </w:rPr>
            </w:pPr>
            <w:r>
              <w:rPr>
                <w:rFonts w:ascii="宋体" w:hAnsi="宋体" w:cs="宋体" w:eastAsia="宋体" w:hint="default"/>
                <w:sz w:val="18"/>
                <w:szCs w:val="18"/>
              </w:rPr>
              <w:t>中寰卫星导航通信有限公司</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158,345,232.00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66,350,900.00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158,345,232.00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66,350,900.00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非现金资产的公允价值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158,345,232.00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66,350,900.00</w:t>
            </w:r>
          </w:p>
        </w:tc>
      </w:tr>
      <w:tr>
        <w:trPr>
          <w:trHeight w:val="71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49"/>
              <w:ind w:left="22" w:right="44"/>
              <w:jc w:val="left"/>
              <w:rPr>
                <w:rFonts w:ascii="宋体" w:hAnsi="宋体" w:cs="宋体" w:eastAsia="宋体" w:hint="default"/>
                <w:sz w:val="18"/>
                <w:szCs w:val="18"/>
              </w:rPr>
            </w:pPr>
            <w:r>
              <w:rPr>
                <w:rFonts w:ascii="宋体" w:hAnsi="宋体" w:cs="宋体" w:eastAsia="宋体" w:hint="default"/>
                <w:sz w:val="18"/>
                <w:szCs w:val="18"/>
              </w:rPr>
              <w:t>减：按取得</w:t>
            </w:r>
            <w:r>
              <w:rPr>
                <w:rFonts w:ascii="Times New Roman" w:hAnsi="Times New Roman" w:cs="Times New Roman" w:eastAsia="Times New Roman" w:hint="default"/>
                <w:sz w:val="18"/>
                <w:szCs w:val="18"/>
              </w:rPr>
              <w:t>/</w:t>
            </w:r>
            <w:r>
              <w:rPr>
                <w:rFonts w:ascii="宋体" w:hAnsi="宋体" w:cs="宋体" w:eastAsia="宋体" w:hint="default"/>
                <w:sz w:val="18"/>
                <w:szCs w:val="18"/>
              </w:rPr>
              <w:t>处置的股权比例计算的子公 司净资产份额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22,165,257.03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58,906,849.08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136,179,974.97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7,444,050.92</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调整盈余公积</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调整未分配利润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202"/>
        <w:jc w:val="left"/>
        <w:rPr>
          <w:b w:val="0"/>
          <w:bCs w:val="0"/>
        </w:rPr>
      </w:pPr>
      <w:r>
        <w:rPr>
          <w:rFonts w:ascii="Times New Roman" w:hAnsi="Times New Roman" w:cs="Times New Roman" w:eastAsia="Times New Roman" w:hint="default"/>
        </w:rPr>
        <w:t>3</w:t>
      </w:r>
      <w:r>
        <w:rPr/>
        <w:t>、在合营安排或联营企业中的权益</w:t>
      </w:r>
      <w:r>
        <w:rPr>
          <w:b w:val="0"/>
          <w:bCs w:val="0"/>
        </w:rPr>
      </w:r>
    </w:p>
    <w:p>
      <w:pPr>
        <w:spacing w:line="240" w:lineRule="auto" w:before="7"/>
        <w:rPr>
          <w:rFonts w:ascii="宋体" w:hAnsi="宋体" w:cs="宋体" w:eastAsia="宋体" w:hint="default"/>
          <w:b/>
          <w:bCs/>
          <w:sz w:val="24"/>
          <w:szCs w:val="24"/>
        </w:rPr>
      </w:pPr>
    </w:p>
    <w:p>
      <w:pPr>
        <w:pStyle w:val="Heading5"/>
        <w:spacing w:line="240" w:lineRule="auto"/>
        <w:ind w:right="202"/>
        <w:jc w:val="left"/>
        <w:rPr>
          <w:b w:val="0"/>
          <w:bCs w:val="0"/>
        </w:rPr>
      </w:pP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0"/>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1371"/>
        <w:gridCol w:w="1368"/>
        <w:gridCol w:w="1366"/>
        <w:gridCol w:w="1368"/>
        <w:gridCol w:w="1368"/>
        <w:gridCol w:w="1366"/>
        <w:gridCol w:w="1366"/>
      </w:tblGrid>
      <w:tr>
        <w:trPr>
          <w:trHeight w:val="403" w:hRule="exact"/>
        </w:trPr>
        <w:tc>
          <w:tcPr>
            <w:tcW w:w="13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316" w:lineRule="auto"/>
              <w:ind w:left="322" w:right="48" w:hanging="272"/>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5"/>
              <w:ind w:left="321"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49"/>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1"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6"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9"/>
              <w:ind w:left="1"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3"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4" w:right="75"/>
              <w:jc w:val="left"/>
              <w:rPr>
                <w:rFonts w:ascii="宋体" w:hAnsi="宋体" w:cs="宋体" w:eastAsia="宋体" w:hint="default"/>
                <w:sz w:val="18"/>
                <w:szCs w:val="18"/>
              </w:rPr>
            </w:pPr>
            <w:r>
              <w:rPr>
                <w:rFonts w:ascii="宋体" w:hAnsi="宋体" w:cs="宋体" w:eastAsia="宋体" w:hint="default"/>
                <w:sz w:val="18"/>
                <w:szCs w:val="18"/>
              </w:rPr>
              <w:t>上海安吉四维信 息技术有限公司</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6" w:right="70"/>
              <w:jc w:val="left"/>
              <w:rPr>
                <w:rFonts w:ascii="宋体" w:hAnsi="宋体" w:cs="宋体" w:eastAsia="宋体" w:hint="default"/>
                <w:sz w:val="18"/>
                <w:szCs w:val="18"/>
              </w:rPr>
            </w:pPr>
            <w:r>
              <w:rPr>
                <w:rFonts w:ascii="宋体" w:hAnsi="宋体" w:cs="宋体" w:eastAsia="宋体" w:hint="default"/>
                <w:sz w:val="18"/>
                <w:szCs w:val="18"/>
              </w:rPr>
              <w:t>导航电子地图销 售及服务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779" w:right="0"/>
              <w:jc w:val="left"/>
              <w:rPr>
                <w:rFonts w:ascii="Times New Roman" w:hAnsi="Times New Roman" w:cs="Times New Roman" w:eastAsia="Times New Roman" w:hint="default"/>
                <w:sz w:val="18"/>
                <w:szCs w:val="18"/>
              </w:rPr>
            </w:pPr>
            <w:r>
              <w:rPr>
                <w:rFonts w:ascii="Times New Roman"/>
                <w:sz w:val="18"/>
              </w:rPr>
              <w:t>49.00%</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spacing w:line="240" w:lineRule="auto" w:before="3"/>
        <w:rPr>
          <w:rFonts w:ascii="宋体" w:hAnsi="宋体" w:cs="宋体" w:eastAsia="宋体" w:hint="default"/>
          <w:b/>
          <w:bCs/>
          <w:sz w:val="19"/>
          <w:szCs w:val="19"/>
        </w:rPr>
      </w:pPr>
    </w:p>
    <w:p>
      <w:pPr>
        <w:pStyle w:val="Heading5"/>
        <w:spacing w:line="240" w:lineRule="auto" w:before="36"/>
        <w:ind w:right="202"/>
        <w:jc w:val="left"/>
        <w:rPr>
          <w:b w:val="0"/>
          <w:bCs w:val="0"/>
        </w:rPr>
      </w:pP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202"/>
        <w:jc w:val="left"/>
      </w:pPr>
      <w:r>
        <w:rPr/>
        <w:t>无</w:t>
      </w:r>
    </w:p>
    <w:p>
      <w:pPr>
        <w:spacing w:after="0" w:line="240" w:lineRule="auto"/>
        <w:jc w:val="left"/>
        <w:sectPr>
          <w:pgSz w:w="11910" w:h="16840"/>
          <w:pgMar w:header="745" w:footer="979" w:top="1060" w:bottom="1160" w:left="980" w:right="82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3"/>
      </w:tblGrid>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31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9"/>
              <w:ind w:left="331"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160,960,020.07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125,690,741.09</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1,785,009.27</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569,893.72</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162,745,029.34</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126,260,634.81</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115,327,494.59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44,925,245.73</w:t>
            </w:r>
          </w:p>
        </w:tc>
      </w:tr>
      <w:tr>
        <w:trPr>
          <w:trHeight w:val="404"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3,500,000.00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6,065,000.00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118,827,494.59</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50,990,245.73</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43,917,534.75</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75,270,389.08</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按持股比例计算的净资产份额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21,519,592.03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36,882,490.65</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调整事项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内部交易未实现利润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对联营企业权益投资的账面价值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21,519,592.03</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36,882,490.65</w:t>
            </w:r>
          </w:p>
        </w:tc>
      </w:tr>
      <w:tr>
        <w:trPr>
          <w:trHeight w:val="715"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6"/>
              <w:jc w:val="left"/>
              <w:rPr>
                <w:rFonts w:ascii="宋体" w:hAnsi="宋体" w:cs="宋体" w:eastAsia="宋体" w:hint="default"/>
                <w:sz w:val="18"/>
                <w:szCs w:val="18"/>
              </w:rPr>
            </w:pPr>
            <w:r>
              <w:rPr>
                <w:rFonts w:ascii="宋体" w:hAnsi="宋体" w:cs="宋体" w:eastAsia="宋体" w:hint="default"/>
                <w:sz w:val="18"/>
                <w:szCs w:val="18"/>
              </w:rPr>
              <w:t>存在公开报价的联营企业权益投资的公 允价值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212,016,448.80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188,067,421.67</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18,492,379.86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27,417,460.55</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终止经营的净利润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18,492,379.86</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27,417,460.55</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本年度收到的来自联营企业的股利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25"/>
        <w:gridCol w:w="3060"/>
        <w:gridCol w:w="3185"/>
      </w:tblGrid>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88"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5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18,405.83</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-6,161.85</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3325"/>
        <w:gridCol w:w="3060"/>
        <w:gridCol w:w="3185"/>
      </w:tblGrid>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1,181.90</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-4,979.95</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63"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8"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61,246,508.41</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4,499,521.98</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63" w:right="0"/>
              <w:jc w:val="left"/>
              <w:rPr>
                <w:rFonts w:ascii="Times New Roman" w:hAnsi="Times New Roman" w:cs="Times New Roman" w:eastAsia="Times New Roman" w:hint="default"/>
                <w:sz w:val="18"/>
                <w:szCs w:val="18"/>
              </w:rPr>
            </w:pPr>
            <w:r>
              <w:rPr>
                <w:rFonts w:ascii="Times New Roman"/>
                <w:sz w:val="18"/>
              </w:rPr>
              <w:t>--</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8" w:right="0"/>
              <w:jc w:val="left"/>
              <w:rPr>
                <w:rFonts w:ascii="Times New Roman" w:hAnsi="Times New Roman" w:cs="Times New Roman" w:eastAsia="Times New Roman" w:hint="default"/>
                <w:sz w:val="18"/>
                <w:szCs w:val="18"/>
              </w:rPr>
            </w:pPr>
            <w:r>
              <w:rPr>
                <w:rFonts w:ascii="Times New Roman"/>
                <w:sz w:val="18"/>
              </w:rPr>
              <w:t>--</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-4,554,640.05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1,396,244.77</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-4,554,640.05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1,396,244.77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7</w:t>
      </w:r>
      <w:r>
        <w:rPr/>
        <w:t>）与合营企业投资相关的未确认承诺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8</w:t>
      </w:r>
      <w:r>
        <w:rPr/>
        <w:t>）与合营企业或联营企业投资相关的或有负债</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4</w:t>
      </w:r>
      <w:r>
        <w:rPr/>
        <w:t>、重要的共同经营</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2"/>
        <w:rPr>
          <w:rFonts w:ascii="宋体" w:hAnsi="宋体" w:cs="宋体" w:eastAsia="宋体" w:hint="default"/>
          <w:b/>
          <w:bCs/>
          <w:sz w:val="26"/>
          <w:szCs w:val="26"/>
        </w:rPr>
      </w:pPr>
    </w:p>
    <w:p>
      <w:pPr>
        <w:pStyle w:val="BodyText"/>
        <w:spacing w:line="360" w:lineRule="auto"/>
        <w:ind w:right="5634"/>
        <w:jc w:val="left"/>
      </w:pPr>
      <w:r>
        <w:rPr/>
        <w:t>未纳入合并财务报表范围的结构化主体的相关说明： 无</w:t>
      </w:r>
    </w:p>
    <w:p>
      <w:pPr>
        <w:spacing w:line="240" w:lineRule="auto" w:before="4"/>
        <w:rPr>
          <w:rFonts w:ascii="宋体" w:hAnsi="宋体" w:cs="宋体" w:eastAsia="宋体" w:hint="default"/>
          <w:sz w:val="20"/>
          <w:szCs w:val="20"/>
        </w:rPr>
      </w:pPr>
    </w:p>
    <w:p>
      <w:pPr>
        <w:pStyle w:val="Heading5"/>
        <w:spacing w:line="240" w:lineRule="auto"/>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十、与金融工具相关的风险</w:t>
      </w:r>
      <w:r>
        <w:rPr>
          <w:b w:val="0"/>
          <w:bCs w:val="0"/>
        </w:rPr>
      </w:r>
    </w:p>
    <w:p>
      <w:pPr>
        <w:spacing w:line="240" w:lineRule="auto" w:before="1"/>
        <w:rPr>
          <w:rFonts w:ascii="宋体" w:hAnsi="宋体" w:cs="宋体" w:eastAsia="宋体" w:hint="default"/>
          <w:b/>
          <w:bCs/>
          <w:sz w:val="25"/>
          <w:szCs w:val="25"/>
        </w:rPr>
      </w:pPr>
    </w:p>
    <w:p>
      <w:pPr>
        <w:pStyle w:val="Heading7"/>
        <w:spacing w:line="285" w:lineRule="auto"/>
        <w:ind w:right="0" w:firstLine="439"/>
        <w:jc w:val="left"/>
      </w:pPr>
      <w:r>
        <w:rPr>
          <w:w w:val="95"/>
        </w:rPr>
        <w:t>本集团的主要金融工具包括应收款项、应付款项、应付债券等，各项金融工具的详细情况说明见本附注七</w:t>
      </w:r>
      <w:r>
        <w:rPr>
          <w:spacing w:val="-83"/>
          <w:w w:val="95"/>
        </w:rPr>
        <w:t> </w:t>
      </w:r>
      <w:r>
        <w:rPr>
          <w:spacing w:val="-83"/>
          <w:w w:val="95"/>
        </w:rPr>
      </w:r>
      <w:r>
        <w:rPr/>
        <w:t>相关项目。与这些金融工具有关的风险，以及本集团为降低这些风险所采取的风险管理政策如下所述。本集团</w:t>
      </w:r>
    </w:p>
    <w:p>
      <w:pPr>
        <w:spacing w:after="0" w:line="285" w:lineRule="auto"/>
        <w:jc w:val="left"/>
        <w:sectPr>
          <w:pgSz w:w="11910" w:h="16840"/>
          <w:pgMar w:header="745" w:footer="979" w:top="1060" w:bottom="1160" w:left="980" w:right="980"/>
        </w:sectPr>
      </w:pPr>
    </w:p>
    <w:p>
      <w:pPr>
        <w:spacing w:line="240" w:lineRule="auto" w:before="0"/>
        <w:rPr>
          <w:rFonts w:ascii="宋体" w:hAnsi="宋体" w:cs="宋体" w:eastAsia="宋体" w:hint="default"/>
          <w:sz w:val="25"/>
          <w:szCs w:val="25"/>
        </w:rPr>
      </w:pPr>
    </w:p>
    <w:p>
      <w:pPr>
        <w:pStyle w:val="Heading7"/>
        <w:spacing w:line="240" w:lineRule="auto" w:before="37"/>
        <w:ind w:right="94"/>
        <w:jc w:val="left"/>
      </w:pPr>
      <w:r>
        <w:rPr/>
        <w:t>管理层对这些风险敞口进行管理和监控以确保将上述风险控制在限定的范围之内。</w:t>
      </w:r>
    </w:p>
    <w:p>
      <w:pPr>
        <w:pStyle w:val="Heading7"/>
        <w:spacing w:line="374" w:lineRule="auto" w:before="170"/>
        <w:ind w:left="592" w:right="94" w:hanging="260"/>
        <w:jc w:val="left"/>
      </w:pPr>
      <w:r>
        <w:rPr>
          <w:rFonts w:ascii="Times New Roman" w:hAnsi="Times New Roman" w:cs="Times New Roman" w:eastAsia="Times New Roman" w:hint="default"/>
        </w:rPr>
        <w:t>1.</w:t>
      </w:r>
      <w:r>
        <w:rPr/>
        <w:t>各类风险管理目标和政策</w:t>
      </w:r>
      <w:r>
        <w:rPr>
          <w:w w:val="99"/>
        </w:rPr>
        <w:t> </w:t>
      </w:r>
      <w:r>
        <w:rPr>
          <w:w w:val="95"/>
        </w:rPr>
        <w:t>本集团从事风险管理的目标是在风险和收益之间取得适当的平衡，将风险对本集团经营业绩的负面影响降</w:t>
      </w:r>
      <w:r>
        <w:rPr/>
      </w:r>
    </w:p>
    <w:p>
      <w:pPr>
        <w:pStyle w:val="Heading7"/>
        <w:spacing w:line="200" w:lineRule="exact"/>
        <w:ind w:right="94"/>
        <w:jc w:val="left"/>
      </w:pPr>
      <w:r>
        <w:rPr/>
        <w:t>低到最低水平，使股东及其它权益投资者的利益最大化。基于该风险管理目标，本集团风险管理的基本策略是</w:t>
      </w:r>
    </w:p>
    <w:p>
      <w:pPr>
        <w:pStyle w:val="Heading7"/>
        <w:spacing w:line="285" w:lineRule="auto" w:before="50"/>
        <w:ind w:right="94"/>
        <w:jc w:val="left"/>
      </w:pPr>
      <w:r>
        <w:rPr>
          <w:w w:val="95"/>
        </w:rPr>
        <w:t>确定和分析本集团所面临的各种风险，建立适当的风险承受底线并进行风险管理，并及时可靠地对各种风险进</w:t>
      </w:r>
      <w:r>
        <w:rPr>
          <w:spacing w:val="93"/>
          <w:w w:val="95"/>
        </w:rPr>
        <w:t> </w:t>
      </w:r>
      <w:r>
        <w:rPr>
          <w:spacing w:val="93"/>
          <w:w w:val="95"/>
        </w:rPr>
      </w:r>
      <w:r>
        <w:rPr/>
        <w:t>行监督，将风险控制在限定的范围之内。</w:t>
      </w:r>
    </w:p>
    <w:p>
      <w:pPr>
        <w:pStyle w:val="Heading7"/>
        <w:spacing w:line="240" w:lineRule="auto" w:before="132"/>
        <w:ind w:left="592" w:right="94"/>
        <w:jc w:val="left"/>
      </w:pPr>
      <w:r>
        <w:rPr/>
        <w:t>（</w:t>
      </w:r>
      <w:r>
        <w:rPr>
          <w:rFonts w:ascii="Times New Roman" w:hAnsi="Times New Roman" w:cs="Times New Roman" w:eastAsia="Times New Roman" w:hint="default"/>
        </w:rPr>
        <w:t>1</w:t>
      </w:r>
      <w:r>
        <w:rPr/>
        <w:t>）市场风险</w:t>
      </w:r>
    </w:p>
    <w:p>
      <w:pPr>
        <w:pStyle w:val="Heading7"/>
        <w:spacing w:line="374" w:lineRule="auto" w:before="155"/>
        <w:ind w:left="554" w:right="94" w:firstLine="38"/>
        <w:jc w:val="left"/>
      </w:pPr>
      <w:r>
        <w:rPr>
          <w:rFonts w:ascii="Times New Roman" w:hAnsi="Times New Roman" w:cs="Times New Roman" w:eastAsia="Times New Roman" w:hint="default"/>
        </w:rPr>
        <w:t>1</w:t>
      </w:r>
      <w:r>
        <w:rPr/>
        <w:t>）汇率风险</w:t>
      </w:r>
      <w:r>
        <w:rPr>
          <w:w w:val="99"/>
        </w:rPr>
        <w:t> </w:t>
      </w:r>
      <w:r>
        <w:rPr>
          <w:w w:val="95"/>
        </w:rPr>
        <w:t>汇率风险，是指金融工具的公允价值或未来现金流量因外汇汇率变动而发生波动的风险。本集团承受汇率</w:t>
      </w:r>
      <w:r>
        <w:rPr/>
      </w:r>
    </w:p>
    <w:p>
      <w:pPr>
        <w:pStyle w:val="Heading7"/>
        <w:spacing w:line="200" w:lineRule="exact"/>
        <w:ind w:right="94"/>
        <w:jc w:val="left"/>
      </w:pPr>
      <w:r>
        <w:rPr/>
        <w:t>风险主要与欧元和美元有关，除本集团的境外子公司以欧元进行采购和销售外，本集团的其他境外业务主要以</w:t>
      </w:r>
    </w:p>
    <w:p>
      <w:pPr>
        <w:pStyle w:val="Heading7"/>
        <w:spacing w:line="240" w:lineRule="auto" w:before="51"/>
        <w:ind w:right="94"/>
        <w:jc w:val="left"/>
      </w:pPr>
      <w:r>
        <w:rPr/>
        <w:t>美元计价结算。外币余额的资产和负债产生的汇率风险可能对本集团的经营业绩产生影响。</w:t>
      </w:r>
    </w:p>
    <w:p>
      <w:pPr>
        <w:spacing w:line="240" w:lineRule="auto" w:before="6"/>
        <w:rPr>
          <w:rFonts w:ascii="宋体" w:hAnsi="宋体" w:cs="宋体" w:eastAsia="宋体" w:hint="default"/>
          <w:sz w:val="4"/>
          <w:szCs w:val="4"/>
        </w:rPr>
      </w:pPr>
    </w:p>
    <w:tbl>
      <w:tblPr>
        <w:tblW w:w="0" w:type="auto"/>
        <w:jc w:val="left"/>
        <w:tblInd w:w="145" w:type="dxa"/>
        <w:tblLayout w:type="fixed"/>
        <w:tblCellMar>
          <w:top w:w="0" w:type="dxa"/>
          <w:left w:w="0" w:type="dxa"/>
          <w:bottom w:w="0" w:type="dxa"/>
          <w:right w:w="0" w:type="dxa"/>
        </w:tblCellMar>
        <w:tblLook w:val="01E0"/>
      </w:tblPr>
      <w:tblGrid>
        <w:gridCol w:w="2448"/>
        <w:gridCol w:w="3791"/>
        <w:gridCol w:w="3401"/>
      </w:tblGrid>
      <w:tr>
        <w:trPr>
          <w:trHeight w:val="348"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1188"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2017</w:t>
            </w:r>
            <w:r>
              <w:rPr>
                <w:rFonts w:ascii="宋体" w:hAnsi="宋体" w:cs="宋体" w:eastAsia="宋体" w:hint="default"/>
                <w:sz w:val="20"/>
                <w:szCs w:val="20"/>
              </w:rPr>
              <w:t>年</w:t>
            </w:r>
            <w:r>
              <w:rPr>
                <w:rFonts w:ascii="Times New Roman" w:hAnsi="Times New Roman" w:cs="Times New Roman" w:eastAsia="Times New Roman" w:hint="default"/>
                <w:sz w:val="20"/>
                <w:szCs w:val="20"/>
              </w:rPr>
              <w:t>12</w:t>
            </w:r>
            <w:r>
              <w:rPr>
                <w:rFonts w:ascii="宋体" w:hAnsi="宋体" w:cs="宋体" w:eastAsia="宋体" w:hint="default"/>
                <w:sz w:val="20"/>
                <w:szCs w:val="20"/>
              </w:rPr>
              <w:t>月</w:t>
            </w:r>
            <w:r>
              <w:rPr>
                <w:rFonts w:ascii="Times New Roman" w:hAnsi="Times New Roman" w:cs="Times New Roman" w:eastAsia="Times New Roman" w:hint="default"/>
                <w:sz w:val="20"/>
                <w:szCs w:val="20"/>
              </w:rPr>
              <w:t>31</w:t>
            </w:r>
            <w:r>
              <w:rPr>
                <w:rFonts w:ascii="宋体" w:hAnsi="宋体" w:cs="宋体" w:eastAsia="宋体" w:hint="default"/>
                <w:sz w:val="20"/>
                <w:szCs w:val="20"/>
              </w:rPr>
              <w:t>日</w:t>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99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2016</w:t>
            </w:r>
            <w:r>
              <w:rPr>
                <w:rFonts w:ascii="宋体" w:hAnsi="宋体" w:cs="宋体" w:eastAsia="宋体" w:hint="default"/>
                <w:sz w:val="20"/>
                <w:szCs w:val="20"/>
              </w:rPr>
              <w:t>年</w:t>
            </w:r>
            <w:r>
              <w:rPr>
                <w:rFonts w:ascii="Times New Roman" w:hAnsi="Times New Roman" w:cs="Times New Roman" w:eastAsia="Times New Roman" w:hint="default"/>
                <w:sz w:val="20"/>
                <w:szCs w:val="20"/>
              </w:rPr>
              <w:t>12</w:t>
            </w:r>
            <w:r>
              <w:rPr>
                <w:rFonts w:ascii="宋体" w:hAnsi="宋体" w:cs="宋体" w:eastAsia="宋体" w:hint="default"/>
                <w:sz w:val="20"/>
                <w:szCs w:val="20"/>
              </w:rPr>
              <w:t>月</w:t>
            </w:r>
            <w:r>
              <w:rPr>
                <w:rFonts w:ascii="Times New Roman" w:hAnsi="Times New Roman" w:cs="Times New Roman" w:eastAsia="Times New Roman" w:hint="default"/>
                <w:sz w:val="20"/>
                <w:szCs w:val="20"/>
              </w:rPr>
              <w:t>31</w:t>
            </w:r>
            <w:r>
              <w:rPr>
                <w:rFonts w:ascii="宋体" w:hAnsi="宋体" w:cs="宋体" w:eastAsia="宋体" w:hint="default"/>
                <w:sz w:val="20"/>
                <w:szCs w:val="20"/>
              </w:rPr>
              <w:t>日</w:t>
            </w:r>
          </w:p>
        </w:tc>
      </w:tr>
      <w:tr>
        <w:trPr>
          <w:trHeight w:val="346"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货币资金</w:t>
            </w:r>
            <w:r>
              <w:rPr>
                <w:rFonts w:ascii="Times New Roman" w:hAnsi="Times New Roman" w:cs="Times New Roman" w:eastAsia="Times New Roman" w:hint="default"/>
                <w:sz w:val="20"/>
                <w:szCs w:val="20"/>
              </w:rPr>
              <w:t>-</w:t>
            </w:r>
            <w:r>
              <w:rPr>
                <w:rFonts w:ascii="宋体" w:hAnsi="宋体" w:cs="宋体" w:eastAsia="宋体" w:hint="default"/>
                <w:sz w:val="20"/>
                <w:szCs w:val="20"/>
              </w:rPr>
              <w:t>美元</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3,292,231.74</w:t>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2,663,603.26</w:t>
            </w:r>
            <w:r>
              <w:rPr>
                <w:rFonts w:ascii="Times New Roman"/>
                <w:sz w:val="20"/>
              </w:rPr>
            </w:r>
          </w:p>
        </w:tc>
      </w:tr>
      <w:tr>
        <w:trPr>
          <w:trHeight w:val="348"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货币资金</w:t>
            </w:r>
            <w:r>
              <w:rPr>
                <w:rFonts w:ascii="Times New Roman" w:hAnsi="Times New Roman" w:cs="Times New Roman" w:eastAsia="Times New Roman" w:hint="default"/>
                <w:sz w:val="20"/>
                <w:szCs w:val="20"/>
              </w:rPr>
              <w:t>-</w:t>
            </w:r>
            <w:r>
              <w:rPr>
                <w:rFonts w:ascii="宋体" w:hAnsi="宋体" w:cs="宋体" w:eastAsia="宋体" w:hint="default"/>
                <w:sz w:val="20"/>
                <w:szCs w:val="20"/>
              </w:rPr>
              <w:t>日元</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8,922,852.00</w:t>
            </w:r>
            <w:r>
              <w:rPr>
                <w:rFonts w:ascii="Times New Roman"/>
                <w:sz w:val="20"/>
              </w:rPr>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6,669,917.00</w:t>
            </w:r>
            <w:r>
              <w:rPr>
                <w:rFonts w:ascii="Times New Roman"/>
                <w:sz w:val="20"/>
              </w:rPr>
            </w:r>
          </w:p>
        </w:tc>
      </w:tr>
      <w:tr>
        <w:trPr>
          <w:trHeight w:val="346"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货币资金</w:t>
            </w:r>
            <w:r>
              <w:rPr>
                <w:rFonts w:ascii="Times New Roman" w:hAnsi="Times New Roman" w:cs="Times New Roman" w:eastAsia="Times New Roman" w:hint="default"/>
                <w:sz w:val="20"/>
                <w:szCs w:val="20"/>
              </w:rPr>
              <w:t>-</w:t>
            </w:r>
            <w:r>
              <w:rPr>
                <w:rFonts w:ascii="宋体" w:hAnsi="宋体" w:cs="宋体" w:eastAsia="宋体" w:hint="default"/>
                <w:sz w:val="20"/>
                <w:szCs w:val="20"/>
              </w:rPr>
              <w:t>港币</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284,603.46</w:t>
            </w:r>
            <w:r>
              <w:rPr>
                <w:rFonts w:ascii="Times New Roman"/>
                <w:sz w:val="20"/>
              </w:rPr>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w w:val="95"/>
                <w:sz w:val="20"/>
              </w:rPr>
              <w:t>399,547.66</w:t>
            </w:r>
            <w:r>
              <w:rPr>
                <w:rFonts w:ascii="Times New Roman"/>
                <w:sz w:val="20"/>
              </w:rPr>
            </w:r>
          </w:p>
        </w:tc>
      </w:tr>
      <w:tr>
        <w:trPr>
          <w:trHeight w:val="348"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货币资金</w:t>
            </w:r>
            <w:r>
              <w:rPr>
                <w:rFonts w:ascii="Times New Roman" w:hAnsi="Times New Roman" w:cs="Times New Roman" w:eastAsia="Times New Roman" w:hint="default"/>
                <w:sz w:val="20"/>
                <w:szCs w:val="20"/>
              </w:rPr>
              <w:t>-</w:t>
            </w:r>
            <w:r>
              <w:rPr>
                <w:rFonts w:ascii="宋体" w:hAnsi="宋体" w:cs="宋体" w:eastAsia="宋体" w:hint="default"/>
                <w:sz w:val="20"/>
                <w:szCs w:val="20"/>
              </w:rPr>
              <w:t>欧元</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sz w:val="20"/>
              </w:rPr>
              <w:t>41.73</w:t>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sz w:val="20"/>
              </w:rPr>
              <w:t>41.73</w:t>
            </w:r>
          </w:p>
        </w:tc>
      </w:tr>
      <w:tr>
        <w:trPr>
          <w:trHeight w:val="346"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货币资金</w:t>
            </w:r>
            <w:r>
              <w:rPr>
                <w:rFonts w:ascii="宋体" w:hAnsi="宋体" w:cs="宋体" w:eastAsia="宋体" w:hint="default"/>
                <w:sz w:val="20"/>
                <w:szCs w:val="20"/>
              </w:rPr>
              <w:t>-</w:t>
            </w:r>
            <w:r>
              <w:rPr>
                <w:rFonts w:ascii="宋体" w:hAnsi="宋体" w:cs="宋体" w:eastAsia="宋体" w:hint="default"/>
                <w:sz w:val="20"/>
                <w:szCs w:val="20"/>
              </w:rPr>
              <w:t>新加坡元</w:t>
            </w:r>
            <w:r>
              <w:rPr>
                <w:rFonts w:ascii="宋体" w:hAnsi="宋体" w:cs="宋体" w:eastAsia="宋体" w:hint="default"/>
                <w:sz w:val="20"/>
                <w:szCs w:val="20"/>
              </w:rPr>
              <w:t> </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w w:val="95"/>
                <w:sz w:val="20"/>
              </w:rPr>
              <w:t>3,962.25</w:t>
            </w:r>
            <w:r>
              <w:rPr>
                <w:rFonts w:ascii="Times New Roman"/>
                <w:sz w:val="20"/>
              </w:rPr>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r>
      <w:tr>
        <w:trPr>
          <w:trHeight w:val="348"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应收账款</w:t>
            </w:r>
            <w:r>
              <w:rPr>
                <w:rFonts w:ascii="Times New Roman" w:hAnsi="Times New Roman" w:cs="Times New Roman" w:eastAsia="Times New Roman" w:hint="default"/>
                <w:sz w:val="20"/>
                <w:szCs w:val="20"/>
              </w:rPr>
              <w:t>-</w:t>
            </w:r>
            <w:r>
              <w:rPr>
                <w:rFonts w:ascii="宋体" w:hAnsi="宋体" w:cs="宋体" w:eastAsia="宋体" w:hint="default"/>
                <w:sz w:val="20"/>
                <w:szCs w:val="20"/>
              </w:rPr>
              <w:t>美元</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26,512,753.52</w:t>
            </w:r>
            <w:r>
              <w:rPr>
                <w:rFonts w:ascii="Times New Roman"/>
                <w:sz w:val="20"/>
              </w:rPr>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w w:val="95"/>
                <w:sz w:val="20"/>
              </w:rPr>
              <w:t>478,333.33</w:t>
            </w:r>
            <w:r>
              <w:rPr>
                <w:rFonts w:ascii="Times New Roman"/>
                <w:sz w:val="20"/>
              </w:rPr>
            </w:r>
          </w:p>
        </w:tc>
      </w:tr>
      <w:tr>
        <w:trPr>
          <w:trHeight w:val="348"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应收账款</w:t>
            </w:r>
            <w:r>
              <w:rPr>
                <w:rFonts w:ascii="Times New Roman" w:hAnsi="Times New Roman" w:cs="Times New Roman" w:eastAsia="Times New Roman" w:hint="default"/>
                <w:sz w:val="20"/>
                <w:szCs w:val="20"/>
              </w:rPr>
              <w:t>-</w:t>
            </w:r>
            <w:r>
              <w:rPr>
                <w:rFonts w:ascii="宋体" w:hAnsi="宋体" w:cs="宋体" w:eastAsia="宋体" w:hint="default"/>
                <w:sz w:val="20"/>
                <w:szCs w:val="20"/>
              </w:rPr>
              <w:t>欧元</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2,271,163.37</w:t>
            </w:r>
            <w:r>
              <w:rPr>
                <w:rFonts w:ascii="Times New Roman"/>
                <w:sz w:val="20"/>
              </w:rPr>
            </w:r>
          </w:p>
        </w:tc>
      </w:tr>
      <w:tr>
        <w:trPr>
          <w:trHeight w:val="346"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应付账款</w:t>
            </w:r>
            <w:r>
              <w:rPr>
                <w:rFonts w:ascii="Times New Roman" w:hAnsi="Times New Roman" w:cs="Times New Roman" w:eastAsia="Times New Roman" w:hint="default"/>
                <w:sz w:val="20"/>
                <w:szCs w:val="20"/>
              </w:rPr>
              <w:t>-</w:t>
            </w:r>
            <w:r>
              <w:rPr>
                <w:rFonts w:ascii="宋体" w:hAnsi="宋体" w:cs="宋体" w:eastAsia="宋体" w:hint="default"/>
                <w:sz w:val="20"/>
                <w:szCs w:val="20"/>
              </w:rPr>
              <w:t>美元</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6,968,528.97</w:t>
            </w:r>
            <w:r>
              <w:rPr>
                <w:rFonts w:ascii="Times New Roman"/>
                <w:sz w:val="20"/>
              </w:rPr>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r>
      <w:tr>
        <w:trPr>
          <w:trHeight w:val="348" w:hRule="exact"/>
        </w:trPr>
        <w:tc>
          <w:tcPr>
            <w:tcW w:w="24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其他应付款</w:t>
            </w:r>
            <w:r>
              <w:rPr>
                <w:rFonts w:ascii="Times New Roman" w:hAnsi="Times New Roman" w:cs="Times New Roman" w:eastAsia="Times New Roman" w:hint="default"/>
                <w:sz w:val="20"/>
                <w:szCs w:val="20"/>
              </w:rPr>
              <w:t>-</w:t>
            </w:r>
            <w:r>
              <w:rPr>
                <w:rFonts w:ascii="宋体" w:hAnsi="宋体" w:cs="宋体" w:eastAsia="宋体" w:hint="default"/>
                <w:sz w:val="20"/>
                <w:szCs w:val="20"/>
              </w:rPr>
              <w:t>美元</w:t>
            </w:r>
          </w:p>
        </w:tc>
        <w:tc>
          <w:tcPr>
            <w:tcW w:w="37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1,527,810.19</w:t>
            </w:r>
            <w:r>
              <w:rPr>
                <w:rFonts w:ascii="Times New Roman"/>
                <w:sz w:val="20"/>
              </w:rPr>
            </w:r>
          </w:p>
        </w:tc>
        <w:tc>
          <w:tcPr>
            <w:tcW w:w="34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w w:val="95"/>
                <w:sz w:val="20"/>
              </w:rPr>
              <w:t>447,000.00</w:t>
            </w:r>
            <w:r>
              <w:rPr>
                <w:rFonts w:ascii="Times New Roman"/>
                <w:sz w:val="20"/>
              </w:rPr>
            </w:r>
          </w:p>
        </w:tc>
      </w:tr>
    </w:tbl>
    <w:p>
      <w:pPr>
        <w:pStyle w:val="Heading7"/>
        <w:spacing w:line="240" w:lineRule="auto" w:before="93"/>
        <w:ind w:left="592" w:right="94"/>
        <w:jc w:val="left"/>
      </w:pPr>
      <w:r>
        <w:rPr/>
        <w:t>本集团密切关注汇率变动对本集团的影响。</w:t>
      </w:r>
    </w:p>
    <w:p>
      <w:pPr>
        <w:pStyle w:val="Heading7"/>
        <w:spacing w:line="374" w:lineRule="auto" w:before="170"/>
        <w:ind w:left="592" w:right="94"/>
        <w:jc w:val="left"/>
      </w:pPr>
      <w:r>
        <w:rPr>
          <w:rFonts w:ascii="Times New Roman" w:hAnsi="Times New Roman" w:cs="Times New Roman" w:eastAsia="Times New Roman" w:hint="default"/>
        </w:rPr>
        <w:t>2</w:t>
      </w:r>
      <w:r>
        <w:rPr/>
        <w:t>）价格风险</w:t>
      </w:r>
      <w:r>
        <w:rPr>
          <w:w w:val="99"/>
        </w:rPr>
        <w:t> </w:t>
      </w:r>
      <w:r>
        <w:rPr>
          <w:spacing w:val="2"/>
          <w:w w:val="95"/>
        </w:rPr>
        <w:t>本集团以市场价格提供导航、车联网、芯片、高级辅助驾驶及自动驾驶、企业及行业应用等产品及服务，</w:t>
      </w:r>
      <w:r>
        <w:rPr>
          <w:spacing w:val="2"/>
        </w:rPr>
      </w:r>
    </w:p>
    <w:p>
      <w:pPr>
        <w:pStyle w:val="Heading7"/>
        <w:spacing w:line="200" w:lineRule="exact"/>
        <w:ind w:right="94"/>
        <w:jc w:val="left"/>
      </w:pPr>
      <w:r>
        <w:rPr/>
        <w:t>因此受到此种价格波动的影响。</w:t>
      </w:r>
    </w:p>
    <w:p>
      <w:pPr>
        <w:pStyle w:val="Heading7"/>
        <w:spacing w:line="430" w:lineRule="atLeast" w:before="17"/>
        <w:ind w:left="592" w:right="174"/>
        <w:jc w:val="left"/>
      </w:pPr>
      <w:r>
        <w:rPr/>
        <w:t>（</w:t>
      </w:r>
      <w:r>
        <w:rPr>
          <w:rFonts w:ascii="Times New Roman" w:hAnsi="Times New Roman" w:cs="Times New Roman" w:eastAsia="Times New Roman" w:hint="default"/>
        </w:rPr>
        <w:t>2</w:t>
      </w:r>
      <w:r>
        <w:rPr/>
        <w:t>）信用风险</w:t>
      </w:r>
      <w:r>
        <w:rPr>
          <w:w w:val="99"/>
        </w:rPr>
        <w:t> </w:t>
      </w:r>
      <w:r>
        <w:rPr/>
        <w:t>信用风险是指金融工具的一方不履行义务，造成另一方发生财务损失的风险。于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日，可能引</w:t>
      </w:r>
    </w:p>
    <w:p>
      <w:pPr>
        <w:pStyle w:val="Heading7"/>
        <w:spacing w:line="285" w:lineRule="auto" w:before="35"/>
        <w:ind w:right="94"/>
        <w:jc w:val="left"/>
      </w:pPr>
      <w:r>
        <w:rPr>
          <w:w w:val="95"/>
        </w:rPr>
        <w:t>起本集团财务损失的最大信用风险敞口主要来自于合同另一方未能履行义务而导致本集团金融资产产生的损失</w:t>
      </w:r>
      <w:r>
        <w:rPr>
          <w:spacing w:val="91"/>
          <w:w w:val="95"/>
        </w:rPr>
        <w:t> </w:t>
      </w:r>
      <w:r>
        <w:rPr>
          <w:spacing w:val="91"/>
          <w:w w:val="95"/>
        </w:rPr>
      </w:r>
      <w:r>
        <w:rPr/>
        <w:t>以及本集团承担的财务担保，具体包括：</w:t>
      </w:r>
    </w:p>
    <w:p>
      <w:pPr>
        <w:pStyle w:val="Heading7"/>
        <w:spacing w:line="285" w:lineRule="auto" w:before="133"/>
        <w:ind w:right="195" w:firstLine="439"/>
        <w:jc w:val="both"/>
      </w:pPr>
      <w:r>
        <w:rPr/>
        <w:t>合并资产负债表中已确认的金融资产的账面金额；对于以公允价值计量的金融工具而言，账面价值反映了</w:t>
      </w:r>
      <w:r>
        <w:rPr>
          <w:w w:val="99"/>
        </w:rPr>
        <w:t> </w:t>
      </w:r>
      <w:r>
        <w:rPr/>
        <w:t>其风险敞口，但并非最大风险敞口，其最大风险敞口将随着未来公允价值的变化而改变。</w:t>
      </w:r>
    </w:p>
    <w:p>
      <w:pPr>
        <w:pStyle w:val="Heading7"/>
        <w:spacing w:line="285" w:lineRule="auto" w:before="132"/>
        <w:ind w:right="198" w:firstLine="439"/>
        <w:jc w:val="both"/>
      </w:pPr>
      <w:r>
        <w:rPr>
          <w:w w:val="95"/>
        </w:rPr>
        <w:t>为降低信用风险，本集团成立专门部门确定信用额度、进行信用审批，并执行其它监控程序以确保采取必</w:t>
      </w:r>
      <w:r>
        <w:rPr>
          <w:spacing w:val="-83"/>
          <w:w w:val="95"/>
        </w:rPr>
        <w:t> </w:t>
      </w:r>
      <w:r>
        <w:rPr>
          <w:spacing w:val="-83"/>
          <w:w w:val="95"/>
        </w:rPr>
      </w:r>
      <w:r>
        <w:rPr/>
        <w:t>要的措施回收过期债权。此外，本集团于每个资产负债表日审核每一单项应收款的回收情况，以确保就无法回</w:t>
      </w:r>
      <w:r>
        <w:rPr>
          <w:w w:val="99"/>
        </w:rPr>
        <w:t> </w:t>
      </w:r>
      <w:r>
        <w:rPr/>
        <w:t>收的款项计提充分的坏账准备。因此，本集团管理层认为本集团所承担的信用风险已经大为降低。</w:t>
      </w:r>
    </w:p>
    <w:p>
      <w:pPr>
        <w:pStyle w:val="Heading7"/>
        <w:spacing w:line="432" w:lineRule="exact" w:before="20"/>
        <w:ind w:left="592" w:right="94"/>
        <w:jc w:val="left"/>
      </w:pPr>
      <w:r>
        <w:rPr/>
        <w:t>本集团的流动资金存放在信用评级较高的银行，故流动资金的信用风险较低。</w:t>
      </w:r>
      <w:r>
        <w:rPr>
          <w:w w:val="99"/>
        </w:rPr>
        <w:t> </w:t>
      </w:r>
      <w:r>
        <w:rPr>
          <w:w w:val="95"/>
        </w:rPr>
        <w:t>本集团采用了必要的政策确保所有销售客户均具有良好的信用记录。除应收账款金额前五名外，本集团无</w:t>
      </w:r>
      <w:r>
        <w:rPr/>
      </w:r>
    </w:p>
    <w:p>
      <w:pPr>
        <w:pStyle w:val="Heading7"/>
        <w:spacing w:line="254" w:lineRule="exact"/>
        <w:ind w:right="94"/>
        <w:jc w:val="left"/>
      </w:pPr>
      <w:r>
        <w:rPr/>
        <w:t>其他重大信用集中风险。</w:t>
      </w:r>
    </w:p>
    <w:p>
      <w:pPr>
        <w:spacing w:after="0" w:line="254" w:lineRule="exact"/>
        <w:jc w:val="left"/>
        <w:sectPr>
          <w:footerReference w:type="default" r:id="rId48"/>
          <w:pgSz w:w="11910" w:h="16840"/>
          <w:pgMar w:footer="979" w:header="745" w:top="1060" w:bottom="1160" w:left="980" w:right="940"/>
        </w:sectPr>
      </w:pPr>
    </w:p>
    <w:p>
      <w:pPr>
        <w:spacing w:line="240" w:lineRule="auto" w:before="0"/>
        <w:rPr>
          <w:rFonts w:ascii="宋体" w:hAnsi="宋体" w:cs="宋体" w:eastAsia="宋体" w:hint="default"/>
          <w:sz w:val="25"/>
          <w:szCs w:val="25"/>
        </w:rPr>
      </w:pPr>
    </w:p>
    <w:p>
      <w:pPr>
        <w:pStyle w:val="Heading7"/>
        <w:spacing w:line="240" w:lineRule="auto" w:before="37"/>
        <w:ind w:left="592" w:right="0"/>
        <w:jc w:val="left"/>
      </w:pPr>
      <w:r>
        <w:rPr/>
        <w:t>应收账款前五名金额合计：</w:t>
      </w:r>
      <w:r>
        <w:rPr>
          <w:rFonts w:ascii="Times New Roman" w:hAnsi="Times New Roman" w:cs="Times New Roman" w:eastAsia="Times New Roman" w:hint="default"/>
        </w:rPr>
        <w:t>251,359,945.14</w:t>
      </w:r>
      <w:r>
        <w:rPr/>
        <w:t>元。</w:t>
      </w:r>
    </w:p>
    <w:p>
      <w:pPr>
        <w:pStyle w:val="Heading7"/>
        <w:spacing w:line="374" w:lineRule="auto" w:before="155"/>
        <w:ind w:left="592" w:right="0"/>
        <w:jc w:val="left"/>
      </w:pPr>
      <w:r>
        <w:rPr/>
        <w:t>（</w:t>
      </w:r>
      <w:r>
        <w:rPr>
          <w:rFonts w:ascii="Times New Roman" w:hAnsi="Times New Roman" w:cs="Times New Roman" w:eastAsia="Times New Roman" w:hint="default"/>
        </w:rPr>
        <w:t>3</w:t>
      </w:r>
      <w:r>
        <w:rPr/>
        <w:t>）流动风险</w:t>
      </w:r>
      <w:r>
        <w:rPr>
          <w:w w:val="99"/>
        </w:rPr>
        <w:t> </w:t>
      </w:r>
      <w:r>
        <w:rPr>
          <w:w w:val="95"/>
        </w:rPr>
        <w:t>流动风险，是指公司在履行以交付现金或其他金融资产的方式结算的义务时发生资金短缺的风险。本公司</w:t>
      </w:r>
      <w:r>
        <w:rPr/>
      </w:r>
    </w:p>
    <w:p>
      <w:pPr>
        <w:pStyle w:val="Heading7"/>
        <w:spacing w:line="200" w:lineRule="exact"/>
        <w:ind w:right="0"/>
        <w:jc w:val="left"/>
      </w:pPr>
      <w:r>
        <w:rPr/>
        <w:t>的政策是确保拥有充足的现金以偿还到期债务。流动性风险由本公司的财务部门集中控制。财务部门通过监控</w:t>
      </w:r>
    </w:p>
    <w:p>
      <w:pPr>
        <w:pStyle w:val="Heading7"/>
        <w:spacing w:line="271" w:lineRule="auto" w:before="50"/>
        <w:ind w:right="174"/>
        <w:jc w:val="left"/>
      </w:pPr>
      <w:r>
        <w:rPr/>
        <w:t>现金余额、可随时变现的有价证券以及对未来</w:t>
      </w:r>
      <w:r>
        <w:rPr>
          <w:rFonts w:ascii="Times New Roman" w:hAnsi="Times New Roman" w:cs="Times New Roman" w:eastAsia="Times New Roman" w:hint="default"/>
        </w:rPr>
        <w:t>12</w:t>
      </w:r>
      <w:r>
        <w:rPr/>
        <w:t>个月现金流量的滚动预测，确保公司在所有合理预测的情况下</w:t>
      </w:r>
      <w:r>
        <w:rPr>
          <w:w w:val="99"/>
        </w:rPr>
        <w:t> </w:t>
      </w:r>
      <w:r>
        <w:rPr/>
        <w:t>拥有充足的资金偿还债务。</w:t>
      </w:r>
    </w:p>
    <w:p>
      <w:pPr>
        <w:pStyle w:val="Heading7"/>
        <w:spacing w:line="285" w:lineRule="auto" w:before="144"/>
        <w:ind w:right="0" w:firstLine="439"/>
        <w:jc w:val="left"/>
      </w:pPr>
      <w:r>
        <w:rPr>
          <w:w w:val="95"/>
        </w:rPr>
        <w:t>本集团管理流动性风险的方法是确保有足够的资金流动性来履行到期债务，而不至于造成不可接受的损失</w:t>
      </w:r>
      <w:r>
        <w:rPr>
          <w:spacing w:val="-85"/>
          <w:w w:val="95"/>
        </w:rPr>
        <w:t> </w:t>
      </w:r>
      <w:r>
        <w:rPr>
          <w:spacing w:val="-85"/>
          <w:w w:val="95"/>
        </w:rPr>
      </w:r>
      <w:r>
        <w:rPr/>
        <w:t>或对企业信誉造成损害。本集团定期分析负债结构和期限，以确保有充裕的资金。</w:t>
      </w:r>
    </w:p>
    <w:p>
      <w:pPr>
        <w:pStyle w:val="Heading7"/>
        <w:spacing w:line="240" w:lineRule="auto" w:before="132"/>
        <w:ind w:left="592" w:right="0"/>
        <w:jc w:val="left"/>
      </w:pPr>
      <w:r>
        <w:rPr/>
        <w:t>本集团持有的金融资产和金融负债按未折现剩余合同义务的到期期限分析如下：</w:t>
      </w:r>
    </w:p>
    <w:p>
      <w:pPr>
        <w:pStyle w:val="Heading7"/>
        <w:spacing w:line="240" w:lineRule="auto" w:before="170"/>
        <w:ind w:right="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日金额：</w:t>
      </w:r>
    </w:p>
    <w:p>
      <w:pPr>
        <w:spacing w:line="240" w:lineRule="auto" w:before="6"/>
        <w:rPr>
          <w:rFonts w:ascii="宋体" w:hAnsi="宋体" w:cs="宋体" w:eastAsia="宋体" w:hint="default"/>
          <w:sz w:val="13"/>
          <w:szCs w:val="13"/>
        </w:rPr>
      </w:pPr>
    </w:p>
    <w:tbl>
      <w:tblPr>
        <w:tblW w:w="0" w:type="auto"/>
        <w:jc w:val="left"/>
        <w:tblInd w:w="145" w:type="dxa"/>
        <w:tblLayout w:type="fixed"/>
        <w:tblCellMar>
          <w:top w:w="0" w:type="dxa"/>
          <w:left w:w="0" w:type="dxa"/>
          <w:bottom w:w="0" w:type="dxa"/>
          <w:right w:w="0" w:type="dxa"/>
        </w:tblCellMar>
        <w:tblLook w:val="01E0"/>
      </w:tblPr>
      <w:tblGrid>
        <w:gridCol w:w="1844"/>
        <w:gridCol w:w="1532"/>
        <w:gridCol w:w="1531"/>
        <w:gridCol w:w="1532"/>
        <w:gridCol w:w="1531"/>
        <w:gridCol w:w="1532"/>
      </w:tblGrid>
      <w:tr>
        <w:trPr>
          <w:trHeight w:val="335"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1" w:lineRule="exact"/>
              <w:ind w:left="4"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153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1" w:lineRule="exact"/>
              <w:ind w:left="360" w:right="0"/>
              <w:jc w:val="left"/>
              <w:rPr>
                <w:rFonts w:ascii="宋体" w:hAnsi="宋体" w:cs="宋体" w:eastAsia="宋体" w:hint="default"/>
                <w:sz w:val="20"/>
                <w:szCs w:val="20"/>
              </w:rPr>
            </w:pPr>
            <w:r>
              <w:rPr>
                <w:rFonts w:ascii="宋体" w:hAnsi="宋体" w:cs="宋体" w:eastAsia="宋体" w:hint="default"/>
                <w:sz w:val="20"/>
                <w:szCs w:val="20"/>
              </w:rPr>
              <w:t>一年以内</w:t>
            </w:r>
          </w:p>
        </w:tc>
        <w:tc>
          <w:tcPr>
            <w:tcW w:w="153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1" w:lineRule="exact"/>
              <w:ind w:left="357" w:right="0"/>
              <w:jc w:val="left"/>
              <w:rPr>
                <w:rFonts w:ascii="宋体" w:hAnsi="宋体" w:cs="宋体" w:eastAsia="宋体" w:hint="default"/>
                <w:sz w:val="20"/>
                <w:szCs w:val="20"/>
              </w:rPr>
            </w:pPr>
            <w:r>
              <w:rPr>
                <w:rFonts w:ascii="宋体" w:hAnsi="宋体" w:cs="宋体" w:eastAsia="宋体" w:hint="default"/>
                <w:sz w:val="20"/>
                <w:szCs w:val="20"/>
              </w:rPr>
              <w:t>一到二年</w:t>
            </w:r>
          </w:p>
        </w:tc>
        <w:tc>
          <w:tcPr>
            <w:tcW w:w="153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1" w:lineRule="exact"/>
              <w:ind w:left="357" w:right="0"/>
              <w:jc w:val="left"/>
              <w:rPr>
                <w:rFonts w:ascii="宋体" w:hAnsi="宋体" w:cs="宋体" w:eastAsia="宋体" w:hint="default"/>
                <w:sz w:val="20"/>
                <w:szCs w:val="20"/>
              </w:rPr>
            </w:pPr>
            <w:r>
              <w:rPr>
                <w:rFonts w:ascii="宋体" w:hAnsi="宋体" w:cs="宋体" w:eastAsia="宋体" w:hint="default"/>
                <w:sz w:val="20"/>
                <w:szCs w:val="20"/>
              </w:rPr>
              <w:t>二到五年</w:t>
            </w:r>
          </w:p>
        </w:tc>
        <w:tc>
          <w:tcPr>
            <w:tcW w:w="153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1" w:lineRule="exact"/>
              <w:ind w:left="357" w:right="0"/>
              <w:jc w:val="left"/>
              <w:rPr>
                <w:rFonts w:ascii="宋体" w:hAnsi="宋体" w:cs="宋体" w:eastAsia="宋体" w:hint="default"/>
                <w:sz w:val="20"/>
                <w:szCs w:val="20"/>
              </w:rPr>
            </w:pPr>
            <w:r>
              <w:rPr>
                <w:rFonts w:ascii="宋体" w:hAnsi="宋体" w:cs="宋体" w:eastAsia="宋体" w:hint="default"/>
                <w:sz w:val="20"/>
                <w:szCs w:val="20"/>
              </w:rPr>
              <w:t>五年以上</w:t>
            </w:r>
          </w:p>
        </w:tc>
        <w:tc>
          <w:tcPr>
            <w:tcW w:w="153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51" w:lineRule="exact"/>
              <w:ind w:right="2"/>
              <w:jc w:val="center"/>
              <w:rPr>
                <w:rFonts w:ascii="宋体" w:hAnsi="宋体" w:cs="宋体" w:eastAsia="宋体" w:hint="default"/>
                <w:sz w:val="20"/>
                <w:szCs w:val="20"/>
              </w:rPr>
            </w:pPr>
            <w:r>
              <w:rPr>
                <w:rFonts w:ascii="宋体" w:hAnsi="宋体" w:cs="宋体" w:eastAsia="宋体" w:hint="default"/>
                <w:sz w:val="20"/>
                <w:szCs w:val="20"/>
              </w:rPr>
              <w:t>合计</w:t>
            </w:r>
          </w:p>
        </w:tc>
      </w:tr>
      <w:tr>
        <w:trPr>
          <w:trHeight w:val="347"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left="4" w:right="0"/>
              <w:jc w:val="left"/>
              <w:rPr>
                <w:rFonts w:ascii="宋体" w:hAnsi="宋体" w:cs="宋体" w:eastAsia="宋体" w:hint="default"/>
                <w:sz w:val="20"/>
                <w:szCs w:val="20"/>
              </w:rPr>
            </w:pPr>
            <w:r>
              <w:rPr>
                <w:rFonts w:ascii="宋体" w:hAnsi="宋体" w:cs="宋体" w:eastAsia="宋体" w:hint="default"/>
                <w:sz w:val="20"/>
                <w:szCs w:val="20"/>
              </w:rPr>
              <w:t>金融资产</w:t>
            </w:r>
          </w:p>
        </w:tc>
        <w:tc>
          <w:tcPr>
            <w:tcW w:w="1532" w:type="dxa"/>
            <w:tcBorders>
              <w:top w:val="single" w:sz="11" w:space="0" w:color="000000"/>
              <w:left w:val="single" w:sz="6" w:space="0" w:color="000000"/>
              <w:bottom w:val="single" w:sz="6" w:space="0" w:color="000000"/>
              <w:right w:val="single" w:sz="6" w:space="0" w:color="000000"/>
            </w:tcBorders>
          </w:tcPr>
          <w:p>
            <w:pPr/>
          </w:p>
        </w:tc>
        <w:tc>
          <w:tcPr>
            <w:tcW w:w="1531" w:type="dxa"/>
            <w:tcBorders>
              <w:top w:val="single" w:sz="11" w:space="0" w:color="000000"/>
              <w:left w:val="single" w:sz="6" w:space="0" w:color="000000"/>
              <w:bottom w:val="single" w:sz="6" w:space="0" w:color="000000"/>
              <w:right w:val="single" w:sz="6" w:space="0" w:color="000000"/>
            </w:tcBorders>
          </w:tcPr>
          <w:p>
            <w:pPr/>
          </w:p>
        </w:tc>
        <w:tc>
          <w:tcPr>
            <w:tcW w:w="1532" w:type="dxa"/>
            <w:tcBorders>
              <w:top w:val="single" w:sz="11" w:space="0" w:color="000000"/>
              <w:left w:val="single" w:sz="6" w:space="0" w:color="000000"/>
              <w:bottom w:val="single" w:sz="6" w:space="0" w:color="000000"/>
              <w:right w:val="single" w:sz="6" w:space="0" w:color="000000"/>
            </w:tcBorders>
          </w:tcPr>
          <w:p>
            <w:pPr/>
          </w:p>
        </w:tc>
        <w:tc>
          <w:tcPr>
            <w:tcW w:w="1531" w:type="dxa"/>
            <w:tcBorders>
              <w:top w:val="single" w:sz="11" w:space="0" w:color="000000"/>
              <w:left w:val="single" w:sz="6" w:space="0" w:color="000000"/>
              <w:bottom w:val="single" w:sz="6" w:space="0" w:color="000000"/>
              <w:right w:val="single" w:sz="6" w:space="0" w:color="000000"/>
            </w:tcBorders>
          </w:tcPr>
          <w:p>
            <w:pPr/>
          </w:p>
        </w:tc>
        <w:tc>
          <w:tcPr>
            <w:tcW w:w="1532" w:type="dxa"/>
            <w:tcBorders>
              <w:top w:val="single" w:sz="11" w:space="0" w:color="000000"/>
              <w:left w:val="single" w:sz="6" w:space="0" w:color="000000"/>
              <w:bottom w:val="single" w:sz="6" w:space="0" w:color="000000"/>
              <w:right w:val="single" w:sz="6" w:space="0" w:color="000000"/>
            </w:tcBorders>
          </w:tcPr>
          <w:p>
            <w:pPr/>
          </w:p>
        </w:tc>
      </w:tr>
      <w:tr>
        <w:trPr>
          <w:trHeight w:val="348"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pacing w:val="-1"/>
                <w:sz w:val="20"/>
              </w:rPr>
              <w:t>3,443,447,257.54</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pacing w:val="-1"/>
                <w:sz w:val="20"/>
              </w:rPr>
              <w:t>3,443,447,257.54</w:t>
            </w:r>
          </w:p>
        </w:tc>
      </w:tr>
      <w:tr>
        <w:trPr>
          <w:trHeight w:val="346"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101,274,757.52</w:t>
            </w:r>
            <w:r>
              <w:rPr>
                <w:rFonts w:ascii="Times New Roman"/>
                <w:sz w:val="20"/>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101,274,757.52</w:t>
            </w:r>
            <w:r>
              <w:rPr>
                <w:rFonts w:ascii="Times New Roman"/>
                <w:sz w:val="20"/>
              </w:rPr>
            </w:r>
          </w:p>
        </w:tc>
      </w:tr>
      <w:tr>
        <w:trPr>
          <w:trHeight w:val="348"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679,792,983.40</w:t>
            </w:r>
            <w:r>
              <w:rPr>
                <w:rFonts w:ascii="Times New Roman"/>
                <w:sz w:val="20"/>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679,792,983.40</w:t>
            </w:r>
            <w:r>
              <w:rPr>
                <w:rFonts w:ascii="Times New Roman"/>
                <w:sz w:val="20"/>
              </w:rPr>
            </w:r>
          </w:p>
        </w:tc>
      </w:tr>
      <w:tr>
        <w:trPr>
          <w:trHeight w:val="346"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34,352,474.88</w:t>
            </w:r>
            <w:r>
              <w:rPr>
                <w:rFonts w:ascii="Times New Roman"/>
                <w:sz w:val="20"/>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34,352,474.88</w:t>
            </w:r>
            <w:r>
              <w:rPr>
                <w:rFonts w:ascii="Times New Roman"/>
                <w:sz w:val="20"/>
              </w:rPr>
            </w:r>
          </w:p>
        </w:tc>
      </w:tr>
      <w:tr>
        <w:trPr>
          <w:trHeight w:val="348"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金融负债</w:t>
            </w:r>
          </w:p>
        </w:tc>
        <w:tc>
          <w:tcPr>
            <w:tcW w:w="1532" w:type="dxa"/>
            <w:tcBorders>
              <w:top w:val="single" w:sz="6" w:space="0" w:color="000000"/>
              <w:left w:val="single" w:sz="6" w:space="0" w:color="000000"/>
              <w:bottom w:val="single" w:sz="6" w:space="0" w:color="000000"/>
              <w:right w:val="single" w:sz="6" w:space="0" w:color="000000"/>
            </w:tcBorders>
          </w:tcPr>
          <w:p>
            <w:pPr/>
          </w:p>
        </w:tc>
        <w:tc>
          <w:tcPr>
            <w:tcW w:w="1531" w:type="dxa"/>
            <w:tcBorders>
              <w:top w:val="single" w:sz="6" w:space="0" w:color="000000"/>
              <w:left w:val="single" w:sz="6" w:space="0" w:color="000000"/>
              <w:bottom w:val="single" w:sz="6" w:space="0" w:color="000000"/>
              <w:right w:val="single" w:sz="6" w:space="0" w:color="000000"/>
            </w:tcBorders>
          </w:tcPr>
          <w:p>
            <w:pPr/>
          </w:p>
        </w:tc>
        <w:tc>
          <w:tcPr>
            <w:tcW w:w="1532" w:type="dxa"/>
            <w:tcBorders>
              <w:top w:val="single" w:sz="6" w:space="0" w:color="000000"/>
              <w:left w:val="single" w:sz="6" w:space="0" w:color="000000"/>
              <w:bottom w:val="single" w:sz="6" w:space="0" w:color="000000"/>
              <w:right w:val="single" w:sz="6" w:space="0" w:color="000000"/>
            </w:tcBorders>
          </w:tcPr>
          <w:p>
            <w:pPr/>
          </w:p>
        </w:tc>
        <w:tc>
          <w:tcPr>
            <w:tcW w:w="1531" w:type="dxa"/>
            <w:tcBorders>
              <w:top w:val="single" w:sz="6" w:space="0" w:color="000000"/>
              <w:left w:val="single" w:sz="6" w:space="0" w:color="000000"/>
              <w:bottom w:val="single" w:sz="6" w:space="0" w:color="000000"/>
              <w:right w:val="single" w:sz="6" w:space="0" w:color="000000"/>
            </w:tcBorders>
          </w:tcPr>
          <w:p>
            <w:pPr/>
          </w:p>
        </w:tc>
        <w:tc>
          <w:tcPr>
            <w:tcW w:w="1532"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116,651,648.93</w:t>
            </w:r>
            <w:r>
              <w:rPr>
                <w:rFonts w:ascii="Times New Roman"/>
                <w:sz w:val="20"/>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116,651,648.93</w:t>
            </w:r>
            <w:r>
              <w:rPr>
                <w:rFonts w:ascii="Times New Roman"/>
                <w:sz w:val="20"/>
              </w:rPr>
            </w:r>
          </w:p>
        </w:tc>
      </w:tr>
      <w:tr>
        <w:trPr>
          <w:trHeight w:val="346"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296,719,642.27</w:t>
            </w:r>
            <w:r>
              <w:rPr>
                <w:rFonts w:ascii="Times New Roman"/>
                <w:sz w:val="20"/>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296,719,642.27</w:t>
            </w:r>
            <w:r>
              <w:rPr>
                <w:rFonts w:ascii="Times New Roman"/>
                <w:sz w:val="20"/>
              </w:rPr>
            </w:r>
          </w:p>
        </w:tc>
      </w:tr>
      <w:tr>
        <w:trPr>
          <w:trHeight w:val="348"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应付利息</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w w:val="95"/>
                <w:sz w:val="20"/>
              </w:rPr>
              <w:t>320,547.95</w:t>
            </w:r>
            <w:r>
              <w:rPr>
                <w:rFonts w:ascii="Times New Roman"/>
                <w:sz w:val="20"/>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w w:val="95"/>
                <w:sz w:val="20"/>
              </w:rPr>
              <w:t>320,547.95</w:t>
            </w:r>
            <w:r>
              <w:rPr>
                <w:rFonts w:ascii="Times New Roman"/>
                <w:sz w:val="20"/>
              </w:rPr>
            </w:r>
          </w:p>
        </w:tc>
      </w:tr>
      <w:tr>
        <w:trPr>
          <w:trHeight w:val="346"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pacing w:val="-1"/>
                <w:sz w:val="20"/>
              </w:rPr>
              <w:t>1,595,148,697.04</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645,850,000.00</w:t>
            </w:r>
            <w:r>
              <w:rPr>
                <w:rFonts w:ascii="Times New Roman"/>
                <w:sz w:val="20"/>
              </w:rPr>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pacing w:val="-1"/>
                <w:sz w:val="20"/>
              </w:rPr>
              <w:t>2,240,998,697.04</w:t>
            </w:r>
          </w:p>
        </w:tc>
      </w:tr>
      <w:tr>
        <w:trPr>
          <w:trHeight w:val="348" w:hRule="exact"/>
        </w:trPr>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50,000,000.00</w:t>
            </w:r>
            <w:r>
              <w:rPr>
                <w:rFonts w:ascii="Times New Roman"/>
                <w:sz w:val="20"/>
              </w:rPr>
            </w:r>
          </w:p>
        </w:tc>
        <w:tc>
          <w:tcPr>
            <w:tcW w:w="15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15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50,000,000.00</w:t>
            </w:r>
            <w:r>
              <w:rPr>
                <w:rFonts w:ascii="Times New Roman"/>
                <w:sz w:val="20"/>
              </w:rPr>
            </w:r>
          </w:p>
        </w:tc>
      </w:tr>
    </w:tbl>
    <w:p>
      <w:pPr>
        <w:spacing w:line="240" w:lineRule="auto" w:before="11"/>
        <w:rPr>
          <w:rFonts w:ascii="宋体" w:hAnsi="宋体" w:cs="宋体" w:eastAsia="宋体" w:hint="default"/>
          <w:sz w:val="14"/>
          <w:szCs w:val="14"/>
        </w:rPr>
      </w:pPr>
    </w:p>
    <w:p>
      <w:pPr>
        <w:pStyle w:val="Heading7"/>
        <w:spacing w:line="240" w:lineRule="auto" w:before="37"/>
        <w:ind w:left="313" w:right="0"/>
        <w:jc w:val="left"/>
      </w:pPr>
      <w:r>
        <w:rPr>
          <w:rFonts w:ascii="Times New Roman" w:hAnsi="Times New Roman" w:cs="Times New Roman" w:eastAsia="Times New Roman" w:hint="default"/>
        </w:rPr>
        <w:t>2.</w:t>
      </w:r>
      <w:r>
        <w:rPr/>
        <w:t>敏感性分析</w:t>
      </w:r>
    </w:p>
    <w:p>
      <w:pPr>
        <w:spacing w:line="240" w:lineRule="auto" w:before="0"/>
        <w:rPr>
          <w:rFonts w:ascii="宋体" w:hAnsi="宋体" w:cs="宋体" w:eastAsia="宋体" w:hint="default"/>
          <w:sz w:val="21"/>
          <w:szCs w:val="21"/>
        </w:rPr>
      </w:pPr>
    </w:p>
    <w:p>
      <w:pPr>
        <w:pStyle w:val="Heading7"/>
        <w:spacing w:line="285" w:lineRule="auto"/>
        <w:ind w:right="158" w:firstLine="439"/>
        <w:jc w:val="both"/>
      </w:pPr>
      <w:r>
        <w:rPr>
          <w:w w:val="95"/>
        </w:rPr>
        <w:t>本集团采用敏感性分析技术分析风险变量的合理、可能变化对当期损益或所有者权益可能产生的影响。由</w:t>
      </w:r>
      <w:r>
        <w:rPr>
          <w:spacing w:val="-83"/>
          <w:w w:val="95"/>
        </w:rPr>
        <w:t> </w:t>
      </w:r>
      <w:r>
        <w:rPr>
          <w:spacing w:val="-83"/>
          <w:w w:val="95"/>
        </w:rPr>
      </w:r>
      <w:r>
        <w:rPr/>
        <w:t>于任何风险变量很少孤立的发生变化，而变量之间存在的相关性对某一风险变量变化的最终影响金额将产生重</w:t>
      </w:r>
      <w:r>
        <w:rPr>
          <w:w w:val="99"/>
        </w:rPr>
        <w:t> </w:t>
      </w:r>
      <w:r>
        <w:rPr/>
        <w:t>大作用，因此下述内容是在假设每一变量的变化是独立的情况下进行的。</w:t>
      </w:r>
    </w:p>
    <w:p>
      <w:pPr>
        <w:spacing w:line="240" w:lineRule="auto" w:before="4"/>
        <w:rPr>
          <w:rFonts w:ascii="宋体" w:hAnsi="宋体" w:cs="宋体" w:eastAsia="宋体" w:hint="default"/>
          <w:sz w:val="19"/>
          <w:szCs w:val="19"/>
        </w:rPr>
      </w:pPr>
    </w:p>
    <w:p>
      <w:pPr>
        <w:pStyle w:val="Heading7"/>
        <w:spacing w:line="480" w:lineRule="auto"/>
        <w:ind w:left="592" w:right="0"/>
        <w:jc w:val="left"/>
      </w:pPr>
      <w:r>
        <w:rPr/>
        <w:t>（</w:t>
      </w:r>
      <w:r>
        <w:rPr>
          <w:rFonts w:ascii="Times New Roman" w:hAnsi="Times New Roman" w:cs="Times New Roman" w:eastAsia="Times New Roman" w:hint="default"/>
        </w:rPr>
        <w:t>1</w:t>
      </w:r>
      <w:r>
        <w:rPr/>
        <w:t>）外汇风险敏感性分析</w:t>
      </w:r>
      <w:r>
        <w:rPr>
          <w:w w:val="99"/>
        </w:rPr>
        <w:t> </w:t>
      </w:r>
      <w:r>
        <w:rPr>
          <w:w w:val="95"/>
        </w:rPr>
        <w:t>在其它变量不变的情况下，汇率可能发生的合理变动对当期损益和权益的税后影响如下：</w:t>
      </w:r>
      <w:r>
        <w:rPr/>
      </w:r>
    </w:p>
    <w:p>
      <w:pPr>
        <w:spacing w:line="240" w:lineRule="auto" w:before="7"/>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831"/>
        <w:gridCol w:w="1498"/>
        <w:gridCol w:w="1501"/>
        <w:gridCol w:w="1985"/>
        <w:gridCol w:w="1558"/>
        <w:gridCol w:w="2129"/>
      </w:tblGrid>
      <w:tr>
        <w:trPr>
          <w:trHeight w:val="348" w:hRule="exact"/>
        </w:trPr>
        <w:tc>
          <w:tcPr>
            <w:tcW w:w="831"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4"/>
              <w:ind w:left="209" w:right="0"/>
              <w:jc w:val="left"/>
              <w:rPr>
                <w:rFonts w:ascii="宋体" w:hAnsi="宋体" w:cs="宋体" w:eastAsia="宋体" w:hint="default"/>
                <w:sz w:val="20"/>
                <w:szCs w:val="20"/>
              </w:rPr>
            </w:pPr>
            <w:r>
              <w:rPr>
                <w:rFonts w:ascii="宋体" w:hAnsi="宋体" w:cs="宋体" w:eastAsia="宋体" w:hint="default"/>
                <w:sz w:val="20"/>
                <w:szCs w:val="20"/>
              </w:rPr>
              <w:t>项目</w:t>
            </w:r>
          </w:p>
        </w:tc>
        <w:tc>
          <w:tcPr>
            <w:tcW w:w="1498"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4"/>
              <w:ind w:left="340" w:right="0"/>
              <w:jc w:val="left"/>
              <w:rPr>
                <w:rFonts w:ascii="宋体" w:hAnsi="宋体" w:cs="宋体" w:eastAsia="宋体" w:hint="default"/>
                <w:sz w:val="20"/>
                <w:szCs w:val="20"/>
              </w:rPr>
            </w:pPr>
            <w:r>
              <w:rPr>
                <w:rFonts w:ascii="宋体" w:hAnsi="宋体" w:cs="宋体" w:eastAsia="宋体" w:hint="default"/>
                <w:sz w:val="20"/>
                <w:szCs w:val="20"/>
              </w:rPr>
              <w:t>汇率变动</w:t>
            </w:r>
          </w:p>
        </w:tc>
        <w:tc>
          <w:tcPr>
            <w:tcW w:w="3486" w:type="dxa"/>
            <w:gridSpan w:val="2"/>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2017</w:t>
            </w:r>
            <w:r>
              <w:rPr>
                <w:rFonts w:ascii="宋体" w:hAnsi="宋体" w:cs="宋体" w:eastAsia="宋体" w:hint="default"/>
                <w:sz w:val="20"/>
                <w:szCs w:val="20"/>
              </w:rPr>
              <w:t>年度</w:t>
            </w:r>
          </w:p>
        </w:tc>
        <w:tc>
          <w:tcPr>
            <w:tcW w:w="3687" w:type="dxa"/>
            <w:gridSpan w:val="2"/>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2016</w:t>
            </w:r>
            <w:r>
              <w:rPr>
                <w:rFonts w:ascii="宋体" w:hAnsi="宋体" w:cs="宋体" w:eastAsia="宋体" w:hint="default"/>
                <w:sz w:val="20"/>
                <w:szCs w:val="20"/>
              </w:rPr>
              <w:t>年度</w:t>
            </w:r>
          </w:p>
        </w:tc>
      </w:tr>
      <w:tr>
        <w:trPr>
          <w:trHeight w:val="346" w:hRule="exact"/>
        </w:trPr>
        <w:tc>
          <w:tcPr>
            <w:tcW w:w="831" w:type="dxa"/>
            <w:vMerge/>
            <w:tcBorders>
              <w:left w:val="single" w:sz="6" w:space="0" w:color="000000"/>
              <w:bottom w:val="single" w:sz="6" w:space="0" w:color="000000"/>
              <w:right w:val="single" w:sz="6" w:space="0" w:color="000000"/>
            </w:tcBorders>
            <w:shd w:val="clear" w:color="auto" w:fill="D9D9D9"/>
          </w:tcPr>
          <w:p>
            <w:pPr/>
          </w:p>
        </w:tc>
        <w:tc>
          <w:tcPr>
            <w:tcW w:w="1498" w:type="dxa"/>
            <w:vMerge/>
            <w:tcBorders>
              <w:left w:val="single" w:sz="6" w:space="0" w:color="000000"/>
              <w:bottom w:val="single" w:sz="6" w:space="0" w:color="000000"/>
              <w:right w:val="single" w:sz="6" w:space="0" w:color="000000"/>
            </w:tcBorders>
            <w:shd w:val="clear" w:color="auto" w:fill="D9D9D9"/>
          </w:tcPr>
          <w:p>
            <w:pPr/>
          </w:p>
        </w:tc>
        <w:tc>
          <w:tcPr>
            <w:tcW w:w="150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right="44"/>
              <w:jc w:val="right"/>
              <w:rPr>
                <w:rFonts w:ascii="宋体" w:hAnsi="宋体" w:cs="宋体" w:eastAsia="宋体" w:hint="default"/>
                <w:sz w:val="20"/>
                <w:szCs w:val="20"/>
              </w:rPr>
            </w:pPr>
            <w:r>
              <w:rPr>
                <w:rFonts w:ascii="宋体" w:hAnsi="宋体" w:cs="宋体" w:eastAsia="宋体" w:hint="default"/>
                <w:w w:val="95"/>
                <w:sz w:val="20"/>
                <w:szCs w:val="20"/>
              </w:rPr>
              <w:t>对净利润的影响</w:t>
            </w:r>
            <w:r>
              <w:rPr>
                <w:rFonts w:ascii="宋体" w:hAnsi="宋体" w:cs="宋体" w:eastAsia="宋体" w:hint="default"/>
                <w:sz w:val="20"/>
                <w:szCs w:val="20"/>
              </w:rPr>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84" w:right="0"/>
              <w:jc w:val="left"/>
              <w:rPr>
                <w:rFonts w:ascii="宋体" w:hAnsi="宋体" w:cs="宋体" w:eastAsia="宋体" w:hint="default"/>
                <w:sz w:val="20"/>
                <w:szCs w:val="20"/>
              </w:rPr>
            </w:pPr>
            <w:r>
              <w:rPr>
                <w:rFonts w:ascii="宋体" w:hAnsi="宋体" w:cs="宋体" w:eastAsia="宋体" w:hint="default"/>
                <w:sz w:val="20"/>
                <w:szCs w:val="20"/>
              </w:rPr>
              <w:t>对所有者权益的影响</w:t>
            </w:r>
          </w:p>
        </w:tc>
        <w:tc>
          <w:tcPr>
            <w:tcW w:w="15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71" w:right="0"/>
              <w:jc w:val="left"/>
              <w:rPr>
                <w:rFonts w:ascii="宋体" w:hAnsi="宋体" w:cs="宋体" w:eastAsia="宋体" w:hint="default"/>
                <w:sz w:val="20"/>
                <w:szCs w:val="20"/>
              </w:rPr>
            </w:pPr>
            <w:r>
              <w:rPr>
                <w:rFonts w:ascii="宋体" w:hAnsi="宋体" w:cs="宋体" w:eastAsia="宋体" w:hint="default"/>
                <w:sz w:val="20"/>
                <w:szCs w:val="20"/>
              </w:rPr>
              <w:t>对净利润的影响</w:t>
            </w:r>
          </w:p>
        </w:tc>
        <w:tc>
          <w:tcPr>
            <w:tcW w:w="212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158" w:right="0"/>
              <w:jc w:val="left"/>
              <w:rPr>
                <w:rFonts w:ascii="宋体" w:hAnsi="宋体" w:cs="宋体" w:eastAsia="宋体" w:hint="default"/>
                <w:sz w:val="20"/>
                <w:szCs w:val="20"/>
              </w:rPr>
            </w:pPr>
            <w:r>
              <w:rPr>
                <w:rFonts w:ascii="宋体" w:hAnsi="宋体" w:cs="宋体" w:eastAsia="宋体" w:hint="default"/>
                <w:sz w:val="20"/>
                <w:szCs w:val="20"/>
              </w:rPr>
              <w:t>对所有者权益的影响</w:t>
            </w:r>
          </w:p>
        </w:tc>
      </w:tr>
      <w:tr>
        <w:trPr>
          <w:trHeight w:val="348" w:hRule="exact"/>
        </w:trPr>
        <w:tc>
          <w:tcPr>
            <w:tcW w:w="8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所有外币</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10"/>
              <w:jc w:val="center"/>
              <w:rPr>
                <w:rFonts w:ascii="Times New Roman" w:hAnsi="Times New Roman" w:cs="Times New Roman" w:eastAsia="Times New Roman" w:hint="default"/>
                <w:sz w:val="20"/>
                <w:szCs w:val="20"/>
              </w:rPr>
            </w:pPr>
            <w:r>
              <w:rPr>
                <w:rFonts w:ascii="宋体" w:hAnsi="宋体" w:cs="宋体" w:eastAsia="宋体" w:hint="default"/>
                <w:sz w:val="20"/>
                <w:szCs w:val="20"/>
              </w:rPr>
              <w:t>对人民币升值</w:t>
            </w:r>
            <w:r>
              <w:rPr>
                <w:rFonts w:ascii="Times New Roman" w:hAnsi="Times New Roman" w:cs="Times New Roman" w:eastAsia="Times New Roman" w:hint="default"/>
                <w:sz w:val="20"/>
                <w:szCs w:val="20"/>
              </w:rPr>
              <w:t>5%</w:t>
            </w:r>
          </w:p>
        </w:tc>
        <w:tc>
          <w:tcPr>
            <w:tcW w:w="15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spacing w:val="-1"/>
                <w:sz w:val="20"/>
              </w:rPr>
              <w:t>10,274,480.54</w:t>
            </w:r>
            <w:r>
              <w:rPr>
                <w:rFonts w:ascii="Times New Roman"/>
                <w:sz w:val="20"/>
              </w:rPr>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spacing w:val="-1"/>
                <w:sz w:val="20"/>
              </w:rPr>
              <w:t>29,886,934.34</w:t>
            </w:r>
            <w:r>
              <w:rPr>
                <w:rFonts w:ascii="Times New Roman"/>
                <w:sz w:val="20"/>
              </w:rPr>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1,939,419.13</w:t>
            </w:r>
            <w:r>
              <w:rPr>
                <w:rFonts w:ascii="Times New Roman"/>
                <w:sz w:val="20"/>
              </w:rPr>
            </w:r>
          </w:p>
        </w:tc>
        <w:tc>
          <w:tcPr>
            <w:tcW w:w="21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10,124,656.84</w:t>
            </w:r>
            <w:r>
              <w:rPr>
                <w:rFonts w:ascii="Times New Roman"/>
                <w:sz w:val="20"/>
              </w:rPr>
            </w:r>
          </w:p>
        </w:tc>
      </w:tr>
      <w:tr>
        <w:trPr>
          <w:trHeight w:val="348" w:hRule="exact"/>
        </w:trPr>
        <w:tc>
          <w:tcPr>
            <w:tcW w:w="83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所有外币</w:t>
            </w:r>
          </w:p>
        </w:tc>
        <w:tc>
          <w:tcPr>
            <w:tcW w:w="149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12"/>
              <w:jc w:val="center"/>
              <w:rPr>
                <w:rFonts w:ascii="Times New Roman" w:hAnsi="Times New Roman" w:cs="Times New Roman" w:eastAsia="Times New Roman" w:hint="default"/>
                <w:sz w:val="20"/>
                <w:szCs w:val="20"/>
              </w:rPr>
            </w:pPr>
            <w:r>
              <w:rPr>
                <w:rFonts w:ascii="宋体" w:hAnsi="宋体" w:cs="宋体" w:eastAsia="宋体" w:hint="default"/>
                <w:sz w:val="20"/>
                <w:szCs w:val="20"/>
              </w:rPr>
              <w:t>对人民币贬值</w:t>
            </w:r>
            <w:r>
              <w:rPr>
                <w:rFonts w:ascii="Times New Roman" w:hAnsi="Times New Roman" w:cs="Times New Roman" w:eastAsia="Times New Roman" w:hint="default"/>
                <w:sz w:val="20"/>
                <w:szCs w:val="20"/>
              </w:rPr>
              <w:t>5%</w:t>
            </w:r>
          </w:p>
        </w:tc>
        <w:tc>
          <w:tcPr>
            <w:tcW w:w="15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-10,274,480.54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-29,886,934.34</w:t>
            </w:r>
          </w:p>
        </w:tc>
        <w:tc>
          <w:tcPr>
            <w:tcW w:w="15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-1,939,419.13</w:t>
            </w:r>
            <w:r>
              <w:rPr>
                <w:rFonts w:ascii="Times New Roman"/>
                <w:sz w:val="20"/>
              </w:rPr>
            </w:r>
          </w:p>
        </w:tc>
        <w:tc>
          <w:tcPr>
            <w:tcW w:w="21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-10,124,656.84</w:t>
            </w:r>
            <w:r>
              <w:rPr>
                <w:rFonts w:ascii="Times New Roman"/>
                <w:sz w:val="20"/>
              </w:rPr>
            </w:r>
          </w:p>
        </w:tc>
      </w:tr>
    </w:tbl>
    <w:p>
      <w:pPr>
        <w:spacing w:line="240" w:lineRule="auto" w:before="11"/>
        <w:rPr>
          <w:rFonts w:ascii="宋体" w:hAnsi="宋体" w:cs="宋体" w:eastAsia="宋体" w:hint="default"/>
          <w:sz w:val="14"/>
          <w:szCs w:val="14"/>
        </w:rPr>
      </w:pPr>
    </w:p>
    <w:p>
      <w:pPr>
        <w:pStyle w:val="Heading7"/>
        <w:spacing w:line="240" w:lineRule="auto" w:before="37"/>
        <w:ind w:left="592" w:right="0"/>
        <w:jc w:val="left"/>
      </w:pPr>
      <w:r>
        <w:rPr/>
        <w:t>（</w:t>
      </w:r>
      <w:r>
        <w:rPr>
          <w:rFonts w:ascii="Times New Roman" w:hAnsi="Times New Roman" w:cs="Times New Roman" w:eastAsia="Times New Roman" w:hint="default"/>
        </w:rPr>
        <w:t>2</w:t>
      </w:r>
      <w:r>
        <w:rPr/>
        <w:t>）利率风险敏感性分析</w:t>
      </w:r>
    </w:p>
    <w:p>
      <w:pPr>
        <w:spacing w:line="240" w:lineRule="auto" w:before="0"/>
        <w:rPr>
          <w:rFonts w:ascii="宋体" w:hAnsi="宋体" w:cs="宋体" w:eastAsia="宋体" w:hint="default"/>
          <w:sz w:val="21"/>
          <w:szCs w:val="21"/>
        </w:rPr>
      </w:pPr>
    </w:p>
    <w:p>
      <w:pPr>
        <w:pStyle w:val="Heading7"/>
        <w:spacing w:line="285" w:lineRule="auto"/>
        <w:ind w:right="0" w:firstLine="439"/>
        <w:jc w:val="left"/>
      </w:pPr>
      <w:r>
        <w:rPr>
          <w:w w:val="95"/>
        </w:rPr>
        <w:t>利率风险敏感性分析基于下述假设：市场利率变化影响可变利率金融工具的利息收入或费用；对于以公允</w:t>
      </w:r>
      <w:r>
        <w:rPr>
          <w:spacing w:val="-83"/>
          <w:w w:val="95"/>
        </w:rPr>
        <w:t> </w:t>
      </w:r>
      <w:r>
        <w:rPr>
          <w:spacing w:val="-83"/>
          <w:w w:val="95"/>
        </w:rPr>
      </w:r>
      <w:r>
        <w:rPr/>
        <w:t>价值计量的固定利率金融工具，市场利率变化仅仅影响其利息收入或费用；以资产负债表日市场利率采用现金</w:t>
      </w:r>
    </w:p>
    <w:p>
      <w:pPr>
        <w:spacing w:after="0" w:line="285" w:lineRule="auto"/>
        <w:jc w:val="left"/>
        <w:sectPr>
          <w:footerReference w:type="default" r:id="rId49"/>
          <w:pgSz w:w="11910" w:h="16840"/>
          <w:pgMar w:footer="979" w:header="745" w:top="1060" w:bottom="1160" w:left="980" w:right="980"/>
          <w:pgNumType w:start="201"/>
        </w:sectPr>
      </w:pPr>
    </w:p>
    <w:p>
      <w:pPr>
        <w:spacing w:line="240" w:lineRule="auto" w:before="0"/>
        <w:rPr>
          <w:rFonts w:ascii="宋体" w:hAnsi="宋体" w:cs="宋体" w:eastAsia="宋体" w:hint="default"/>
          <w:sz w:val="25"/>
          <w:szCs w:val="25"/>
        </w:rPr>
      </w:pPr>
    </w:p>
    <w:p>
      <w:pPr>
        <w:pStyle w:val="Heading7"/>
        <w:spacing w:line="240" w:lineRule="auto" w:before="37"/>
        <w:ind w:right="94"/>
        <w:jc w:val="left"/>
      </w:pPr>
      <w:r>
        <w:rPr/>
        <w:t>流量折现法计算衍生金融工具及其它金融资产和负债的公允价值变化。</w:t>
      </w:r>
    </w:p>
    <w:p>
      <w:pPr>
        <w:spacing w:line="240" w:lineRule="auto" w:before="3"/>
        <w:rPr>
          <w:rFonts w:ascii="宋体" w:hAnsi="宋体" w:cs="宋体" w:eastAsia="宋体" w:hint="default"/>
          <w:sz w:val="22"/>
          <w:szCs w:val="22"/>
        </w:rPr>
      </w:pPr>
    </w:p>
    <w:p>
      <w:pPr>
        <w:pStyle w:val="Heading7"/>
        <w:spacing w:line="271" w:lineRule="auto"/>
        <w:ind w:right="175" w:firstLine="439"/>
        <w:jc w:val="left"/>
      </w:pPr>
      <w:r>
        <w:rPr/>
        <w:t>在上述假设的基础上，在其它变量不变的情况下，由于本集团截至</w:t>
      </w:r>
      <w:r>
        <w:rPr>
          <w:rFonts w:ascii="Times New Roman" w:hAnsi="Times New Roman" w:cs="Times New Roman" w:eastAsia="Times New Roman" w:hint="default"/>
        </w:rPr>
        <w:t>2017</w:t>
      </w:r>
      <w:r>
        <w:rPr/>
        <w:t>年末已无浮动利率借款，因此利率</w:t>
      </w:r>
      <w:r>
        <w:rPr>
          <w:w w:val="99"/>
        </w:rPr>
        <w:t> </w:t>
      </w:r>
      <w:r>
        <w:rPr/>
        <w:t>的合理变动对当期损益和权益不产生影响。</w:t>
      </w:r>
    </w:p>
    <w:p>
      <w:pPr>
        <w:spacing w:line="240" w:lineRule="auto" w:before="6"/>
        <w:rPr>
          <w:rFonts w:ascii="宋体" w:hAnsi="宋体" w:cs="宋体" w:eastAsia="宋体" w:hint="default"/>
          <w:sz w:val="22"/>
          <w:szCs w:val="22"/>
        </w:rPr>
      </w:pPr>
    </w:p>
    <w:p>
      <w:pPr>
        <w:pStyle w:val="Heading3"/>
        <w:spacing w:line="240" w:lineRule="auto"/>
        <w:ind w:right="94"/>
        <w:jc w:val="left"/>
        <w:rPr>
          <w:b w:val="0"/>
          <w:bCs w:val="0"/>
        </w:rPr>
      </w:pPr>
      <w:r>
        <w:rPr/>
        <w:t>十一、公允价值的披露</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1"/>
        <w:rPr>
          <w:rFonts w:ascii="宋体" w:hAnsi="宋体" w:cs="宋体" w:eastAsia="宋体" w:hint="default"/>
          <w:sz w:val="25"/>
          <w:szCs w:val="25"/>
        </w:rPr>
      </w:pPr>
    </w:p>
    <w:p>
      <w:pPr>
        <w:spacing w:line="506" w:lineRule="auto" w:before="0"/>
        <w:ind w:left="152" w:right="7164" w:firstLine="0"/>
        <w:jc w:val="left"/>
        <w:rPr>
          <w:rFonts w:ascii="宋体" w:hAnsi="宋体" w:cs="宋体" w:eastAsia="宋体" w:hint="default"/>
          <w:sz w:val="18"/>
          <w:szCs w:val="18"/>
        </w:rPr>
      </w:pPr>
      <w:r>
        <w:rPr>
          <w:rFonts w:ascii="宋体" w:hAnsi="宋体" w:cs="宋体" w:eastAsia="宋体" w:hint="default"/>
          <w:b/>
          <w:bCs/>
          <w:sz w:val="24"/>
          <w:szCs w:val="24"/>
        </w:rPr>
        <w:t>十二、关联方及关联交易</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b/>
          <w:bCs/>
          <w:w w:val="100"/>
          <w:sz w:val="21"/>
          <w:szCs w:val="21"/>
        </w:rPr>
        <w:t> </w:t>
      </w:r>
      <w:r>
        <w:rPr>
          <w:rFonts w:ascii="宋体" w:hAnsi="宋体" w:cs="宋体" w:eastAsia="宋体" w:hint="default"/>
          <w:sz w:val="18"/>
          <w:szCs w:val="18"/>
        </w:rPr>
        <w:t>本企业的母公司情况的说明</w:t>
      </w:r>
    </w:p>
    <w:p>
      <w:pPr>
        <w:pStyle w:val="BodyText"/>
        <w:spacing w:line="300" w:lineRule="auto"/>
        <w:ind w:right="94" w:firstLine="300"/>
        <w:jc w:val="left"/>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29</w:t>
      </w:r>
      <w:r>
        <w:rPr>
          <w:spacing w:val="-1"/>
        </w:rPr>
        <w:t>日，公司原控股股东中国四维测绘技术有限公司与深圳市腾讯产业投资基金有限公司签署了股份转让协议，</w:t>
      </w:r>
      <w:r>
        <w:rPr/>
        <w:t> 转让中国四维测绘技术有限公司持有的公司部分股份</w:t>
      </w:r>
      <w:r>
        <w:rPr>
          <w:rFonts w:ascii="Times New Roman" w:hAnsi="Times New Roman" w:cs="Times New Roman" w:eastAsia="Times New Roman" w:hint="default"/>
        </w:rPr>
        <w:t>78,000,000.00</w:t>
      </w:r>
      <w:r>
        <w:rPr/>
        <w:t>股。</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17</w:t>
      </w:r>
      <w:r>
        <w:rPr/>
        <w:t>日，公司收到中国四维测绘技术有限公</w:t>
      </w:r>
      <w:r>
        <w:rPr>
          <w:spacing w:val="-48"/>
        </w:rPr>
        <w:t> </w:t>
      </w:r>
      <w:r>
        <w:rPr>
          <w:spacing w:val="-48"/>
        </w:rPr>
      </w:r>
      <w:r>
        <w:rPr>
          <w:spacing w:val="-2"/>
        </w:rPr>
        <w:t>司转来的中国证券登记结算有限责任公司深圳分公司出具的过户登记确认书，确认过户登记手续于</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13</w:t>
      </w:r>
      <w:r>
        <w:rPr>
          <w:spacing w:val="-2"/>
        </w:rPr>
        <w:t>日办理完毕。</w:t>
      </w:r>
    </w:p>
    <w:p>
      <w:pPr>
        <w:pStyle w:val="BodyText"/>
        <w:spacing w:line="544" w:lineRule="auto" w:before="133"/>
        <w:ind w:right="4209" w:firstLine="360"/>
        <w:jc w:val="left"/>
      </w:pPr>
      <w:r>
        <w:rPr/>
        <w:t>本公司自</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13</w:t>
      </w:r>
      <w:r>
        <w:rPr/>
        <w:t>日起，无控股股东及最终控制方。 </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100"/>
          <w:sz w:val="21"/>
          <w:szCs w:val="21"/>
        </w:rPr>
        <w:t> </w:t>
      </w:r>
      <w:r>
        <w:rPr/>
        <w:t>本企业子公司的情况详见附注</w:t>
      </w:r>
      <w:r>
        <w:rPr>
          <w:rFonts w:ascii="Times New Roman" w:hAnsi="Times New Roman" w:cs="Times New Roman" w:eastAsia="Times New Roman" w:hint="default"/>
        </w:rPr>
        <w:t>“</w:t>
      </w:r>
      <w:r>
        <w:rPr/>
        <w:t>九、</w:t>
      </w:r>
      <w:r>
        <w:rPr>
          <w:rFonts w:ascii="Times New Roman" w:hAnsi="Times New Roman" w:cs="Times New Roman" w:eastAsia="Times New Roman" w:hint="default"/>
        </w:rPr>
        <w:t>1.</w:t>
      </w:r>
      <w:r>
        <w:rPr/>
        <w:t>（</w:t>
      </w:r>
      <w:r>
        <w:rPr>
          <w:rFonts w:ascii="Times New Roman" w:hAnsi="Times New Roman" w:cs="Times New Roman" w:eastAsia="Times New Roman" w:hint="default"/>
        </w:rPr>
        <w:t>1</w:t>
      </w:r>
      <w:r>
        <w:rPr/>
        <w:t>）企业集团的构成</w:t>
      </w:r>
      <w:r>
        <w:rPr>
          <w:rFonts w:ascii="Times New Roman" w:hAnsi="Times New Roman" w:cs="Times New Roman" w:eastAsia="Times New Roman" w:hint="default"/>
        </w:rPr>
        <w:t>”</w:t>
      </w:r>
      <w:r>
        <w:rPr/>
        <w:t>相关内容。</w:t>
      </w:r>
    </w:p>
    <w:p>
      <w:pPr>
        <w:pStyle w:val="Heading5"/>
        <w:spacing w:line="240" w:lineRule="auto" w:before="89"/>
        <w:ind w:right="94"/>
        <w:jc w:val="left"/>
        <w:rPr>
          <w:b w:val="0"/>
          <w:bCs w:val="0"/>
        </w:rPr>
      </w:pPr>
      <w:r>
        <w:rPr>
          <w:rFonts w:ascii="Times New Roman" w:hAnsi="Times New Roman" w:cs="Times New Roman" w:eastAsia="Times New Roman" w:hint="default"/>
        </w:rPr>
        <w:t>3</w:t>
      </w:r>
      <w:r>
        <w:rPr/>
        <w:t>、本企业合营和联营企业情况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1354"/>
        <w:jc w:val="left"/>
      </w:pPr>
      <w:r>
        <w:rPr/>
        <w:t>本企业重要的合营或联营企业详见附注</w:t>
      </w:r>
      <w:r>
        <w:rPr>
          <w:rFonts w:ascii="Times New Roman" w:hAnsi="Times New Roman" w:cs="Times New Roman" w:eastAsia="Times New Roman" w:hint="default"/>
        </w:rPr>
        <w:t>“</w:t>
      </w:r>
      <w:r>
        <w:rPr/>
        <w:t>九、</w:t>
      </w:r>
      <w:r>
        <w:rPr>
          <w:rFonts w:ascii="Times New Roman" w:hAnsi="Times New Roman" w:cs="Times New Roman" w:eastAsia="Times New Roman" w:hint="default"/>
        </w:rPr>
        <w:t>3.</w:t>
      </w:r>
      <w:r>
        <w:rPr/>
        <w:t>（</w:t>
      </w:r>
      <w:r>
        <w:rPr>
          <w:rFonts w:ascii="Times New Roman" w:hAnsi="Times New Roman" w:cs="Times New Roman" w:eastAsia="Times New Roman" w:hint="default"/>
        </w:rPr>
        <w:t>1</w:t>
      </w:r>
      <w:r>
        <w:rPr/>
        <w:t>）重要的合营企业或联营企业</w:t>
      </w:r>
      <w:r>
        <w:rPr>
          <w:rFonts w:ascii="Times New Roman" w:hAnsi="Times New Roman" w:cs="Times New Roman" w:eastAsia="Times New Roman" w:hint="default"/>
        </w:rPr>
        <w:t>”</w:t>
      </w:r>
      <w:r>
        <w:rPr/>
        <w:t>相关内容。 本期与本公司发生关联方交易，或前期与本公司发生关联方交易形成余额的其他合营或联营企业情况如下：</w:t>
      </w:r>
    </w:p>
    <w:p>
      <w:pPr>
        <w:spacing w:line="240" w:lineRule="auto" w:before="9"/>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577"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合营企业</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嘉兴四维智城信息科技有限公司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spacing w:line="240" w:lineRule="auto" w:before="3"/>
        <w:rPr>
          <w:rFonts w:ascii="宋体" w:hAnsi="宋体" w:cs="宋体" w:eastAsia="宋体" w:hint="default"/>
          <w:sz w:val="19"/>
          <w:szCs w:val="19"/>
        </w:rPr>
      </w:pPr>
    </w:p>
    <w:p>
      <w:pPr>
        <w:pStyle w:val="Heading5"/>
        <w:spacing w:line="240" w:lineRule="auto" w:before="36"/>
        <w:ind w:right="94"/>
        <w:jc w:val="left"/>
        <w:rPr>
          <w:b w:val="0"/>
          <w:bCs w:val="0"/>
        </w:rPr>
      </w:pPr>
      <w:r>
        <w:rPr>
          <w:rFonts w:ascii="Times New Roman" w:hAnsi="Times New Roman" w:cs="Times New Roman" w:eastAsia="Times New Roman" w:hint="default"/>
        </w:rPr>
        <w:t>4</w:t>
      </w:r>
      <w:r>
        <w:rPr/>
        <w:t>、其他关联方情况</w:t>
      </w:r>
      <w:r>
        <w:rPr>
          <w:b w:val="0"/>
          <w:bCs w:val="0"/>
        </w:rPr>
      </w:r>
    </w:p>
    <w:p>
      <w:pPr>
        <w:spacing w:line="240" w:lineRule="auto" w:before="7"/>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399"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北京搜狗科技发展有限公司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北京航天世景信息技术有限公司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腾讯云计算（北京）有限责任公司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40"/>
        </w:sectPr>
      </w:pPr>
    </w:p>
    <w:p>
      <w:pPr>
        <w:spacing w:line="240" w:lineRule="auto" w:before="6"/>
        <w:rPr>
          <w:rFonts w:ascii="宋体" w:hAnsi="宋体" w:cs="宋体" w:eastAsia="宋体" w:hint="default"/>
          <w:b/>
          <w:bCs/>
          <w:sz w:val="28"/>
          <w:szCs w:val="28"/>
        </w:rPr>
      </w:pPr>
    </w:p>
    <w:tbl>
      <w:tblPr>
        <w:tblW w:w="0" w:type="auto"/>
        <w:jc w:val="left"/>
        <w:tblInd w:w="148" w:type="dxa"/>
        <w:tblLayout w:type="fixed"/>
        <w:tblCellMar>
          <w:top w:w="0" w:type="dxa"/>
          <w:left w:w="0" w:type="dxa"/>
          <w:bottom w:w="0" w:type="dxa"/>
          <w:right w:w="0" w:type="dxa"/>
        </w:tblCellMar>
        <w:tblLook w:val="01E0"/>
      </w:tblPr>
      <w:tblGrid>
        <w:gridCol w:w="4784"/>
        <w:gridCol w:w="4787"/>
      </w:tblGrid>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腾讯大地通途（北京）科技有限公司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1"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北京搜狗信息服务有限公司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上海蔚来汽车有限公司</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其他关联关系方</w:t>
            </w:r>
          </w:p>
        </w:tc>
      </w:tr>
    </w:tbl>
    <w:p>
      <w:pPr>
        <w:pStyle w:val="BodyText"/>
        <w:spacing w:line="240" w:lineRule="auto" w:before="49"/>
        <w:ind w:right="0"/>
        <w:jc w:val="left"/>
      </w:pPr>
      <w:r>
        <w:rPr/>
        <w:t>注：会计准则规定的关联方与深圳证券交易所《股票上市规则》规定的关联方定义有所不同。</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835"/>
        <w:gridCol w:w="1277"/>
        <w:gridCol w:w="1419"/>
        <w:gridCol w:w="1416"/>
        <w:gridCol w:w="1136"/>
        <w:gridCol w:w="1488"/>
      </w:tblGrid>
      <w:tr>
        <w:trPr>
          <w:trHeight w:val="715"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获批的交易额度</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92" w:right="111" w:hanging="180"/>
              <w:jc w:val="left"/>
              <w:rPr>
                <w:rFonts w:ascii="宋体" w:hAnsi="宋体" w:cs="宋体" w:eastAsia="宋体" w:hint="default"/>
                <w:sz w:val="18"/>
                <w:szCs w:val="18"/>
              </w:rPr>
            </w:pPr>
            <w:r>
              <w:rPr>
                <w:rFonts w:ascii="宋体" w:hAnsi="宋体" w:cs="宋体" w:eastAsia="宋体" w:hint="default"/>
                <w:sz w:val="18"/>
                <w:szCs w:val="18"/>
              </w:rPr>
              <w:t>是否超过交 易额度</w:t>
            </w:r>
          </w:p>
        </w:tc>
        <w:tc>
          <w:tcPr>
            <w:tcW w:w="1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腾讯云计算（北京）有限责任公司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4,156,723.48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1,683,833.66</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3,248,349.44</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8,000,000.00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3,084,906.95</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嘉兴四维智城信息科技有限公司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600,000.00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北京航天世景信息技术有限公司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414,166.98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181,971.70</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1,466.70</w:t>
            </w: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416"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29,716,981.13</w:t>
            </w:r>
          </w:p>
        </w:tc>
      </w:tr>
    </w:tbl>
    <w:p>
      <w:pPr>
        <w:pStyle w:val="BodyText"/>
        <w:spacing w:line="240" w:lineRule="auto" w:before="49"/>
        <w:ind w:right="0"/>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1"/>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835"/>
        <w:gridCol w:w="1822"/>
        <w:gridCol w:w="2259"/>
        <w:gridCol w:w="2655"/>
      </w:tblGrid>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64"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98,813,413.70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120,420,719.20</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19,496,805.57</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6,597,178.76</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12,290,598.23</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13,931,623.91</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12,150,157.11</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24,505,061.39</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8,141,509.39</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724,786.32</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上海蔚来汽车有限公司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4,469,863.05</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北京搜狗信息服务有限公司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2,564,102.55</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嘉兴四维智城信息科技有限公司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2,437,587.96</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1,748,915.96</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1,018,867.92</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141,509.43</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北京航天世景信息技术有限公司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274,713.76</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113,207.55</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712,950.38</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31,124.53</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835"/>
        <w:gridCol w:w="1822"/>
        <w:gridCol w:w="2259"/>
        <w:gridCol w:w="2655"/>
      </w:tblGrid>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北京蜂云科创信息技术有限公司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提供劳务</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7,377.36</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北京搜狗科技发展有限公司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4,871,794.85</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北京航天世景信息技术有限公司</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销售商品</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25,641.03</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）关联受托管理</w:t>
      </w:r>
      <w:r>
        <w:rPr>
          <w:rFonts w:ascii="Times New Roman" w:hAnsi="Times New Roman" w:cs="Times New Roman" w:eastAsia="Times New Roman" w:hint="default"/>
        </w:rPr>
        <w:t>/</w:t>
      </w:r>
      <w:r>
        <w:rPr/>
        <w:t>承包及委托管理</w:t>
      </w:r>
      <w:r>
        <w:rPr>
          <w:rFonts w:ascii="Times New Roman" w:hAnsi="Times New Roman" w:cs="Times New Roman" w:eastAsia="Times New Roman" w:hint="default"/>
        </w:rPr>
        <w:t>/</w:t>
      </w:r>
      <w:r>
        <w:rPr/>
        <w:t>出包情况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3</w:t>
      </w:r>
      <w:r>
        <w:rPr/>
        <w:t>）关联租赁情况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t>本公司作为出租方：</w:t>
      </w:r>
    </w:p>
    <w:p>
      <w:pPr>
        <w:pStyle w:val="BodyText"/>
        <w:spacing w:line="240" w:lineRule="auto" w:before="115"/>
        <w:ind w:left="0" w:right="21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835"/>
        <w:gridCol w:w="1949"/>
        <w:gridCol w:w="2393"/>
        <w:gridCol w:w="2393"/>
      </w:tblGrid>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承租方名称</w:t>
            </w:r>
          </w:p>
        </w:tc>
        <w:tc>
          <w:tcPr>
            <w:tcW w:w="19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29"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办公场所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1,867,678.44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19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办公场所</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545,662.51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pStyle w:val="BodyText"/>
        <w:spacing w:line="357" w:lineRule="auto" w:before="49"/>
        <w:ind w:right="8214"/>
        <w:jc w:val="left"/>
      </w:pPr>
      <w:r>
        <w:rPr/>
        <w:t>本公司作为承租方： 无</w:t>
      </w:r>
    </w:p>
    <w:p>
      <w:pPr>
        <w:spacing w:line="240" w:lineRule="auto" w:before="6"/>
        <w:rPr>
          <w:rFonts w:ascii="宋体" w:hAnsi="宋体" w:cs="宋体" w:eastAsia="宋体" w:hint="default"/>
          <w:sz w:val="20"/>
          <w:szCs w:val="20"/>
        </w:rPr>
      </w:pPr>
    </w:p>
    <w:p>
      <w:pPr>
        <w:pStyle w:val="Heading5"/>
        <w:spacing w:line="240" w:lineRule="auto"/>
        <w:ind w:right="0"/>
        <w:jc w:val="left"/>
        <w:rPr>
          <w:b w:val="0"/>
          <w:bCs w:val="0"/>
        </w:rPr>
      </w:pPr>
      <w:r>
        <w:rPr/>
        <w:t>（</w:t>
      </w:r>
      <w:r>
        <w:rPr>
          <w:rFonts w:ascii="Times New Roman" w:hAnsi="Times New Roman" w:cs="Times New Roman" w:eastAsia="Times New Roman" w:hint="default"/>
        </w:rPr>
        <w:t>4</w:t>
      </w:r>
      <w:r>
        <w:rPr/>
        <w:t>）关联担保情况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t>本公司作为担保方</w:t>
      </w:r>
    </w:p>
    <w:p>
      <w:pPr>
        <w:pStyle w:val="BodyText"/>
        <w:spacing w:line="240" w:lineRule="auto" w:before="115"/>
        <w:ind w:left="0" w:right="21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85"/>
        <w:gridCol w:w="1844"/>
        <w:gridCol w:w="1916"/>
        <w:gridCol w:w="1913"/>
        <w:gridCol w:w="1916"/>
      </w:tblGrid>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9"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56"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2"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pacing w:val="-3"/>
                <w:sz w:val="18"/>
              </w:rPr>
              <w:t>MapscapeB.V.</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pacing w:val="-1"/>
                <w:sz w:val="18"/>
              </w:rPr>
              <w:t>26,000,000.00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5"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2"/>
              <w:jc w:val="left"/>
              <w:rPr>
                <w:rFonts w:ascii="宋体" w:hAnsi="宋体" w:cs="宋体" w:eastAsia="宋体" w:hint="default"/>
                <w:sz w:val="18"/>
                <w:szCs w:val="18"/>
              </w:rPr>
            </w:pPr>
            <w:r>
              <w:rPr>
                <w:rFonts w:ascii="宋体" w:hAnsi="宋体" w:cs="宋体" w:eastAsia="宋体" w:hint="default"/>
                <w:spacing w:val="-5"/>
                <w:sz w:val="18"/>
                <w:szCs w:val="18"/>
              </w:rPr>
              <w:t>图新投资（香港）科技有</w:t>
            </w:r>
            <w:r>
              <w:rPr>
                <w:rFonts w:ascii="宋体" w:hAnsi="宋体" w:cs="宋体" w:eastAsia="宋体" w:hint="default"/>
                <w:sz w:val="18"/>
                <w:szCs w:val="18"/>
              </w:rPr>
              <w:t> 限公司</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 </w:t>
            </w:r>
            <w:r>
              <w:rPr>
                <w:rFonts w:ascii="宋体" w:hAnsi="宋体" w:cs="宋体" w:eastAsia="宋体" w:hint="default"/>
                <w:sz w:val="18"/>
                <w:szCs w:val="18"/>
              </w:rPr>
              <w:t>日</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357" w:lineRule="auto" w:before="49"/>
        <w:ind w:right="8214"/>
        <w:jc w:val="left"/>
      </w:pPr>
      <w:r>
        <w:rPr/>
        <w:t>本公司作为被担保方 无</w:t>
      </w:r>
    </w:p>
    <w:p>
      <w:pPr>
        <w:pStyle w:val="BodyText"/>
        <w:spacing w:line="240" w:lineRule="auto" w:before="29"/>
        <w:ind w:right="0"/>
        <w:jc w:val="left"/>
      </w:pPr>
      <w:r>
        <w:rPr/>
        <w:t>关联担保情况说明</w:t>
      </w:r>
    </w:p>
    <w:p>
      <w:pPr>
        <w:spacing w:line="240" w:lineRule="auto" w:before="0"/>
        <w:rPr>
          <w:rFonts w:ascii="宋体" w:hAnsi="宋体" w:cs="宋体" w:eastAsia="宋体" w:hint="default"/>
          <w:sz w:val="15"/>
          <w:szCs w:val="15"/>
        </w:rPr>
      </w:pPr>
    </w:p>
    <w:p>
      <w:pPr>
        <w:pStyle w:val="BodyText"/>
        <w:spacing w:line="300" w:lineRule="auto"/>
        <w:ind w:right="117" w:firstLine="360"/>
        <w:jc w:val="both"/>
      </w:pPr>
      <w:r>
        <w:rPr>
          <w:spacing w:val="-3"/>
          <w:w w:val="99"/>
        </w:rPr>
        <w:t>注</w:t>
      </w:r>
      <w:r>
        <w:rPr>
          <w:rFonts w:ascii="Times New Roman" w:hAnsi="Times New Roman" w:cs="Times New Roman" w:eastAsia="Times New Roman" w:hint="default"/>
          <w:spacing w:val="-3"/>
          <w:w w:val="99"/>
        </w:rPr>
        <w:t>1</w:t>
      </w:r>
      <w:r>
        <w:rPr>
          <w:spacing w:val="-3"/>
          <w:w w:val="99"/>
        </w:rPr>
        <w:t>：本公司向所属子公司</w:t>
      </w:r>
      <w:r>
        <w:rPr>
          <w:rFonts w:ascii="Times New Roman" w:hAnsi="Times New Roman" w:cs="Times New Roman" w:eastAsia="Times New Roman" w:hint="default"/>
          <w:spacing w:val="-3"/>
          <w:w w:val="99"/>
        </w:rPr>
        <w:t>MapscapeB.V.</w:t>
      </w:r>
      <w:r>
        <w:rPr>
          <w:spacing w:val="-3"/>
          <w:w w:val="99"/>
        </w:rPr>
        <w:t>提供总额不超过</w:t>
      </w:r>
      <w:r>
        <w:rPr>
          <w:rFonts w:ascii="Times New Roman" w:hAnsi="Times New Roman" w:cs="Times New Roman" w:eastAsia="Times New Roman" w:hint="default"/>
          <w:spacing w:val="-3"/>
          <w:w w:val="99"/>
        </w:rPr>
        <w:t>11,000.00</w:t>
      </w:r>
      <w:r>
        <w:rPr>
          <w:spacing w:val="-3"/>
          <w:w w:val="99"/>
        </w:rPr>
        <w:t>万元的担保，担保有效期限为自</w:t>
      </w:r>
      <w:r>
        <w:rPr>
          <w:rFonts w:ascii="Times New Roman" w:hAnsi="Times New Roman" w:cs="Times New Roman" w:eastAsia="Times New Roman" w:hint="default"/>
          <w:spacing w:val="-3"/>
          <w:w w:val="99"/>
        </w:rPr>
        <w:t>2013</w:t>
      </w:r>
      <w:r>
        <w:rPr>
          <w:spacing w:val="-3"/>
          <w:w w:val="99"/>
        </w:rPr>
        <w:t>年</w:t>
      </w:r>
      <w:r>
        <w:rPr>
          <w:rFonts w:ascii="Times New Roman" w:hAnsi="Times New Roman" w:cs="Times New Roman" w:eastAsia="Times New Roman" w:hint="default"/>
          <w:spacing w:val="-3"/>
          <w:w w:val="99"/>
        </w:rPr>
        <w:t>3</w:t>
      </w:r>
      <w:r>
        <w:rPr>
          <w:spacing w:val="-3"/>
          <w:w w:val="99"/>
        </w:rPr>
        <w:t>月</w:t>
      </w:r>
      <w:r>
        <w:rPr>
          <w:rFonts w:ascii="Times New Roman" w:hAnsi="Times New Roman" w:cs="Times New Roman" w:eastAsia="Times New Roman" w:hint="default"/>
          <w:spacing w:val="-3"/>
          <w:w w:val="99"/>
        </w:rPr>
        <w:t>26</w:t>
      </w:r>
      <w:r>
        <w:rPr>
          <w:spacing w:val="-3"/>
          <w:w w:val="99"/>
        </w:rPr>
        <w:t>日起五年，</w:t>
      </w:r>
      <w:r>
        <w:rPr/>
        <w:t> 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23</w:t>
      </w:r>
      <w:r>
        <w:rPr/>
        <w:t>日，</w:t>
      </w:r>
      <w:r>
        <w:rPr>
          <w:rFonts w:ascii="Times New Roman" w:hAnsi="Times New Roman" w:cs="Times New Roman" w:eastAsia="Times New Roman" w:hint="default"/>
        </w:rPr>
        <w:t>MapscapeB.V.</w:t>
      </w:r>
      <w:r>
        <w:rPr/>
        <w:t>已全额偿还银行借款，上述担保已履行完毕。</w:t>
      </w:r>
    </w:p>
    <w:p>
      <w:pPr>
        <w:pStyle w:val="BodyText"/>
        <w:spacing w:line="300" w:lineRule="auto" w:before="133"/>
        <w:ind w:right="211" w:firstLine="360"/>
        <w:jc w:val="both"/>
      </w:pPr>
      <w:r>
        <w:rPr/>
        <w:t>注</w:t>
      </w:r>
      <w:r>
        <w:rPr>
          <w:rFonts w:ascii="Times New Roman" w:hAnsi="Times New Roman" w:cs="Times New Roman" w:eastAsia="Times New Roman" w:hint="default"/>
        </w:rPr>
        <w:t>2</w:t>
      </w:r>
      <w:r>
        <w:rPr/>
        <w:t>：本公司向所属子公司图新投资（香港）科技有限公司的银行借款提供总额为</w:t>
      </w:r>
      <w:r>
        <w:rPr>
          <w:rFonts w:ascii="Times New Roman" w:hAnsi="Times New Roman" w:cs="Times New Roman" w:eastAsia="Times New Roman" w:hint="default"/>
        </w:rPr>
        <w:t>11,000.00</w:t>
      </w:r>
      <w:r>
        <w:rPr/>
        <w:t>万欧元的担保，折合人民币 </w:t>
      </w:r>
      <w:r>
        <w:rPr>
          <w:rFonts w:ascii="Times New Roman" w:hAnsi="Times New Roman" w:cs="Times New Roman" w:eastAsia="Times New Roman" w:hint="default"/>
          <w:spacing w:val="-2"/>
        </w:rPr>
        <w:t>84,030.10</w:t>
      </w:r>
      <w:r>
        <w:rPr>
          <w:spacing w:val="-2"/>
        </w:rPr>
        <w:t>万欧元，担保有效期限为自</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26</w:t>
      </w:r>
      <w:r>
        <w:rPr>
          <w:spacing w:val="-2"/>
        </w:rPr>
        <w:t>日起</w:t>
      </w:r>
      <w:r>
        <w:rPr>
          <w:rFonts w:ascii="Times New Roman" w:hAnsi="Times New Roman" w:cs="Times New Roman" w:eastAsia="Times New Roman" w:hint="default"/>
          <w:spacing w:val="-2"/>
        </w:rPr>
        <w:t>5</w:t>
      </w:r>
      <w:r>
        <w:rPr>
          <w:spacing w:val="-2"/>
        </w:rPr>
        <w:t>年。截至本报告期末，图新投资（香港）科技有限公司的银行借款余</w:t>
      </w:r>
      <w:r>
        <w:rPr>
          <w:spacing w:val="-56"/>
        </w:rPr>
        <w:t> </w:t>
      </w:r>
      <w:r>
        <w:rPr>
          <w:spacing w:val="-56"/>
        </w:rPr>
      </w:r>
      <w:r>
        <w:rPr/>
        <w:t>额为零。</w:t>
      </w:r>
    </w:p>
    <w:p>
      <w:pPr>
        <w:spacing w:line="240" w:lineRule="auto" w:before="10"/>
        <w:rPr>
          <w:rFonts w:ascii="宋体" w:hAnsi="宋体" w:cs="宋体" w:eastAsia="宋体" w:hint="default"/>
          <w:sz w:val="23"/>
          <w:szCs w:val="23"/>
        </w:rPr>
      </w:pPr>
    </w:p>
    <w:p>
      <w:pPr>
        <w:pStyle w:val="Heading5"/>
        <w:spacing w:line="240" w:lineRule="auto"/>
        <w:ind w:right="0"/>
        <w:jc w:val="left"/>
        <w:rPr>
          <w:b w:val="0"/>
          <w:bCs w:val="0"/>
        </w:rPr>
      </w:pPr>
      <w:r>
        <w:rPr/>
        <w:t>（</w:t>
      </w:r>
      <w:r>
        <w:rPr>
          <w:rFonts w:ascii="Times New Roman" w:hAnsi="Times New Roman" w:cs="Times New Roman" w:eastAsia="Times New Roman" w:hint="default"/>
        </w:rPr>
        <w:t>5</w:t>
      </w:r>
      <w:r>
        <w:rPr/>
        <w:t>）关联方资金拆借</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5" w:footer="979" w:top="1060" w:bottom="1160" w:left="980" w:right="92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6</w:t>
      </w:r>
      <w:r>
        <w:rPr/>
        <w:t>）关联方资产转让、债务重组情况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391"/>
        <w:gridCol w:w="2393"/>
        <w:gridCol w:w="2393"/>
        <w:gridCol w:w="2393"/>
      </w:tblGrid>
      <w:tr>
        <w:trPr>
          <w:trHeight w:val="403"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4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02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49"/>
              <w:ind w:left="23" w:right="47"/>
              <w:jc w:val="left"/>
              <w:rPr>
                <w:rFonts w:ascii="宋体" w:hAnsi="宋体" w:cs="宋体" w:eastAsia="宋体" w:hint="default"/>
                <w:sz w:val="18"/>
                <w:szCs w:val="18"/>
              </w:rPr>
            </w:pPr>
            <w:r>
              <w:rPr>
                <w:rFonts w:ascii="宋体" w:hAnsi="宋体" w:cs="宋体" w:eastAsia="宋体" w:hint="default"/>
                <w:sz w:val="18"/>
                <w:szCs w:val="18"/>
              </w:rPr>
              <w:t>购买中国四维所持中寰卫星 导航通信有限公司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37.4%</w:t>
            </w:r>
            <w:r>
              <w:rPr>
                <w:rFonts w:ascii="宋体" w:hAnsi="宋体" w:cs="宋体" w:eastAsia="宋体" w:hint="default"/>
                <w:sz w:val="18"/>
                <w:szCs w:val="18"/>
              </w:rPr>
              <w:t>的股 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66,350,900.00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中国四维测绘技术有限公司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197"/>
              <w:jc w:val="left"/>
              <w:rPr>
                <w:rFonts w:ascii="宋体" w:hAnsi="宋体" w:cs="宋体" w:eastAsia="宋体" w:hint="default"/>
                <w:sz w:val="18"/>
                <w:szCs w:val="18"/>
              </w:rPr>
            </w:pPr>
            <w:r>
              <w:rPr>
                <w:rFonts w:ascii="宋体" w:hAnsi="宋体" w:cs="宋体" w:eastAsia="宋体" w:hint="default"/>
                <w:sz w:val="18"/>
                <w:szCs w:val="18"/>
              </w:rPr>
              <w:t>出售嘉兴四维智城信息科技 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股权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2,500,000.00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7</w:t>
      </w:r>
      <w:r>
        <w:rPr/>
        <w:t>）关键管理人员报酬</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188"/>
        <w:gridCol w:w="3192"/>
        <w:gridCol w:w="3190"/>
      </w:tblGrid>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薪酬合计</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11,720,000.00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8,940,000.00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8</w:t>
      </w:r>
      <w:r>
        <w:rPr/>
        <w:t>）其他关联交易</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）应收项目</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277"/>
        <w:gridCol w:w="1913"/>
        <w:gridCol w:w="1594"/>
        <w:gridCol w:w="1596"/>
        <w:gridCol w:w="1594"/>
        <w:gridCol w:w="1594"/>
      </w:tblGrid>
      <w:tr>
        <w:trPr>
          <w:trHeight w:val="401" w:hRule="exact"/>
        </w:trPr>
        <w:tc>
          <w:tcPr>
            <w:tcW w:w="12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277"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上海安吉四维信息技术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上海安吉四维信息技术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30,881,786.71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308,817.87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21,007,293.81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210,072.94</w:t>
            </w:r>
          </w:p>
        </w:tc>
      </w:tr>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腾讯大地通途（北京） 科技有限公司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7,200,000.00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72,000.00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北京搜狗信息服务有限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中国四维测绘技术有限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3,614,614.86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136,744.86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上海蔚来汽车有限公司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2,510,358.83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25,103.59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深圳市腾讯计算机系统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763,400.00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7,634.00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38,500.00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277"/>
        <w:gridCol w:w="1913"/>
        <w:gridCol w:w="1594"/>
        <w:gridCol w:w="1596"/>
        <w:gridCol w:w="1594"/>
        <w:gridCol w:w="1594"/>
      </w:tblGrid>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嘉兴四维智城信息科技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268,851.33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2,688.51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7"/>
              <w:jc w:val="left"/>
              <w:rPr>
                <w:rFonts w:ascii="宋体" w:hAnsi="宋体" w:cs="宋体" w:eastAsia="宋体" w:hint="default"/>
                <w:sz w:val="18"/>
                <w:szCs w:val="18"/>
              </w:rPr>
            </w:pPr>
            <w:r>
              <w:rPr>
                <w:rFonts w:ascii="宋体" w:hAnsi="宋体" w:cs="宋体" w:eastAsia="宋体" w:hint="default"/>
                <w:sz w:val="18"/>
                <w:szCs w:val="18"/>
              </w:rPr>
              <w:t>北京蜂云科创信息技术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7,260.00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腾讯云计算（北京）有 限责任公司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424,759.54</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299,284.38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7"/>
              <w:jc w:val="left"/>
              <w:rPr>
                <w:rFonts w:ascii="宋体" w:hAnsi="宋体" w:cs="宋体" w:eastAsia="宋体" w:hint="default"/>
                <w:sz w:val="18"/>
                <w:szCs w:val="18"/>
              </w:rPr>
            </w:pPr>
            <w:r>
              <w:rPr>
                <w:rFonts w:ascii="宋体" w:hAnsi="宋体" w:cs="宋体" w:eastAsia="宋体" w:hint="default"/>
                <w:sz w:val="18"/>
                <w:szCs w:val="18"/>
              </w:rPr>
              <w:t>普强信息技术（北京）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156,827.82</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北京图新瀚和科技有限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548,949.56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23" w:right="77"/>
              <w:jc w:val="left"/>
              <w:rPr>
                <w:rFonts w:ascii="宋体" w:hAnsi="宋体" w:cs="宋体" w:eastAsia="宋体" w:hint="default"/>
                <w:sz w:val="18"/>
                <w:szCs w:val="18"/>
              </w:rPr>
            </w:pPr>
            <w:r>
              <w:rPr>
                <w:rFonts w:ascii="宋体" w:hAnsi="宋体" w:cs="宋体" w:eastAsia="宋体" w:hint="default"/>
                <w:sz w:val="18"/>
                <w:szCs w:val="18"/>
              </w:rPr>
              <w:t>北京图新数聚科技有限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405,818.97</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中国四维测绘技术有限 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75,500.00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3" w:right="77"/>
              <w:jc w:val="left"/>
              <w:rPr>
                <w:rFonts w:ascii="宋体" w:hAnsi="宋体" w:cs="宋体" w:eastAsia="宋体" w:hint="default"/>
                <w:sz w:val="18"/>
                <w:szCs w:val="18"/>
              </w:rPr>
            </w:pPr>
            <w:r>
              <w:rPr>
                <w:rFonts w:ascii="宋体" w:hAnsi="宋体" w:cs="宋体" w:eastAsia="宋体" w:hint="default"/>
                <w:sz w:val="18"/>
                <w:szCs w:val="18"/>
              </w:rPr>
              <w:t>上海安吉四维信息技术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364,390.18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161,325.57</w:t>
            </w:r>
          </w:p>
        </w:tc>
      </w:tr>
      <w:tr>
        <w:trPr>
          <w:trHeight w:val="715"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61"/>
              <w:jc w:val="left"/>
              <w:rPr>
                <w:rFonts w:ascii="宋体" w:hAnsi="宋体" w:cs="宋体" w:eastAsia="宋体" w:hint="default"/>
                <w:sz w:val="18"/>
                <w:szCs w:val="18"/>
              </w:rPr>
            </w:pPr>
            <w:r>
              <w:rPr>
                <w:rFonts w:ascii="宋体" w:hAnsi="宋体" w:cs="宋体" w:eastAsia="宋体" w:hint="default"/>
                <w:sz w:val="18"/>
                <w:szCs w:val="18"/>
              </w:rPr>
              <w:t>其他非流动资 产</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3" w:right="77"/>
              <w:jc w:val="left"/>
              <w:rPr>
                <w:rFonts w:ascii="宋体" w:hAnsi="宋体" w:cs="宋体" w:eastAsia="宋体" w:hint="default"/>
                <w:sz w:val="18"/>
                <w:szCs w:val="18"/>
              </w:rPr>
            </w:pPr>
            <w:r>
              <w:rPr>
                <w:rFonts w:ascii="宋体" w:hAnsi="宋体" w:cs="宋体" w:eastAsia="宋体" w:hint="default"/>
                <w:sz w:val="18"/>
                <w:szCs w:val="18"/>
              </w:rPr>
              <w:t>普强信息技术（北京） 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10,029,000.00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10,029,000.00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）应付项目</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85"/>
        <w:gridCol w:w="2799"/>
        <w:gridCol w:w="2393"/>
        <w:gridCol w:w="2393"/>
      </w:tblGrid>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29"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465,711.00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431,579.00</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157,500.00</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嘉兴四维智城信息科技有限公司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上海安吉四维信息技术有限公司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160,290.00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160,290.00</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9,716,981.13</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嘉兴四维智城信息科技有限公司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深圳市腾讯计算机系统有限公司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pacing w:val="-1"/>
                <w:sz w:val="18"/>
              </w:rPr>
              <w:t>4,540,094.14</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嘉兴四维智城信息科技有限公司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300,000.00</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普强信息技术（北京）有限公司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238,468.25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北京图新瀚和科技有限公司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140,852.28</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北京图新数聚科技有限公司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101,452.30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7</w:t>
      </w:r>
      <w:r>
        <w:rPr/>
        <w:t>、关联方承诺</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8</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十三、股份支付</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、股份支付总体情况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1"/>
        <w:ind w:left="0" w:right="151"/>
        <w:jc w:val="right"/>
      </w:pPr>
      <w:r>
        <w:rPr/>
        <w:t>单位：</w:t>
      </w:r>
      <w:r>
        <w:rPr>
          <w:spacing w:val="1"/>
        </w:rPr>
        <w:t> </w:t>
      </w:r>
      <w:r>
        <w:rPr/>
        <w:t>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9"/>
          <w:szCs w:val="29"/>
        </w:rPr>
      </w:pPr>
    </w:p>
    <w:p>
      <w:pPr>
        <w:pStyle w:val="BodyText"/>
        <w:spacing w:line="240" w:lineRule="auto" w:before="44"/>
        <w:ind w:left="0" w:right="156"/>
        <w:jc w:val="right"/>
      </w:pPr>
      <w:r>
        <w:rPr/>
        <w:pict>
          <v:shape style="position:absolute;margin-left:56.459999pt;margin-top:-92.19828pt;width:479.2pt;height:288.3pt;mso-position-horizontal-relative:page;mso-position-vertical-relative:paragraph;z-index:22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45"/>
                    <w:gridCol w:w="6025"/>
                  </w:tblGrid>
                  <w:tr>
                    <w:trPr>
                      <w:trHeight w:val="401"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4"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spacing w:val="-1"/>
                            <w:sz w:val="18"/>
                          </w:rPr>
                          <w:t>10,028,650.00</w:t>
                        </w:r>
                      </w:p>
                    </w:tc>
                  </w:tr>
                  <w:tr>
                    <w:trPr>
                      <w:trHeight w:val="401"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254,000.00</w:t>
                        </w:r>
                      </w:p>
                    </w:tc>
                  </w:tr>
                  <w:tr>
                    <w:trPr>
                      <w:trHeight w:val="361" w:hRule="exact"/>
                    </w:trPr>
                    <w:tc>
                      <w:tcPr>
                        <w:tcW w:w="3545" w:type="dxa"/>
                        <w:tcBorders>
                          <w:top w:val="single" w:sz="4" w:space="0" w:color="000000"/>
                          <w:left w:val="single" w:sz="4" w:space="0" w:color="000000"/>
                          <w:bottom w:val="nil" w:sz="6" w:space="0" w:color="auto"/>
                          <w:right w:val="single" w:sz="4" w:space="0" w:color="000000"/>
                        </w:tcBorders>
                        <w:shd w:val="clear" w:color="auto" w:fill="D2D2D2"/>
                      </w:tcPr>
                      <w:p>
                        <w:pPr/>
                      </w:p>
                    </w:tc>
                    <w:tc>
                      <w:tcPr>
                        <w:tcW w:w="602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公司限制性股票激励计划首次授予激励对象的授予日为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311"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left="23" w:right="0"/>
                          <w:jc w:val="left"/>
                          <w:rPr>
                            <w:rFonts w:ascii="宋体" w:hAnsi="宋体" w:cs="宋体" w:eastAsia="宋体" w:hint="default"/>
                            <w:sz w:val="18"/>
                            <w:szCs w:val="18"/>
                          </w:rPr>
                        </w:pPr>
                        <w:r>
                          <w:rPr>
                            <w:rFonts w:ascii="宋体" w:hAnsi="宋体" w:cs="宋体" w:eastAsia="宋体" w:hint="default"/>
                            <w:sz w:val="18"/>
                            <w:szCs w:val="18"/>
                          </w:rPr>
                          <w:t>授予数量</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17,806,800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股，授予价格</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11.279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股，锁定期为自首次授予日起</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1"/>
                            <w:sz w:val="18"/>
                            <w:szCs w:val="18"/>
                          </w:rPr>
                          <w:t> </w:t>
                        </w:r>
                        <w:r>
                          <w:rPr>
                            <w:rFonts w:ascii="宋体" w:hAnsi="宋体" w:cs="宋体" w:eastAsia="宋体" w:hint="default"/>
                            <w:spacing w:val="-4"/>
                            <w:sz w:val="18"/>
                            <w:szCs w:val="18"/>
                          </w:rPr>
                          <w:t>个月，锁定期后若达到计划规定的解锁条件，激励对象可分三次申请解锁</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分别自首次授予日起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个月后各申请解锁授予限制</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性股票总量的</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w:t>
                        </w:r>
                        <w:r>
                          <w:rPr>
                            <w:rFonts w:ascii="Times New Roman" w:hAnsi="Times New Roman" w:cs="Times New Roman" w:eastAsia="Times New Roman" w:hint="default"/>
                            <w:sz w:val="18"/>
                            <w:szCs w:val="18"/>
                          </w:rPr>
                          <w:t>1/3</w:t>
                        </w:r>
                        <w:r>
                          <w:rPr>
                            <w:rFonts w:ascii="宋体" w:hAnsi="宋体" w:cs="宋体" w:eastAsia="宋体" w:hint="default"/>
                            <w:sz w:val="18"/>
                            <w:szCs w:val="18"/>
                          </w:rPr>
                          <w:t>。其中首批</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股票已于本年</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年解锁，解锁</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w:t>
                        </w: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价格</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66</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0</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宋体" w:hAnsi="宋体" w:cs="宋体" w:eastAsia="宋体" w:hint="default"/>
                            <w:spacing w:val="-80"/>
                            <w:sz w:val="18"/>
                            <w:szCs w:val="18"/>
                          </w:rPr>
                          <w:t>，</w:t>
                        </w:r>
                        <w:r>
                          <w:rPr>
                            <w:rFonts w:ascii="宋体" w:hAnsi="宋体" w:cs="宋体" w:eastAsia="宋体" w:hint="default"/>
                            <w:sz w:val="18"/>
                            <w:szCs w:val="18"/>
                          </w:rPr>
                          <w:t>第二批</w:t>
                        </w:r>
                        <w:r>
                          <w:rPr>
                            <w:rFonts w:ascii="宋体" w:hAnsi="宋体" w:cs="宋体" w:eastAsia="宋体" w:hint="default"/>
                            <w:spacing w:val="-47"/>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股票已于本年解锁</w:t>
                        </w:r>
                        <w:r>
                          <w:rPr>
                            <w:rFonts w:ascii="宋体" w:hAnsi="宋体" w:cs="宋体" w:eastAsia="宋体" w:hint="default"/>
                            <w:spacing w:val="-80"/>
                            <w:sz w:val="18"/>
                            <w:szCs w:val="18"/>
                          </w:rPr>
                          <w:t>，</w:t>
                        </w:r>
                        <w:r>
                          <w:rPr>
                            <w:rFonts w:ascii="宋体" w:hAnsi="宋体" w:cs="宋体" w:eastAsia="宋体" w:hint="default"/>
                            <w:sz w:val="18"/>
                            <w:szCs w:val="18"/>
                          </w:rPr>
                          <w:t>解锁</w:t>
                        </w:r>
                        <w:r>
                          <w:rPr>
                            <w:rFonts w:ascii="宋体" w:hAnsi="宋体" w:cs="宋体" w:eastAsia="宋体" w:hint="default"/>
                            <w:spacing w:val="-3"/>
                            <w:sz w:val="18"/>
                            <w:szCs w:val="18"/>
                          </w:rPr>
                          <w:t>价</w:t>
                        </w:r>
                        <w:r>
                          <w:rPr>
                            <w:rFonts w:ascii="宋体" w:hAnsi="宋体" w:cs="宋体" w:eastAsia="宋体" w:hint="default"/>
                            <w:sz w:val="18"/>
                            <w:szCs w:val="18"/>
                          </w:rPr>
                          <w:t>格</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63</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3</w:t>
                        </w:r>
                        <w:r>
                          <w:rPr>
                            <w:rFonts w:ascii="Times New Roman" w:hAnsi="Times New Roman" w:cs="Times New Roman" w:eastAsia="Times New Roman" w:hint="default"/>
                            <w:spacing w:val="-2"/>
                            <w:sz w:val="18"/>
                            <w:szCs w:val="18"/>
                          </w:rPr>
                          <w:t>8</w:t>
                        </w:r>
                        <w:r>
                          <w:rPr>
                            <w:rFonts w:ascii="Times New Roman" w:hAnsi="Times New Roman" w:cs="Times New Roman" w:eastAsia="Times New Roman" w:hint="default"/>
                            <w:spacing w:val="1"/>
                            <w:sz w:val="18"/>
                            <w:szCs w:val="18"/>
                          </w:rPr>
                          <w:t>4</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pacing w:val="1"/>
                            <w:sz w:val="18"/>
                            <w:szCs w:val="18"/>
                          </w:rPr>
                          <w:t>5</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
                            <w:sz w:val="18"/>
                            <w:szCs w:val="18"/>
                          </w:rPr>
                          <w:t>7</w:t>
                        </w:r>
                        <w:r>
                          <w:rPr>
                            <w:rFonts w:ascii="Times New Roman" w:hAnsi="Times New Roman" w:cs="Times New Roman" w:eastAsia="Times New Roman" w:hint="default"/>
                            <w:sz w:val="18"/>
                            <w:szCs w:val="18"/>
                          </w:rPr>
                          <w:t>7</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
                          <w:ind w:left="22" w:right="0"/>
                          <w:jc w:val="left"/>
                          <w:rPr>
                            <w:rFonts w:ascii="宋体" w:hAnsi="宋体" w:cs="宋体" w:eastAsia="宋体" w:hint="default"/>
                            <w:sz w:val="18"/>
                            <w:szCs w:val="18"/>
                          </w:rPr>
                        </w:pPr>
                        <w:r>
                          <w:rPr>
                            <w:rFonts w:ascii="宋体" w:hAnsi="宋体" w:cs="宋体" w:eastAsia="宋体" w:hint="default"/>
                            <w:sz w:val="18"/>
                            <w:szCs w:val="18"/>
                          </w:rPr>
                          <w:t>围和合同剩余期限</w:t>
                        </w: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元。预留限制性股票的授予日为</w:t>
                        </w:r>
                        <w:r>
                          <w:rPr>
                            <w:rFonts w:ascii="宋体" w:hAnsi="宋体" w:cs="宋体" w:eastAsia="宋体" w:hint="default"/>
                            <w:spacing w:val="-2"/>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日，授予数量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2,033,000 </w:t>
                        </w:r>
                        <w:r>
                          <w:rPr>
                            <w:rFonts w:ascii="宋体" w:hAnsi="宋体" w:cs="宋体" w:eastAsia="宋体" w:hint="default"/>
                            <w:sz w:val="18"/>
                            <w:szCs w:val="18"/>
                          </w:rPr>
                          <w:t>股</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授予价格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13.87 </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股，锁定期为自本次授予日起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个月，锁定期后若达到</w:t>
                        </w:r>
                      </w:p>
                    </w:tc>
                  </w:tr>
                  <w:tr>
                    <w:trPr>
                      <w:trHeight w:val="307"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计划规定的解锁条件，激励对象可分两次申请解锁，分别自该部分授予日起</w:t>
                        </w:r>
                      </w:p>
                    </w:tc>
                  </w:tr>
                  <w:tr>
                    <w:trPr>
                      <w:trHeight w:val="317"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个月后至授予日起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个月内、授予日起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个月后至授予日起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个月</w:t>
                        </w:r>
                      </w:p>
                    </w:tc>
                  </w:tr>
                  <w:tr>
                    <w:trPr>
                      <w:trHeight w:val="312" w:hRule="exact"/>
                    </w:trPr>
                    <w:tc>
                      <w:tcPr>
                        <w:tcW w:w="3545" w:type="dxa"/>
                        <w:tcBorders>
                          <w:top w:val="nil" w:sz="6" w:space="0" w:color="auto"/>
                          <w:left w:val="single" w:sz="4" w:space="0" w:color="000000"/>
                          <w:bottom w:val="nil" w:sz="6" w:space="0" w:color="auto"/>
                          <w:right w:val="single" w:sz="4" w:space="0" w:color="000000"/>
                        </w:tcBorders>
                        <w:shd w:val="clear" w:color="auto" w:fill="D2D2D2"/>
                      </w:tcPr>
                      <w:p>
                        <w:pPr/>
                      </w:p>
                    </w:tc>
                    <w:tc>
                      <w:tcPr>
                        <w:tcW w:w="60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内各申请解锁授予限制性股票总量的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1/2</w:t>
                        </w:r>
                        <w:r>
                          <w:rPr>
                            <w:rFonts w:ascii="宋体" w:hAnsi="宋体" w:cs="宋体" w:eastAsia="宋体" w:hint="default"/>
                            <w:sz w:val="18"/>
                            <w:szCs w:val="18"/>
                          </w:rPr>
                          <w:t>，其中首批</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股票已于本期</w:t>
                        </w:r>
                      </w:p>
                    </w:tc>
                  </w:tr>
                  <w:tr>
                    <w:trPr>
                      <w:trHeight w:val="355" w:hRule="exact"/>
                    </w:trPr>
                    <w:tc>
                      <w:tcPr>
                        <w:tcW w:w="3545" w:type="dxa"/>
                        <w:tcBorders>
                          <w:top w:val="nil" w:sz="6" w:space="0" w:color="auto"/>
                          <w:left w:val="single" w:sz="4" w:space="0" w:color="000000"/>
                          <w:bottom w:val="single" w:sz="4" w:space="0" w:color="000000"/>
                          <w:right w:val="single" w:sz="4" w:space="0" w:color="000000"/>
                        </w:tcBorders>
                        <w:shd w:val="clear" w:color="auto" w:fill="D2D2D2"/>
                      </w:tcPr>
                      <w:p>
                        <w:pPr/>
                      </w:p>
                    </w:tc>
                    <w:tc>
                      <w:tcPr>
                        <w:tcW w:w="602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23" w:right="0"/>
                          <w:jc w:val="left"/>
                          <w:rPr>
                            <w:rFonts w:ascii="宋体" w:hAnsi="宋体" w:cs="宋体" w:eastAsia="宋体" w:hint="default"/>
                            <w:sz w:val="18"/>
                            <w:szCs w:val="18"/>
                          </w:rPr>
                        </w:pPr>
                        <w:r>
                          <w:rPr>
                            <w:rFonts w:ascii="宋体" w:hAnsi="宋体" w:cs="宋体" w:eastAsia="宋体" w:hint="default"/>
                            <w:sz w:val="18"/>
                            <w:szCs w:val="18"/>
                          </w:rPr>
                          <w:t>本年解锁，解锁价格 </w:t>
                        </w:r>
                        <w:r>
                          <w:rPr>
                            <w:rFonts w:ascii="Times New Roman" w:hAnsi="Times New Roman" w:cs="Times New Roman" w:eastAsia="Times New Roman" w:hint="default"/>
                            <w:sz w:val="18"/>
                            <w:szCs w:val="18"/>
                          </w:rPr>
                          <w:t>14,649,498.85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715"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2" w:right="9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 的范围和合同剩余期限</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BodyText"/>
        <w:spacing w:line="240" w:lineRule="auto" w:before="44"/>
        <w:ind w:left="0" w:right="153"/>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pStyle w:val="BodyText"/>
        <w:spacing w:line="240" w:lineRule="auto" w:before="44"/>
        <w:ind w:right="0"/>
        <w:jc w:val="left"/>
      </w:pPr>
      <w:r>
        <w:rPr/>
        <w:t>其他说明</w:t>
      </w:r>
    </w:p>
    <w:p>
      <w:pPr>
        <w:spacing w:line="240" w:lineRule="auto" w:before="5"/>
        <w:rPr>
          <w:rFonts w:ascii="宋体" w:hAnsi="宋体" w:cs="宋体" w:eastAsia="宋体" w:hint="default"/>
          <w:sz w:val="13"/>
          <w:szCs w:val="13"/>
        </w:rPr>
      </w:pPr>
    </w:p>
    <w:p>
      <w:pPr>
        <w:pStyle w:val="BodyText"/>
        <w:spacing w:line="240" w:lineRule="auto"/>
        <w:ind w:left="513" w:right="0"/>
        <w:jc w:val="left"/>
      </w:pPr>
      <w:r>
        <w:rPr/>
        <w:t>本公司下属子公司</w:t>
      </w:r>
      <w:r>
        <w:rPr>
          <w:rFonts w:ascii="Times New Roman" w:hAnsi="Times New Roman" w:cs="Times New Roman" w:eastAsia="Times New Roman" w:hint="default"/>
        </w:rPr>
        <w:t>Mapbar Technology</w:t>
      </w:r>
      <w:r>
        <w:rPr>
          <w:rFonts w:ascii="Times New Roman" w:hAnsi="Times New Roman" w:cs="Times New Roman" w:eastAsia="Times New Roman" w:hint="default"/>
          <w:spacing w:val="-6"/>
        </w:rPr>
        <w:t> </w:t>
      </w:r>
      <w:r>
        <w:rPr>
          <w:rFonts w:ascii="Times New Roman" w:hAnsi="Times New Roman" w:cs="Times New Roman" w:eastAsia="Times New Roman" w:hint="default"/>
        </w:rPr>
        <w:t>Limited</w:t>
      </w:r>
      <w:r>
        <w:rPr/>
        <w:t>股份支付总体情况</w:t>
      </w:r>
    </w:p>
    <w:p>
      <w:pPr>
        <w:spacing w:line="240" w:lineRule="auto" w:before="5"/>
        <w:rPr>
          <w:rFonts w:ascii="宋体" w:hAnsi="宋体" w:cs="宋体" w:eastAsia="宋体" w:hint="default"/>
          <w:sz w:val="13"/>
          <w:szCs w:val="13"/>
        </w:rPr>
      </w:pPr>
    </w:p>
    <w:tbl>
      <w:tblPr>
        <w:tblW w:w="0" w:type="auto"/>
        <w:jc w:val="left"/>
        <w:tblInd w:w="145" w:type="dxa"/>
        <w:tblLayout w:type="fixed"/>
        <w:tblCellMar>
          <w:top w:w="0" w:type="dxa"/>
          <w:left w:w="0" w:type="dxa"/>
          <w:bottom w:w="0" w:type="dxa"/>
          <w:right w:w="0" w:type="dxa"/>
        </w:tblCellMar>
        <w:tblLook w:val="01E0"/>
      </w:tblPr>
      <w:tblGrid>
        <w:gridCol w:w="4679"/>
        <w:gridCol w:w="4962"/>
      </w:tblGrid>
      <w:tr>
        <w:trPr>
          <w:trHeight w:val="348" w:hRule="exact"/>
        </w:trPr>
        <w:tc>
          <w:tcPr>
            <w:tcW w:w="467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4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情况</w:t>
            </w:r>
          </w:p>
        </w:tc>
      </w:tr>
      <w:tr>
        <w:trPr>
          <w:trHeight w:val="346" w:hRule="exact"/>
        </w:trPr>
        <w:tc>
          <w:tcPr>
            <w:tcW w:w="467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公司本年授予的各项权益工具总额</w:t>
            </w:r>
          </w:p>
        </w:tc>
        <w:tc>
          <w:tcPr>
            <w:tcW w:w="4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9" w:hRule="exact"/>
        </w:trPr>
        <w:tc>
          <w:tcPr>
            <w:tcW w:w="467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公司本年行权的各项权益工具总额</w:t>
            </w:r>
          </w:p>
        </w:tc>
        <w:tc>
          <w:tcPr>
            <w:tcW w:w="4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1"/>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6" w:hRule="exact"/>
        </w:trPr>
        <w:tc>
          <w:tcPr>
            <w:tcW w:w="467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公司本年失效的各项权益工具总额</w:t>
            </w:r>
          </w:p>
        </w:tc>
        <w:tc>
          <w:tcPr>
            <w:tcW w:w="4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69,061.71</w:t>
            </w:r>
          </w:p>
        </w:tc>
      </w:tr>
      <w:tr>
        <w:trPr>
          <w:trHeight w:val="660" w:hRule="exact"/>
        </w:trPr>
        <w:tc>
          <w:tcPr>
            <w:tcW w:w="467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0"/>
              <w:ind w:left="4" w:right="157"/>
              <w:jc w:val="left"/>
              <w:rPr>
                <w:rFonts w:ascii="宋体" w:hAnsi="宋体" w:cs="宋体" w:eastAsia="宋体" w:hint="default"/>
                <w:sz w:val="18"/>
                <w:szCs w:val="18"/>
              </w:rPr>
            </w:pPr>
            <w:r>
              <w:rPr>
                <w:rFonts w:ascii="宋体" w:hAnsi="宋体" w:cs="宋体" w:eastAsia="宋体" w:hint="default"/>
                <w:sz w:val="18"/>
                <w:szCs w:val="18"/>
              </w:rPr>
              <w:t>公司年末发行在外的股份期权行权价格的范围和合同剩余 期限</w:t>
            </w:r>
          </w:p>
        </w:tc>
        <w:tc>
          <w:tcPr>
            <w:tcW w:w="4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right"/>
              <w:rPr>
                <w:rFonts w:ascii="宋体" w:hAnsi="宋体" w:cs="宋体" w:eastAsia="宋体" w:hint="default"/>
                <w:sz w:val="18"/>
                <w:szCs w:val="18"/>
              </w:rPr>
            </w:pPr>
            <w:r>
              <w:rPr>
                <w:rFonts w:ascii="宋体" w:hAnsi="宋体" w:cs="宋体" w:eastAsia="宋体" w:hint="default"/>
                <w:sz w:val="18"/>
                <w:szCs w:val="18"/>
              </w:rPr>
              <w:t>无</w:t>
            </w:r>
          </w:p>
        </w:tc>
      </w:tr>
      <w:tr>
        <w:trPr>
          <w:trHeight w:val="348" w:hRule="exact"/>
        </w:trPr>
        <w:tc>
          <w:tcPr>
            <w:tcW w:w="467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7"/>
              <w:ind w:left="4" w:right="0"/>
              <w:jc w:val="left"/>
              <w:rPr>
                <w:rFonts w:ascii="宋体" w:hAnsi="宋体" w:cs="宋体" w:eastAsia="宋体" w:hint="default"/>
                <w:sz w:val="18"/>
                <w:szCs w:val="18"/>
              </w:rPr>
            </w:pPr>
            <w:r>
              <w:rPr>
                <w:rFonts w:ascii="宋体" w:hAnsi="宋体" w:cs="宋体" w:eastAsia="宋体" w:hint="default"/>
                <w:sz w:val="18"/>
                <w:szCs w:val="18"/>
              </w:rPr>
              <w:t>公司年末其他权益工具行权价格的范围和合同剩余期限</w:t>
            </w:r>
          </w:p>
        </w:tc>
        <w:tc>
          <w:tcPr>
            <w:tcW w:w="49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
              <w:ind w:right="-1"/>
              <w:jc w:val="righ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2</w:t>
      </w:r>
      <w:r>
        <w:rPr/>
        <w:t>、以权益结算的股份支付情况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51"/>
        <w:jc w:val="right"/>
      </w:pPr>
      <w:r>
        <w:rPr/>
        <w:t>单位：</w:t>
      </w:r>
      <w:r>
        <w:rPr>
          <w:spacing w:val="1"/>
        </w:rPr>
        <w:t> </w:t>
      </w:r>
      <w:r>
        <w:rPr/>
        <w:t>元</w:t>
      </w:r>
    </w:p>
    <w:p>
      <w:pPr>
        <w:spacing w:after="0" w:line="240" w:lineRule="auto"/>
        <w:jc w:val="right"/>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以布莱克</w:t>
            </w:r>
            <w:r>
              <w:rPr>
                <w:rFonts w:ascii="Times New Roman" w:hAnsi="Times New Roman" w:cs="Times New Roman" w:eastAsia="Times New Roman" w:hint="default"/>
                <w:sz w:val="18"/>
                <w:szCs w:val="18"/>
              </w:rPr>
              <w:t>-</w:t>
            </w:r>
            <w:r>
              <w:rPr>
                <w:rFonts w:ascii="宋体" w:hAnsi="宋体" w:cs="宋体" w:eastAsia="宋体" w:hint="default"/>
                <w:sz w:val="18"/>
                <w:szCs w:val="18"/>
              </w:rPr>
              <w:t>斯科尔斯期权定价模型为基础计算确定</w:t>
            </w:r>
          </w:p>
        </w:tc>
      </w:tr>
      <w:tr>
        <w:trPr>
          <w:trHeight w:val="714"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0"/>
              <w:ind w:left="23" w:right="51"/>
              <w:jc w:val="left"/>
              <w:rPr>
                <w:rFonts w:ascii="宋体" w:hAnsi="宋体" w:cs="宋体" w:eastAsia="宋体" w:hint="default"/>
                <w:sz w:val="18"/>
                <w:szCs w:val="18"/>
              </w:rPr>
            </w:pPr>
            <w:r>
              <w:rPr>
                <w:rFonts w:ascii="宋体" w:hAnsi="宋体" w:cs="宋体" w:eastAsia="宋体" w:hint="default"/>
                <w:sz w:val="18"/>
                <w:szCs w:val="18"/>
              </w:rPr>
              <w:t>公司根据最新取得的可行权人数并预期后续变动，及对未 来年度业绩完成情况的预测进行确定</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2"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120,889,099.69</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25,854,047.86</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w:t>
      </w:r>
      <w:r>
        <w:rPr/>
        <w:t>、以现金结算的股份支付情况</w:t>
      </w:r>
      <w:r>
        <w:rPr>
          <w:b w:val="0"/>
          <w:bCs w:val="0"/>
        </w:rPr>
      </w:r>
    </w:p>
    <w:p>
      <w:pPr>
        <w:spacing w:line="240" w:lineRule="auto" w:before="2"/>
        <w:rPr>
          <w:rFonts w:ascii="宋体" w:hAnsi="宋体" w:cs="宋体" w:eastAsia="宋体" w:hint="default"/>
          <w:b/>
          <w:bCs/>
          <w:sz w:val="26"/>
          <w:szCs w:val="26"/>
        </w:rPr>
      </w:pPr>
    </w:p>
    <w:p>
      <w:pPr>
        <w:spacing w:line="547" w:lineRule="auto" w:before="0"/>
        <w:ind w:left="152" w:right="694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不适用 </w:t>
      </w:r>
      <w:r>
        <w:rPr>
          <w:rFonts w:ascii="Times New Roman" w:hAnsi="Times New Roman" w:cs="Times New Roman" w:eastAsia="Times New Roman" w:hint="default"/>
          <w:b/>
          <w:bCs/>
          <w:spacing w:val="-1"/>
          <w:sz w:val="21"/>
          <w:szCs w:val="21"/>
        </w:rPr>
        <w:t>4</w:t>
      </w:r>
      <w:r>
        <w:rPr>
          <w:rFonts w:ascii="宋体" w:hAnsi="宋体" w:cs="宋体" w:eastAsia="宋体" w:hint="default"/>
          <w:b/>
          <w:bCs/>
          <w:spacing w:val="-1"/>
          <w:sz w:val="21"/>
          <w:szCs w:val="21"/>
        </w:rPr>
        <w:t>、股份支付的修改、终止情况</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z w:val="18"/>
          <w:szCs w:val="18"/>
        </w:rPr>
        <w:t>无</w:t>
      </w:r>
    </w:p>
    <w:p>
      <w:pPr>
        <w:pStyle w:val="Heading5"/>
        <w:spacing w:line="240" w:lineRule="auto" w:before="125"/>
        <w:ind w:right="0"/>
        <w:jc w:val="left"/>
        <w:rPr>
          <w:b w:val="0"/>
          <w:bCs w:val="0"/>
        </w:rPr>
      </w:pPr>
      <w:r>
        <w:rPr>
          <w:rFonts w:ascii="Times New Roman" w:hAnsi="Times New Roman" w:cs="Times New Roman" w:eastAsia="Times New Roman" w:hint="default"/>
        </w:rPr>
        <w:t>5</w:t>
      </w:r>
      <w:r>
        <w:rPr/>
        <w:t>、其他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spacing w:line="506" w:lineRule="auto" w:before="0"/>
        <w:ind w:left="152" w:right="7365" w:firstLine="0"/>
        <w:jc w:val="left"/>
        <w:rPr>
          <w:rFonts w:ascii="宋体" w:hAnsi="宋体" w:cs="宋体" w:eastAsia="宋体" w:hint="default"/>
          <w:sz w:val="18"/>
          <w:szCs w:val="18"/>
        </w:rPr>
      </w:pPr>
      <w:r>
        <w:rPr>
          <w:rFonts w:ascii="宋体" w:hAnsi="宋体" w:cs="宋体" w:eastAsia="宋体" w:hint="default"/>
          <w:b/>
          <w:bCs/>
          <w:sz w:val="24"/>
          <w:szCs w:val="24"/>
        </w:rPr>
        <w:t>十四、承诺及或有事项</w:t>
      </w:r>
      <w:r>
        <w:rPr>
          <w:rFonts w:ascii="宋体" w:hAnsi="宋体" w:cs="宋体" w:eastAsia="宋体" w:hint="default"/>
          <w:b/>
          <w:bCs/>
          <w:w w:val="99"/>
          <w:sz w:val="24"/>
          <w:szCs w:val="24"/>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b/>
          <w:bCs/>
          <w:spacing w:val="-103"/>
          <w:sz w:val="21"/>
          <w:szCs w:val="21"/>
        </w:rPr>
        <w:t> </w:t>
      </w:r>
      <w:r>
        <w:rPr>
          <w:rFonts w:ascii="宋体" w:hAnsi="宋体" w:cs="宋体" w:eastAsia="宋体" w:hint="default"/>
          <w:sz w:val="18"/>
          <w:szCs w:val="18"/>
        </w:rPr>
        <w:t>资产负债表日存在的重要承诺</w:t>
      </w:r>
    </w:p>
    <w:p>
      <w:pPr>
        <w:pStyle w:val="BodyText"/>
        <w:spacing w:line="412" w:lineRule="auto"/>
        <w:ind w:left="513" w:right="543" w:hanging="144"/>
        <w:jc w:val="left"/>
      </w:pPr>
      <w:r>
        <w:rPr/>
        <w:t>（</w:t>
      </w:r>
      <w:r>
        <w:rPr>
          <w:rFonts w:ascii="Times New Roman" w:hAnsi="Times New Roman" w:cs="Times New Roman" w:eastAsia="Times New Roman" w:hint="default"/>
        </w:rPr>
        <w:t>1</w:t>
      </w:r>
      <w:r>
        <w:rPr/>
        <w:t>）已签订的正在或准备履行的租赁合同及财务影响 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(T)</w:t>
      </w:r>
      <w:r>
        <w:rPr/>
        <w:t>，本集团就经营用房等项目之不可撤销经营租赁和融资租赁所需于下列期间承担款项如下：</w:t>
      </w:r>
    </w:p>
    <w:p>
      <w:pPr>
        <w:spacing w:line="240" w:lineRule="auto" w:before="5"/>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3121"/>
        <w:gridCol w:w="3008"/>
        <w:gridCol w:w="3373"/>
      </w:tblGrid>
      <w:tr>
        <w:trPr>
          <w:trHeight w:val="343"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7" w:right="0"/>
              <w:jc w:val="left"/>
              <w:rPr>
                <w:rFonts w:ascii="宋体" w:hAnsi="宋体" w:cs="宋体" w:eastAsia="宋体" w:hint="default"/>
                <w:sz w:val="20"/>
                <w:szCs w:val="20"/>
              </w:rPr>
            </w:pPr>
            <w:r>
              <w:rPr>
                <w:rFonts w:ascii="宋体" w:hAnsi="宋体" w:cs="宋体" w:eastAsia="宋体" w:hint="default"/>
                <w:b/>
                <w:bCs/>
                <w:sz w:val="20"/>
                <w:szCs w:val="20"/>
              </w:rPr>
              <w:t>期间</w:t>
            </w:r>
            <w:r>
              <w:rPr>
                <w:rFonts w:ascii="宋体" w:hAnsi="宋体" w:cs="宋体" w:eastAsia="宋体" w:hint="default"/>
                <w:sz w:val="20"/>
                <w:szCs w:val="20"/>
              </w:rPr>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1" w:right="0"/>
              <w:jc w:val="center"/>
              <w:rPr>
                <w:rFonts w:ascii="宋体" w:hAnsi="宋体" w:cs="宋体" w:eastAsia="宋体" w:hint="default"/>
                <w:sz w:val="20"/>
                <w:szCs w:val="20"/>
              </w:rPr>
            </w:pPr>
            <w:r>
              <w:rPr>
                <w:rFonts w:ascii="宋体" w:hAnsi="宋体" w:cs="宋体" w:eastAsia="宋体" w:hint="default"/>
                <w:b/>
                <w:bCs/>
                <w:sz w:val="20"/>
                <w:szCs w:val="20"/>
              </w:rPr>
              <w:t>经营租赁</w:t>
            </w:r>
            <w:r>
              <w:rPr>
                <w:rFonts w:ascii="宋体" w:hAnsi="宋体" w:cs="宋体" w:eastAsia="宋体" w:hint="default"/>
                <w:sz w:val="20"/>
                <w:szCs w:val="20"/>
              </w:rPr>
            </w: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1" w:right="0"/>
              <w:jc w:val="center"/>
              <w:rPr>
                <w:rFonts w:ascii="宋体" w:hAnsi="宋体" w:cs="宋体" w:eastAsia="宋体" w:hint="default"/>
                <w:sz w:val="20"/>
                <w:szCs w:val="20"/>
              </w:rPr>
            </w:pPr>
            <w:r>
              <w:rPr>
                <w:rFonts w:ascii="宋体" w:hAnsi="宋体" w:cs="宋体" w:eastAsia="宋体" w:hint="default"/>
                <w:b/>
                <w:bCs/>
                <w:sz w:val="20"/>
                <w:szCs w:val="20"/>
              </w:rPr>
              <w:t>融资租赁</w:t>
            </w:r>
            <w:r>
              <w:rPr>
                <w:rFonts w:ascii="宋体" w:hAnsi="宋体" w:cs="宋体" w:eastAsia="宋体" w:hint="default"/>
                <w:sz w:val="20"/>
                <w:szCs w:val="20"/>
              </w:rPr>
            </w:r>
          </w:p>
        </w:tc>
      </w:tr>
      <w:tr>
        <w:trPr>
          <w:trHeight w:val="341"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7"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T+1</w:t>
            </w:r>
            <w:r>
              <w:rPr>
                <w:rFonts w:ascii="宋体" w:hAnsi="宋体" w:cs="宋体" w:eastAsia="宋体" w:hint="default"/>
                <w:sz w:val="20"/>
                <w:szCs w:val="20"/>
              </w:rPr>
              <w:t>年</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3"/>
              <w:jc w:val="right"/>
              <w:rPr>
                <w:rFonts w:ascii="Times New Roman" w:hAnsi="Times New Roman" w:cs="Times New Roman" w:eastAsia="Times New Roman" w:hint="default"/>
                <w:sz w:val="20"/>
                <w:szCs w:val="20"/>
              </w:rPr>
            </w:pPr>
            <w:r>
              <w:rPr>
                <w:rFonts w:ascii="Times New Roman"/>
                <w:w w:val="95"/>
                <w:sz w:val="20"/>
              </w:rPr>
              <w:t>26,344,794.34</w:t>
            </w:r>
            <w:r>
              <w:rPr>
                <w:rFonts w:ascii="Times New Roman"/>
                <w:sz w:val="20"/>
              </w:rPr>
            </w: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
              <w:jc w:val="right"/>
              <w:rPr>
                <w:rFonts w:ascii="Times New Roman" w:hAnsi="Times New Roman" w:cs="Times New Roman" w:eastAsia="Times New Roman" w:hint="default"/>
                <w:sz w:val="20"/>
                <w:szCs w:val="20"/>
              </w:rPr>
            </w:pPr>
            <w:r>
              <w:rPr>
                <w:rFonts w:ascii="Times New Roman"/>
                <w:sz w:val="20"/>
              </w:rPr>
              <w:t>0.00</w:t>
            </w:r>
          </w:p>
        </w:tc>
      </w:tr>
      <w:tr>
        <w:trPr>
          <w:trHeight w:val="343"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7"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T+2</w:t>
            </w:r>
            <w:r>
              <w:rPr>
                <w:rFonts w:ascii="宋体" w:hAnsi="宋体" w:cs="宋体" w:eastAsia="宋体" w:hint="default"/>
                <w:sz w:val="20"/>
                <w:szCs w:val="20"/>
              </w:rPr>
              <w:t>年</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
              <w:jc w:val="right"/>
              <w:rPr>
                <w:rFonts w:ascii="Times New Roman" w:hAnsi="Times New Roman" w:cs="Times New Roman" w:eastAsia="Times New Roman" w:hint="default"/>
                <w:sz w:val="20"/>
                <w:szCs w:val="20"/>
              </w:rPr>
            </w:pPr>
            <w:r>
              <w:rPr>
                <w:rFonts w:ascii="Times New Roman"/>
                <w:w w:val="95"/>
                <w:sz w:val="20"/>
              </w:rPr>
              <w:t>19,851,399.21</w:t>
            </w:r>
            <w:r>
              <w:rPr>
                <w:rFonts w:ascii="Times New Roman"/>
                <w:sz w:val="20"/>
              </w:rPr>
            </w: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right"/>
              <w:rPr>
                <w:rFonts w:ascii="Times New Roman" w:hAnsi="Times New Roman" w:cs="Times New Roman" w:eastAsia="Times New Roman" w:hint="default"/>
                <w:sz w:val="20"/>
                <w:szCs w:val="20"/>
              </w:rPr>
            </w:pPr>
            <w:r>
              <w:rPr>
                <w:rFonts w:ascii="Times New Roman"/>
                <w:sz w:val="20"/>
              </w:rPr>
              <w:t>0.00</w:t>
            </w:r>
          </w:p>
        </w:tc>
      </w:tr>
      <w:tr>
        <w:trPr>
          <w:trHeight w:val="341"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left="7"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T+3</w:t>
            </w:r>
            <w:r>
              <w:rPr>
                <w:rFonts w:ascii="宋体" w:hAnsi="宋体" w:cs="宋体" w:eastAsia="宋体" w:hint="default"/>
                <w:sz w:val="20"/>
                <w:szCs w:val="20"/>
              </w:rPr>
              <w:t>年</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3"/>
              <w:jc w:val="right"/>
              <w:rPr>
                <w:rFonts w:ascii="Times New Roman" w:hAnsi="Times New Roman" w:cs="Times New Roman" w:eastAsia="Times New Roman" w:hint="default"/>
                <w:sz w:val="20"/>
                <w:szCs w:val="20"/>
              </w:rPr>
            </w:pPr>
            <w:r>
              <w:rPr>
                <w:rFonts w:ascii="Times New Roman"/>
                <w:w w:val="95"/>
                <w:sz w:val="20"/>
              </w:rPr>
              <w:t>11,579,971.77</w:t>
            </w:r>
            <w:r>
              <w:rPr>
                <w:rFonts w:ascii="Times New Roman"/>
                <w:sz w:val="20"/>
              </w:rPr>
            </w: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
              <w:jc w:val="right"/>
              <w:rPr>
                <w:rFonts w:ascii="Times New Roman" w:hAnsi="Times New Roman" w:cs="Times New Roman" w:eastAsia="Times New Roman" w:hint="default"/>
                <w:sz w:val="20"/>
                <w:szCs w:val="20"/>
              </w:rPr>
            </w:pPr>
            <w:r>
              <w:rPr>
                <w:rFonts w:ascii="Times New Roman"/>
                <w:sz w:val="20"/>
              </w:rPr>
              <w:t>0.00</w:t>
            </w:r>
          </w:p>
        </w:tc>
      </w:tr>
      <w:tr>
        <w:trPr>
          <w:trHeight w:val="343"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left="7"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T+3</w:t>
            </w:r>
            <w:r>
              <w:rPr>
                <w:rFonts w:ascii="宋体" w:hAnsi="宋体" w:cs="宋体" w:eastAsia="宋体" w:hint="default"/>
                <w:sz w:val="20"/>
                <w:szCs w:val="20"/>
              </w:rPr>
              <w:t>年以后</w:t>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
              <w:jc w:val="right"/>
              <w:rPr>
                <w:rFonts w:ascii="Times New Roman" w:hAnsi="Times New Roman" w:cs="Times New Roman" w:eastAsia="Times New Roman" w:hint="default"/>
                <w:sz w:val="20"/>
                <w:szCs w:val="20"/>
              </w:rPr>
            </w:pPr>
            <w:r>
              <w:rPr>
                <w:rFonts w:ascii="Times New Roman"/>
                <w:w w:val="95"/>
                <w:sz w:val="20"/>
              </w:rPr>
              <w:t>12,901,752.24</w:t>
            </w:r>
            <w:r>
              <w:rPr>
                <w:rFonts w:ascii="Times New Roman"/>
                <w:sz w:val="20"/>
              </w:rPr>
            </w: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right"/>
              <w:rPr>
                <w:rFonts w:ascii="Times New Roman" w:hAnsi="Times New Roman" w:cs="Times New Roman" w:eastAsia="Times New Roman" w:hint="default"/>
                <w:sz w:val="20"/>
                <w:szCs w:val="20"/>
              </w:rPr>
            </w:pPr>
            <w:r>
              <w:rPr>
                <w:rFonts w:ascii="Times New Roman"/>
                <w:sz w:val="20"/>
              </w:rPr>
              <w:t>0.00</w:t>
            </w:r>
          </w:p>
        </w:tc>
      </w:tr>
      <w:tr>
        <w:trPr>
          <w:trHeight w:val="344"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left="7" w:right="0"/>
              <w:jc w:val="left"/>
              <w:rPr>
                <w:rFonts w:ascii="宋体" w:hAnsi="宋体" w:cs="宋体" w:eastAsia="宋体" w:hint="default"/>
                <w:sz w:val="20"/>
                <w:szCs w:val="20"/>
              </w:rPr>
            </w:pPr>
            <w:r>
              <w:rPr>
                <w:rFonts w:ascii="宋体" w:hAnsi="宋体" w:cs="宋体" w:eastAsia="宋体" w:hint="default"/>
                <w:b/>
                <w:bCs/>
                <w:sz w:val="20"/>
                <w:szCs w:val="20"/>
              </w:rPr>
              <w:t>合计</w:t>
            </w:r>
            <w:r>
              <w:rPr>
                <w:rFonts w:ascii="宋体" w:hAnsi="宋体" w:cs="宋体" w:eastAsia="宋体" w:hint="default"/>
                <w:sz w:val="20"/>
                <w:szCs w:val="20"/>
              </w:rPr>
            </w:r>
          </w:p>
        </w:tc>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
              <w:jc w:val="right"/>
              <w:rPr>
                <w:rFonts w:ascii="Times New Roman" w:hAnsi="Times New Roman" w:cs="Times New Roman" w:eastAsia="Times New Roman" w:hint="default"/>
                <w:sz w:val="20"/>
                <w:szCs w:val="20"/>
              </w:rPr>
            </w:pPr>
            <w:r>
              <w:rPr>
                <w:rFonts w:ascii="Times New Roman"/>
                <w:b/>
                <w:w w:val="95"/>
                <w:sz w:val="20"/>
              </w:rPr>
              <w:t>70,677,917.56</w:t>
            </w:r>
            <w:r>
              <w:rPr>
                <w:rFonts w:ascii="Times New Roman"/>
                <w:sz w:val="20"/>
              </w:rPr>
            </w:r>
          </w:p>
        </w:tc>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
              <w:jc w:val="right"/>
              <w:rPr>
                <w:rFonts w:ascii="Times New Roman" w:hAnsi="Times New Roman" w:cs="Times New Roman" w:eastAsia="Times New Roman" w:hint="default"/>
                <w:sz w:val="20"/>
                <w:szCs w:val="20"/>
              </w:rPr>
            </w:pPr>
            <w:r>
              <w:rPr>
                <w:rFonts w:ascii="Times New Roman"/>
                <w:b/>
                <w:sz w:val="20"/>
              </w:rPr>
              <w:t>0.00</w:t>
            </w:r>
            <w:r>
              <w:rPr>
                <w:rFonts w:ascii="Times New Roman"/>
                <w:sz w:val="20"/>
              </w:rPr>
            </w:r>
          </w:p>
        </w:tc>
      </w:tr>
    </w:tbl>
    <w:p>
      <w:pPr>
        <w:spacing w:line="240" w:lineRule="auto" w:before="5"/>
        <w:rPr>
          <w:rFonts w:ascii="宋体" w:hAnsi="宋体" w:cs="宋体" w:eastAsia="宋体" w:hint="default"/>
          <w:sz w:val="6"/>
          <w:szCs w:val="6"/>
        </w:rPr>
      </w:pPr>
    </w:p>
    <w:p>
      <w:pPr>
        <w:pStyle w:val="BodyText"/>
        <w:spacing w:line="415" w:lineRule="auto" w:before="44"/>
        <w:ind w:left="513" w:right="2933" w:hanging="361"/>
        <w:jc w:val="left"/>
      </w:pPr>
      <w:r>
        <w:rPr/>
        <w:t>（</w:t>
      </w:r>
      <w:r>
        <w:rPr>
          <w:rFonts w:ascii="Times New Roman" w:hAnsi="Times New Roman" w:cs="Times New Roman" w:eastAsia="Times New Roman" w:hint="default"/>
        </w:rPr>
        <w:t>2</w:t>
      </w:r>
      <w:r>
        <w:rPr/>
        <w:t>）前期承诺履行情况 截止至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日，本集团未发生不履行已签订租赁合同等承诺事项的情况。</w:t>
      </w:r>
    </w:p>
    <w:p>
      <w:pPr>
        <w:pStyle w:val="BodyText"/>
        <w:spacing w:line="240" w:lineRule="auto" w:before="37"/>
        <w:ind w:right="0"/>
        <w:jc w:val="left"/>
      </w:pPr>
      <w:r>
        <w:rPr/>
        <w:t>（</w:t>
      </w:r>
      <w:r>
        <w:rPr>
          <w:rFonts w:ascii="Times New Roman" w:hAnsi="Times New Roman" w:cs="Times New Roman" w:eastAsia="Times New Roman" w:hint="default"/>
        </w:rPr>
        <w:t>3</w:t>
      </w:r>
      <w:r>
        <w:rPr/>
        <w:t>）除上述承诺事项外，截至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日，本集团不存在应披露未披露的其他重大承诺事项。</w:t>
      </w:r>
    </w:p>
    <w:p>
      <w:pPr>
        <w:spacing w:after="0" w:line="240" w:lineRule="auto"/>
        <w:jc w:val="left"/>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公司不存在需要披露的重要或有事项。</w:t>
      </w:r>
    </w:p>
    <w:p>
      <w:pPr>
        <w:spacing w:line="240" w:lineRule="auto" w:before="0"/>
        <w:rPr>
          <w:rFonts w:ascii="宋体" w:hAnsi="宋体" w:cs="宋体" w:eastAsia="宋体" w:hint="default"/>
          <w:sz w:val="18"/>
          <w:szCs w:val="18"/>
        </w:rPr>
      </w:pPr>
    </w:p>
    <w:p>
      <w:pPr>
        <w:pStyle w:val="Heading5"/>
        <w:spacing w:line="240" w:lineRule="auto" w:before="118"/>
        <w:ind w:right="0"/>
        <w:jc w:val="left"/>
        <w:rPr>
          <w:b w:val="0"/>
          <w:bCs w:val="0"/>
        </w:rPr>
      </w:pPr>
      <w:r>
        <w:rPr>
          <w:rFonts w:ascii="Times New Roman" w:hAnsi="Times New Roman" w:cs="Times New Roman" w:eastAsia="Times New Roman" w:hint="default"/>
        </w:rPr>
        <w:t>3</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十五、资产负债表日后事项</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、重要的非调整事项</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2</w:t>
      </w:r>
      <w:r>
        <w:rPr/>
        <w:t>、利润分配情况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2"/>
        <w:gridCol w:w="4587"/>
      </w:tblGrid>
      <w:tr>
        <w:trPr>
          <w:trHeight w:val="404"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55,097,259.55</w:t>
            </w:r>
          </w:p>
        </w:tc>
      </w:tr>
      <w:tr>
        <w:trPr>
          <w:trHeight w:val="403" w:hRule="exact"/>
        </w:trPr>
        <w:tc>
          <w:tcPr>
            <w:tcW w:w="4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55,097,259.55</w:t>
            </w:r>
          </w:p>
        </w:tc>
      </w:tr>
    </w:tbl>
    <w:p>
      <w:pPr>
        <w:spacing w:line="240" w:lineRule="auto" w:before="3"/>
        <w:rPr>
          <w:rFonts w:ascii="宋体" w:hAnsi="宋体" w:cs="宋体" w:eastAsia="宋体" w:hint="default"/>
          <w:sz w:val="19"/>
          <w:szCs w:val="19"/>
        </w:rPr>
      </w:pPr>
    </w:p>
    <w:p>
      <w:pPr>
        <w:pStyle w:val="Heading5"/>
        <w:spacing w:line="240" w:lineRule="auto" w:before="36"/>
        <w:ind w:right="0"/>
        <w:jc w:val="both"/>
        <w:rPr>
          <w:b w:val="0"/>
          <w:bCs w:val="0"/>
        </w:rPr>
      </w:pPr>
      <w:r>
        <w:rPr>
          <w:rFonts w:ascii="Times New Roman" w:hAnsi="Times New Roman" w:cs="Times New Roman" w:eastAsia="Times New Roman" w:hint="default"/>
        </w:rPr>
        <w:t>3</w:t>
      </w:r>
      <w:r>
        <w:rPr/>
        <w:t>、销售退回</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both"/>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both"/>
        <w:rPr>
          <w:b w:val="0"/>
          <w:bCs w:val="0"/>
        </w:rPr>
      </w:pPr>
      <w:r>
        <w:rPr>
          <w:rFonts w:ascii="宋体" w:hAnsi="宋体" w:cs="宋体" w:eastAsia="宋体" w:hint="default"/>
        </w:rPr>
        <w:t>3</w:t>
      </w:r>
      <w:r>
        <w:rPr/>
        <w:t>、</w:t>
      </w:r>
      <w:r>
        <w:rPr>
          <w:spacing w:val="-49"/>
        </w:rPr>
        <w:t> </w:t>
      </w:r>
      <w:r>
        <w:rPr/>
        <w:t>其他资产负债表日后事项说明</w:t>
      </w:r>
      <w:r>
        <w:rPr>
          <w:b w:val="0"/>
          <w:bCs w:val="0"/>
        </w:rPr>
      </w:r>
    </w:p>
    <w:p>
      <w:pPr>
        <w:spacing w:line="240" w:lineRule="auto" w:before="7"/>
        <w:rPr>
          <w:rFonts w:ascii="宋体" w:hAnsi="宋体" w:cs="宋体" w:eastAsia="宋体" w:hint="default"/>
          <w:b/>
          <w:bCs/>
          <w:sz w:val="27"/>
          <w:szCs w:val="27"/>
        </w:rPr>
      </w:pPr>
    </w:p>
    <w:p>
      <w:pPr>
        <w:pStyle w:val="BodyText"/>
        <w:spacing w:line="240" w:lineRule="auto"/>
        <w:ind w:left="513" w:right="0"/>
        <w:jc w:val="left"/>
      </w:pPr>
      <w:r>
        <w:rPr/>
        <w:t>（</w:t>
      </w:r>
      <w:r>
        <w:rPr>
          <w:rFonts w:ascii="Times New Roman" w:hAnsi="Times New Roman" w:cs="Times New Roman" w:eastAsia="Times New Roman" w:hint="default"/>
          <w:spacing w:val="1"/>
        </w:rPr>
        <w:t>1</w:t>
      </w:r>
      <w:r>
        <w:rPr>
          <w:spacing w:val="-10"/>
        </w:rPr>
        <w:t>）</w:t>
      </w:r>
      <w:r>
        <w:rPr>
          <w:rFonts w:ascii="Times New Roman" w:hAnsi="Times New Roman" w:cs="Times New Roman" w:eastAsia="Times New Roman" w:hint="default"/>
          <w:spacing w:val="1"/>
        </w:rPr>
        <w:t>2</w:t>
      </w:r>
      <w:r>
        <w:rPr>
          <w:rFonts w:ascii="Times New Roman" w:hAnsi="Times New Roman" w:cs="Times New Roman" w:eastAsia="Times New Roman" w:hint="default"/>
          <w:spacing w:val="-2"/>
        </w:rPr>
        <w:t>01</w:t>
      </w:r>
      <w:r>
        <w:rPr>
          <w:rFonts w:ascii="Times New Roman" w:hAnsi="Times New Roman" w:cs="Times New Roman" w:eastAsia="Times New Roman" w:hint="default"/>
        </w:rPr>
        <w:t>8</w:t>
      </w:r>
      <w:r>
        <w:rPr>
          <w:rFonts w:ascii="Times New Roman" w:hAnsi="Times New Roman" w:cs="Times New Roman" w:eastAsia="Times New Roman" w:hint="default"/>
          <w:spacing w:val="1"/>
        </w:rPr>
        <w:t> </w:t>
      </w:r>
      <w:r>
        <w:rPr/>
        <w:t>年</w:t>
      </w:r>
      <w:r>
        <w:rPr>
          <w:spacing w:val="-47"/>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spacing w:val="-2"/>
        </w:rPr>
        <w:t>2</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日</w:t>
      </w:r>
      <w:r>
        <w:rPr>
          <w:spacing w:val="-10"/>
        </w:rPr>
        <w:t>，</w:t>
      </w:r>
      <w:r>
        <w:rPr/>
        <w:t>公</w:t>
      </w:r>
      <w:r>
        <w:rPr>
          <w:spacing w:val="-3"/>
        </w:rPr>
        <w:t>司</w:t>
      </w:r>
      <w:r>
        <w:rPr/>
        <w:t>第四届董事会第七次会议审议通过</w:t>
      </w:r>
      <w:r>
        <w:rPr>
          <w:spacing w:val="-10"/>
        </w:rPr>
        <w:t>了</w:t>
      </w:r>
      <w:r>
        <w:rPr/>
        <w:t>《关于回购注销部分限制性股票的议案</w:t>
      </w:r>
      <w:r>
        <w:rPr>
          <w:spacing w:val="-92"/>
        </w:rPr>
        <w:t>》</w:t>
      </w:r>
      <w:r>
        <w:rPr>
          <w:spacing w:val="-10"/>
        </w:rPr>
        <w:t>，</w:t>
      </w:r>
      <w:r>
        <w:rPr/>
        <w:t>同意对因</w:t>
      </w:r>
    </w:p>
    <w:p>
      <w:pPr>
        <w:pStyle w:val="BodyText"/>
        <w:spacing w:line="300" w:lineRule="auto" w:before="63"/>
        <w:ind w:right="152"/>
        <w:jc w:val="both"/>
      </w:pPr>
      <w:r>
        <w:rPr/>
        <w:t>离职已不符合激励条件的原激励对象杨津萍等</w:t>
      </w:r>
      <w:r>
        <w:rPr>
          <w:spacing w:val="-45"/>
        </w:rPr>
        <w:t> </w:t>
      </w:r>
      <w:r>
        <w:rPr>
          <w:rFonts w:ascii="Times New Roman" w:hAnsi="Times New Roman" w:cs="Times New Roman" w:eastAsia="Times New Roman" w:hint="default"/>
        </w:rPr>
        <w:t>14 </w:t>
      </w:r>
      <w:r>
        <w:rPr/>
        <w:t>人已获授但尚未解锁的限制性股票共计</w:t>
      </w:r>
      <w:r>
        <w:rPr>
          <w:spacing w:val="-46"/>
        </w:rPr>
        <w:t> </w:t>
      </w:r>
      <w:r>
        <w:rPr>
          <w:rFonts w:ascii="Times New Roman" w:hAnsi="Times New Roman" w:cs="Times New Roman" w:eastAsia="Times New Roman" w:hint="default"/>
        </w:rPr>
        <w:t>22.55</w:t>
      </w:r>
      <w:r>
        <w:rPr>
          <w:rFonts w:ascii="Times New Roman" w:hAnsi="Times New Roman" w:cs="Times New Roman" w:eastAsia="Times New Roman" w:hint="default"/>
          <w:spacing w:val="1"/>
        </w:rPr>
        <w:t> </w:t>
      </w:r>
      <w:r>
        <w:rPr/>
        <w:t>万股进行回购注销，占股权 激励限售股比例的</w:t>
      </w:r>
      <w:r>
        <w:rPr>
          <w:spacing w:val="-57"/>
        </w:rPr>
        <w:t> </w:t>
      </w:r>
      <w:r>
        <w:rPr>
          <w:rFonts w:ascii="Times New Roman" w:hAnsi="Times New Roman" w:cs="Times New Roman" w:eastAsia="Times New Roman" w:hint="default"/>
        </w:rPr>
        <w:t>2.2281%</w:t>
      </w:r>
      <w:r>
        <w:rPr/>
        <w:t>，占公司股本总额的</w:t>
      </w:r>
      <w:r>
        <w:rPr>
          <w:spacing w:val="-57"/>
        </w:rPr>
        <w:t> </w:t>
      </w:r>
      <w:r>
        <w:rPr>
          <w:rFonts w:ascii="Times New Roman" w:hAnsi="Times New Roman" w:cs="Times New Roman" w:eastAsia="Times New Roman" w:hint="default"/>
        </w:rPr>
        <w:t>0.0176%</w:t>
      </w:r>
      <w:r>
        <w:rPr/>
        <w:t>，回购价格为限制性股票发行时授予价格经转增和派发现金后的调 整价格，即</w:t>
      </w:r>
      <w:r>
        <w:rPr>
          <w:spacing w:val="-47"/>
        </w:rPr>
        <w:t> </w:t>
      </w:r>
      <w:r>
        <w:rPr>
          <w:rFonts w:ascii="Times New Roman" w:hAnsi="Times New Roman" w:cs="Times New Roman" w:eastAsia="Times New Roman" w:hint="default"/>
        </w:rPr>
        <w:t>7.4457</w:t>
      </w:r>
      <w:r>
        <w:rPr>
          <w:rFonts w:ascii="Times New Roman" w:hAnsi="Times New Roman" w:cs="Times New Roman" w:eastAsia="Times New Roman" w:hint="default"/>
          <w:spacing w:val="-1"/>
        </w:rPr>
        <w:t> </w:t>
      </w:r>
      <w:r>
        <w:rPr/>
        <w:t>元</w:t>
      </w:r>
      <w:r>
        <w:rPr>
          <w:rFonts w:ascii="Times New Roman" w:hAnsi="Times New Roman" w:cs="Times New Roman" w:eastAsia="Times New Roman" w:hint="default"/>
        </w:rPr>
        <w:t>/</w:t>
      </w:r>
      <w:r>
        <w:rPr/>
        <w:t>股。本次限制性股票回购注销后，公司股权激励计划授予的限制性股票数量调整为</w:t>
      </w:r>
      <w:r>
        <w:rPr>
          <w:spacing w:val="-46"/>
        </w:rPr>
        <w:t> </w:t>
      </w:r>
      <w:r>
        <w:rPr>
          <w:rFonts w:ascii="Times New Roman" w:hAnsi="Times New Roman" w:cs="Times New Roman" w:eastAsia="Times New Roman" w:hint="default"/>
        </w:rPr>
        <w:t>989.515</w:t>
      </w:r>
      <w:r>
        <w:rPr>
          <w:rFonts w:ascii="Times New Roman" w:hAnsi="Times New Roman" w:cs="Times New Roman" w:eastAsia="Times New Roman" w:hint="default"/>
          <w:spacing w:val="-1"/>
        </w:rPr>
        <w:t> </w:t>
      </w:r>
      <w:r>
        <w:rPr/>
        <w:t>万股，激</w:t>
      </w:r>
    </w:p>
    <w:p>
      <w:pPr>
        <w:pStyle w:val="BodyText"/>
        <w:spacing w:line="240" w:lineRule="auto" w:before="13"/>
        <w:ind w:right="0"/>
        <w:jc w:val="both"/>
      </w:pPr>
      <w:r>
        <w:rPr/>
        <w:t>励对象由</w:t>
      </w:r>
      <w:r>
        <w:rPr>
          <w:spacing w:val="-47"/>
        </w:rPr>
        <w:t> </w:t>
      </w:r>
      <w:r>
        <w:rPr>
          <w:rFonts w:ascii="Times New Roman" w:hAnsi="Times New Roman" w:cs="Times New Roman" w:eastAsia="Times New Roman" w:hint="default"/>
        </w:rPr>
        <w:t>535</w:t>
      </w:r>
      <w:r>
        <w:rPr>
          <w:rFonts w:ascii="Times New Roman" w:hAnsi="Times New Roman" w:cs="Times New Roman" w:eastAsia="Times New Roman" w:hint="default"/>
          <w:spacing w:val="-2"/>
        </w:rPr>
        <w:t> </w:t>
      </w:r>
      <w:r>
        <w:rPr/>
        <w:t>名调整为</w:t>
      </w:r>
      <w:r>
        <w:rPr>
          <w:spacing w:val="-50"/>
        </w:rPr>
        <w:t> </w:t>
      </w:r>
      <w:r>
        <w:rPr>
          <w:rFonts w:ascii="Times New Roman" w:hAnsi="Times New Roman" w:cs="Times New Roman" w:eastAsia="Times New Roman" w:hint="default"/>
        </w:rPr>
        <w:t>521</w:t>
      </w:r>
      <w:r>
        <w:rPr>
          <w:rFonts w:ascii="Times New Roman" w:hAnsi="Times New Roman" w:cs="Times New Roman" w:eastAsia="Times New Roman" w:hint="default"/>
          <w:spacing w:val="-2"/>
        </w:rPr>
        <w:t> </w:t>
      </w:r>
      <w:r>
        <w:rPr/>
        <w:t>名，股本总额由</w:t>
      </w:r>
      <w:r>
        <w:rPr>
          <w:spacing w:val="-47"/>
        </w:rPr>
        <w:t> </w:t>
      </w:r>
      <w:r>
        <w:rPr>
          <w:rFonts w:ascii="Times New Roman" w:hAnsi="Times New Roman" w:cs="Times New Roman" w:eastAsia="Times New Roman" w:hint="default"/>
        </w:rPr>
        <w:t>1,282,615,013 </w:t>
      </w:r>
      <w:r>
        <w:rPr/>
        <w:t>股调整为</w:t>
      </w:r>
      <w:r>
        <w:rPr>
          <w:spacing w:val="-48"/>
        </w:rPr>
        <w:t> </w:t>
      </w:r>
      <w:r>
        <w:rPr>
          <w:rFonts w:ascii="Times New Roman" w:hAnsi="Times New Roman" w:cs="Times New Roman" w:eastAsia="Times New Roman" w:hint="default"/>
        </w:rPr>
        <w:t>1,282,389,513 </w:t>
      </w:r>
      <w:r>
        <w:rPr/>
        <w:t>股。</w:t>
      </w:r>
    </w:p>
    <w:p>
      <w:pPr>
        <w:pStyle w:val="BodyText"/>
        <w:spacing w:line="240" w:lineRule="auto" w:before="101"/>
        <w:ind w:left="513" w:right="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9"/>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47"/>
        </w:rPr>
        <w:t> </w:t>
      </w:r>
      <w:r>
        <w:rPr>
          <w:rFonts w:ascii="Times New Roman" w:hAnsi="Times New Roman" w:cs="Times New Roman" w:eastAsia="Times New Roman" w:hint="default"/>
        </w:rPr>
        <w:t>24</w:t>
      </w:r>
      <w:r>
        <w:rPr>
          <w:rFonts w:ascii="Times New Roman" w:hAnsi="Times New Roman" w:cs="Times New Roman" w:eastAsia="Times New Roman" w:hint="default"/>
          <w:spacing w:val="-1"/>
        </w:rPr>
        <w:t> </w:t>
      </w:r>
      <w:r>
        <w:rPr/>
        <w:t>日，公司第四届董事会第七次会议审议通过了《关于</w:t>
      </w:r>
      <w:r>
        <w:rPr>
          <w:rFonts w:ascii="Times New Roman" w:hAnsi="Times New Roman" w:cs="Times New Roman" w:eastAsia="Times New Roman" w:hint="default"/>
        </w:rPr>
        <w:t>&lt;</w:t>
      </w:r>
      <w:r>
        <w:rPr/>
        <w:t>北京四维图新科技股份有限公司</w:t>
      </w:r>
      <w:r>
        <w:rPr>
          <w:spacing w:val="-46"/>
        </w:rPr>
        <w:t> </w:t>
      </w:r>
      <w:r>
        <w:rPr>
          <w:rFonts w:ascii="Times New Roman" w:hAnsi="Times New Roman" w:cs="Times New Roman" w:eastAsia="Times New Roman" w:hint="default"/>
        </w:rPr>
        <w:t>2018 </w:t>
      </w:r>
      <w:r>
        <w:rPr/>
        <w:t>年度</w:t>
      </w:r>
    </w:p>
    <w:p>
      <w:pPr>
        <w:pStyle w:val="BodyText"/>
        <w:spacing w:line="300" w:lineRule="auto" w:before="63"/>
        <w:ind w:right="149"/>
        <w:jc w:val="both"/>
      </w:pPr>
      <w:r>
        <w:rPr>
          <w:spacing w:val="-4"/>
        </w:rPr>
        <w:t>限制性股票激励计划</w:t>
      </w:r>
      <w:r>
        <w:rPr>
          <w:rFonts w:ascii="Times New Roman" w:hAnsi="Times New Roman" w:cs="Times New Roman" w:eastAsia="Times New Roman" w:hint="default"/>
          <w:spacing w:val="-4"/>
        </w:rPr>
        <w:t>(</w:t>
      </w:r>
      <w:r>
        <w:rPr>
          <w:spacing w:val="-4"/>
        </w:rPr>
        <w:t>草案</w:t>
      </w:r>
      <w:r>
        <w:rPr>
          <w:rFonts w:ascii="Times New Roman" w:hAnsi="Times New Roman" w:cs="Times New Roman" w:eastAsia="Times New Roman" w:hint="default"/>
          <w:spacing w:val="-4"/>
        </w:rPr>
        <w:t>)</w:t>
      </w:r>
      <w:r>
        <w:rPr>
          <w:spacing w:val="-4"/>
        </w:rPr>
        <w:t>修订稿</w:t>
      </w:r>
      <w:r>
        <w:rPr>
          <w:rFonts w:ascii="Times New Roman" w:hAnsi="Times New Roman" w:cs="Times New Roman" w:eastAsia="Times New Roman" w:hint="default"/>
          <w:spacing w:val="-4"/>
        </w:rPr>
        <w:t>&gt;</w:t>
      </w:r>
      <w:r>
        <w:rPr>
          <w:spacing w:val="-4"/>
        </w:rPr>
        <w:t>的议案》。公司拟向激励对象共计</w:t>
      </w:r>
      <w:r>
        <w:rPr>
          <w:spacing w:val="-36"/>
        </w:rPr>
        <w:t> </w:t>
      </w:r>
      <w:r>
        <w:rPr>
          <w:rFonts w:ascii="Times New Roman" w:hAnsi="Times New Roman" w:cs="Times New Roman" w:eastAsia="Times New Roman" w:hint="default"/>
        </w:rPr>
        <w:t>385</w:t>
      </w:r>
      <w:r>
        <w:rPr>
          <w:rFonts w:ascii="Times New Roman" w:hAnsi="Times New Roman" w:cs="Times New Roman" w:eastAsia="Times New Roman" w:hint="default"/>
          <w:spacing w:val="9"/>
        </w:rPr>
        <w:t> </w:t>
      </w:r>
      <w:r>
        <w:rPr>
          <w:spacing w:val="-2"/>
        </w:rPr>
        <w:t>人，授予限制性股票合计</w:t>
      </w:r>
      <w:r>
        <w:rPr>
          <w:spacing w:val="-37"/>
        </w:rPr>
        <w:t> </w:t>
      </w:r>
      <w:r>
        <w:rPr>
          <w:rFonts w:ascii="Times New Roman" w:hAnsi="Times New Roman" w:cs="Times New Roman" w:eastAsia="Times New Roman" w:hint="default"/>
          <w:spacing w:val="-1"/>
        </w:rPr>
        <w:t>3,100.00</w:t>
      </w:r>
      <w:r>
        <w:rPr>
          <w:rFonts w:ascii="Times New Roman" w:hAnsi="Times New Roman" w:cs="Times New Roman" w:eastAsia="Times New Roman" w:hint="default"/>
          <w:spacing w:val="12"/>
        </w:rPr>
        <w:t> </w:t>
      </w:r>
      <w:r>
        <w:rPr>
          <w:spacing w:val="-3"/>
        </w:rPr>
        <w:t>万股，占公司当</w:t>
      </w:r>
      <w:r>
        <w:rPr>
          <w:spacing w:val="-86"/>
        </w:rPr>
        <w:t> </w:t>
      </w:r>
      <w:r>
        <w:rPr>
          <w:spacing w:val="-86"/>
        </w:rPr>
      </w:r>
      <w:r>
        <w:rPr/>
        <w:t>前股本的</w:t>
      </w:r>
      <w:r>
        <w:rPr>
          <w:spacing w:val="-54"/>
        </w:rPr>
        <w:t> </w:t>
      </w:r>
      <w:r>
        <w:rPr>
          <w:rFonts w:ascii="Times New Roman" w:hAnsi="Times New Roman" w:cs="Times New Roman" w:eastAsia="Times New Roman" w:hint="default"/>
        </w:rPr>
        <w:t>2.42%</w:t>
      </w:r>
      <w:r>
        <w:rPr/>
        <w:t>，授予价格为每股</w:t>
      </w:r>
      <w:r>
        <w:rPr>
          <w:spacing w:val="-55"/>
        </w:rPr>
        <w:t> </w:t>
      </w:r>
      <w:r>
        <w:rPr>
          <w:rFonts w:ascii="Times New Roman" w:hAnsi="Times New Roman" w:cs="Times New Roman" w:eastAsia="Times New Roman" w:hint="default"/>
        </w:rPr>
        <w:t>12.15</w:t>
      </w:r>
      <w:r>
        <w:rPr>
          <w:rFonts w:ascii="Times New Roman" w:hAnsi="Times New Roman" w:cs="Times New Roman" w:eastAsia="Times New Roman" w:hint="default"/>
          <w:spacing w:val="-8"/>
        </w:rPr>
        <w:t> </w:t>
      </w:r>
      <w:r>
        <w:rPr/>
        <w:t>元，股票来源为公司向激励对象定向发行</w:t>
      </w:r>
      <w:r>
        <w:rPr>
          <w:spacing w:val="-55"/>
        </w:rPr>
        <w:t> </w:t>
      </w:r>
      <w:r>
        <w:rPr>
          <w:rFonts w:ascii="Times New Roman" w:hAnsi="Times New Roman" w:cs="Times New Roman" w:eastAsia="Times New Roman" w:hint="default"/>
        </w:rPr>
        <w:t>A</w:t>
      </w:r>
      <w:r>
        <w:rPr>
          <w:rFonts w:ascii="Times New Roman" w:hAnsi="Times New Roman" w:cs="Times New Roman" w:eastAsia="Times New Roman" w:hint="default"/>
          <w:spacing w:val="-12"/>
        </w:rPr>
        <w:t> </w:t>
      </w:r>
      <w:r>
        <w:rPr/>
        <w:t>股普通股。此次激励对象包括公司在任 的高级管理人员、核心管理、技术、业务骨干人员，总人数为</w:t>
      </w:r>
      <w:r>
        <w:rPr>
          <w:spacing w:val="-46"/>
        </w:rPr>
        <w:t> </w:t>
      </w:r>
      <w:r>
        <w:rPr>
          <w:rFonts w:ascii="Times New Roman" w:hAnsi="Times New Roman" w:cs="Times New Roman" w:eastAsia="Times New Roman" w:hint="default"/>
        </w:rPr>
        <w:t>385</w:t>
      </w:r>
      <w:r>
        <w:rPr>
          <w:rFonts w:ascii="Times New Roman" w:hAnsi="Times New Roman" w:cs="Times New Roman" w:eastAsia="Times New Roman" w:hint="default"/>
          <w:spacing w:val="-1"/>
        </w:rPr>
        <w:t> </w:t>
      </w:r>
      <w:r>
        <w:rPr/>
        <w:t>人。其中，高级管理人员共</w:t>
      </w:r>
      <w:r>
        <w:rPr>
          <w:spacing w:val="-47"/>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人拟获授</w:t>
      </w:r>
      <w:r>
        <w:rPr>
          <w:spacing w:val="-49"/>
        </w:rPr>
        <w:t> </w:t>
      </w:r>
      <w:r>
        <w:rPr>
          <w:rFonts w:ascii="Times New Roman" w:hAnsi="Times New Roman" w:cs="Times New Roman" w:eastAsia="Times New Roman" w:hint="default"/>
        </w:rPr>
        <w:t>500.00 </w:t>
      </w:r>
      <w:r>
        <w:rPr/>
        <w:t>万股，占</w:t>
      </w:r>
    </w:p>
    <w:p>
      <w:pPr>
        <w:pStyle w:val="BodyText"/>
        <w:spacing w:line="300" w:lineRule="auto" w:before="13"/>
        <w:ind w:right="151"/>
        <w:jc w:val="both"/>
      </w:pPr>
      <w:r>
        <w:rPr/>
        <w:t>比</w:t>
      </w:r>
      <w:r>
        <w:rPr>
          <w:spacing w:val="-51"/>
        </w:rPr>
        <w:t> </w:t>
      </w:r>
      <w:r>
        <w:rPr>
          <w:rFonts w:ascii="Times New Roman" w:hAnsi="Times New Roman" w:cs="Times New Roman" w:eastAsia="Times New Roman" w:hint="default"/>
        </w:rPr>
        <w:t>16.13%</w:t>
      </w:r>
      <w:r>
        <w:rPr/>
        <w:t>；核心管理人员、核心业务骨干人员共计</w:t>
      </w:r>
      <w:r>
        <w:rPr>
          <w:spacing w:val="-51"/>
        </w:rPr>
        <w:t> </w:t>
      </w:r>
      <w:r>
        <w:rPr>
          <w:rFonts w:ascii="Times New Roman" w:hAnsi="Times New Roman" w:cs="Times New Roman" w:eastAsia="Times New Roman" w:hint="default"/>
        </w:rPr>
        <w:t>376</w:t>
      </w:r>
      <w:r>
        <w:rPr>
          <w:rFonts w:ascii="Times New Roman" w:hAnsi="Times New Roman" w:cs="Times New Roman" w:eastAsia="Times New Roman" w:hint="default"/>
          <w:spacing w:val="-6"/>
        </w:rPr>
        <w:t> </w:t>
      </w:r>
      <w:r>
        <w:rPr/>
        <w:t>人拟获授</w:t>
      </w:r>
      <w:r>
        <w:rPr>
          <w:spacing w:val="-52"/>
        </w:rPr>
        <w:t> </w:t>
      </w:r>
      <w:r>
        <w:rPr>
          <w:rFonts w:ascii="Times New Roman" w:hAnsi="Times New Roman" w:cs="Times New Roman" w:eastAsia="Times New Roman" w:hint="default"/>
        </w:rPr>
        <w:t>2,445.00</w:t>
      </w:r>
      <w:r>
        <w:rPr>
          <w:rFonts w:ascii="Times New Roman" w:hAnsi="Times New Roman" w:cs="Times New Roman" w:eastAsia="Times New Roman" w:hint="default"/>
          <w:spacing w:val="-5"/>
        </w:rPr>
        <w:t> </w:t>
      </w:r>
      <w:r>
        <w:rPr>
          <w:spacing w:val="-3"/>
        </w:rPr>
        <w:t>万股，占比</w:t>
      </w:r>
      <w:r>
        <w:rPr>
          <w:spacing w:val="-52"/>
        </w:rPr>
        <w:t> </w:t>
      </w:r>
      <w:r>
        <w:rPr>
          <w:rFonts w:ascii="Times New Roman" w:hAnsi="Times New Roman" w:cs="Times New Roman" w:eastAsia="Times New Roman" w:hint="default"/>
        </w:rPr>
        <w:t>78.87%</w:t>
      </w:r>
      <w:r>
        <w:rPr/>
        <w:t>；预留部分为</w:t>
      </w:r>
      <w:r>
        <w:rPr>
          <w:spacing w:val="-51"/>
        </w:rPr>
        <w:t> </w:t>
      </w:r>
      <w:r>
        <w:rPr>
          <w:rFonts w:ascii="Times New Roman" w:hAnsi="Times New Roman" w:cs="Times New Roman" w:eastAsia="Times New Roman" w:hint="default"/>
        </w:rPr>
        <w:t>155.00</w:t>
      </w:r>
      <w:r>
        <w:rPr>
          <w:rFonts w:ascii="Times New Roman" w:hAnsi="Times New Roman" w:cs="Times New Roman" w:eastAsia="Times New Roman" w:hint="default"/>
          <w:spacing w:val="-6"/>
        </w:rPr>
        <w:t> </w:t>
      </w:r>
      <w:r>
        <w:rPr>
          <w:spacing w:val="-5"/>
        </w:rPr>
        <w:t>万股，占</w:t>
      </w:r>
      <w:r>
        <w:rPr/>
        <w:t> 比</w:t>
      </w:r>
      <w:r>
        <w:rPr>
          <w:spacing w:val="-46"/>
        </w:rPr>
        <w:t> </w:t>
      </w:r>
      <w:r>
        <w:rPr>
          <w:rFonts w:ascii="Times New Roman" w:hAnsi="Times New Roman" w:cs="Times New Roman" w:eastAsia="Times New Roman" w:hint="default"/>
        </w:rPr>
        <w:t>5.00%</w:t>
      </w:r>
      <w:r>
        <w:rPr/>
        <w:t>。</w:t>
      </w:r>
    </w:p>
    <w:p>
      <w:pPr>
        <w:pStyle w:val="BodyText"/>
        <w:spacing w:line="240" w:lineRule="auto" w:before="53"/>
        <w:ind w:left="513" w:right="0"/>
        <w:jc w:val="left"/>
      </w:pPr>
      <w:r>
        <w:rPr/>
        <w:t>限制性股票的授予价格为每股</w:t>
      </w:r>
      <w:r>
        <w:rPr>
          <w:spacing w:val="-47"/>
        </w:rPr>
        <w:t> </w:t>
      </w:r>
      <w:r>
        <w:rPr>
          <w:rFonts w:ascii="Times New Roman" w:hAnsi="Times New Roman" w:cs="Times New Roman" w:eastAsia="Times New Roman" w:hint="default"/>
        </w:rPr>
        <w:t>12.15 </w:t>
      </w:r>
      <w:r>
        <w:rPr/>
        <w:t>元，即满足授予条件后，激励对象可以每股</w:t>
      </w:r>
      <w:r>
        <w:rPr>
          <w:spacing w:val="-47"/>
        </w:rPr>
        <w:t> </w:t>
      </w:r>
      <w:r>
        <w:rPr>
          <w:rFonts w:ascii="Times New Roman" w:hAnsi="Times New Roman" w:cs="Times New Roman" w:eastAsia="Times New Roman" w:hint="default"/>
        </w:rPr>
        <w:t>12.15 </w:t>
      </w:r>
      <w:r>
        <w:rPr/>
        <w:t>元的价格购买公司向激励对象增</w:t>
      </w:r>
    </w:p>
    <w:p>
      <w:pPr>
        <w:spacing w:after="0" w:line="240" w:lineRule="auto"/>
        <w:jc w:val="left"/>
        <w:sectPr>
          <w:pgSz w:w="11910" w:h="16840"/>
          <w:pgMar w:header="745" w:footer="979" w:top="1060" w:bottom="1160" w:left="980" w:right="980"/>
        </w:sectPr>
      </w:pPr>
    </w:p>
    <w:p>
      <w:pPr>
        <w:spacing w:line="240" w:lineRule="auto" w:before="9"/>
        <w:rPr>
          <w:rFonts w:ascii="宋体" w:hAnsi="宋体" w:cs="宋体" w:eastAsia="宋体" w:hint="default"/>
          <w:sz w:val="25"/>
          <w:szCs w:val="25"/>
        </w:rPr>
      </w:pPr>
    </w:p>
    <w:p>
      <w:pPr>
        <w:pStyle w:val="BodyText"/>
        <w:spacing w:line="300" w:lineRule="auto" w:before="44"/>
        <w:ind w:right="102"/>
        <w:jc w:val="left"/>
      </w:pPr>
      <w:r>
        <w:rPr/>
        <w:t>发的公司限制性股票。完成授予登记之日起</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spacing w:val="-5"/>
        </w:rPr>
        <w:t>个月、</w:t>
      </w:r>
      <w:r>
        <w:rPr>
          <w:rFonts w:ascii="Times New Roman" w:hAnsi="Times New Roman" w:cs="Times New Roman" w:eastAsia="Times New Roman" w:hint="default"/>
          <w:spacing w:val="-5"/>
        </w:rPr>
        <w:t>24</w:t>
      </w:r>
      <w:r>
        <w:rPr>
          <w:rFonts w:ascii="Times New Roman" w:hAnsi="Times New Roman" w:cs="Times New Roman" w:eastAsia="Times New Roman" w:hint="default"/>
          <w:spacing w:val="-6"/>
        </w:rPr>
        <w:t> </w:t>
      </w:r>
      <w:r>
        <w:rPr>
          <w:spacing w:val="-5"/>
        </w:rPr>
        <w:t>个月、</w:t>
      </w:r>
      <w:r>
        <w:rPr>
          <w:rFonts w:ascii="Times New Roman" w:hAnsi="Times New Roman" w:cs="Times New Roman" w:eastAsia="Times New Roman" w:hint="default"/>
          <w:spacing w:val="-5"/>
        </w:rPr>
        <w:t>36</w:t>
      </w:r>
      <w:r>
        <w:rPr>
          <w:rFonts w:ascii="Times New Roman" w:hAnsi="Times New Roman" w:cs="Times New Roman" w:eastAsia="Times New Roman" w:hint="default"/>
          <w:spacing w:val="-6"/>
        </w:rPr>
        <w:t> </w:t>
      </w:r>
      <w:r>
        <w:rPr/>
        <w:t>个月为标的股票锁定期，激励对象根据计划持有的标的股 票将被锁定且不得以任何形式转让、用于担保、质押或偿还债务。首次授予的限制性股票解锁业绩条件为：以</w:t>
      </w:r>
      <w:r>
        <w:rPr>
          <w:spacing w:val="-4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年净利 润为基数，公司</w:t>
      </w:r>
      <w:r>
        <w:rPr>
          <w:spacing w:val="-37"/>
        </w:rPr>
        <w:t> </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t>年至</w:t>
      </w:r>
      <w:r>
        <w:rPr>
          <w:spacing w:val="-38"/>
        </w:rPr>
        <w:t> </w:t>
      </w:r>
      <w:r>
        <w:rPr>
          <w:rFonts w:ascii="Times New Roman" w:hAnsi="Times New Roman" w:cs="Times New Roman" w:eastAsia="Times New Roman" w:hint="default"/>
        </w:rPr>
        <w:t>2020</w:t>
      </w:r>
      <w:r>
        <w:rPr>
          <w:rFonts w:ascii="Times New Roman" w:hAnsi="Times New Roman" w:cs="Times New Roman" w:eastAsia="Times New Roman" w:hint="default"/>
          <w:spacing w:val="9"/>
        </w:rPr>
        <w:t> </w:t>
      </w:r>
      <w:r>
        <w:rPr/>
        <w:t>年净利润增长率分别不低于</w:t>
      </w:r>
      <w:r>
        <w:rPr>
          <w:spacing w:val="-37"/>
        </w:rPr>
        <w:t> </w:t>
      </w:r>
      <w:r>
        <w:rPr>
          <w:rFonts w:ascii="Times New Roman" w:hAnsi="Times New Roman" w:cs="Times New Roman" w:eastAsia="Times New Roman" w:hint="default"/>
        </w:rPr>
        <w:t>15.00%</w:t>
      </w:r>
      <w:r>
        <w:rPr/>
        <w:t>、</w:t>
      </w:r>
      <w:r>
        <w:rPr>
          <w:rFonts w:ascii="Times New Roman" w:hAnsi="Times New Roman" w:cs="Times New Roman" w:eastAsia="Times New Roman" w:hint="default"/>
        </w:rPr>
        <w:t>25.00%</w:t>
      </w:r>
      <w:r>
        <w:rPr/>
        <w:t>和</w:t>
      </w:r>
      <w:r>
        <w:rPr>
          <w:spacing w:val="-38"/>
        </w:rPr>
        <w:t> </w:t>
      </w:r>
      <w:r>
        <w:rPr>
          <w:rFonts w:ascii="Times New Roman" w:hAnsi="Times New Roman" w:cs="Times New Roman" w:eastAsia="Times New Roman" w:hint="default"/>
        </w:rPr>
        <w:t>35.00%</w:t>
      </w:r>
      <w:r>
        <w:rPr/>
        <w:t>，净资产收益率分别不低于</w:t>
      </w:r>
      <w:r>
        <w:rPr>
          <w:spacing w:val="-32"/>
        </w:rPr>
        <w:t> </w:t>
      </w:r>
      <w:r>
        <w:rPr>
          <w:rFonts w:ascii="Times New Roman" w:hAnsi="Times New Roman" w:cs="Times New Roman" w:eastAsia="Times New Roman" w:hint="default"/>
        </w:rPr>
        <w:t>4.50%</w:t>
      </w:r>
      <w:r>
        <w:rPr/>
        <w:t>、</w:t>
      </w:r>
      <w:r>
        <w:rPr>
          <w:spacing w:val="-87"/>
        </w:rPr>
        <w:t> </w:t>
      </w:r>
      <w:r>
        <w:rPr>
          <w:rFonts w:ascii="Times New Roman" w:hAnsi="Times New Roman" w:cs="Times New Roman" w:eastAsia="Times New Roman" w:hint="default"/>
          <w:spacing w:val="-3"/>
        </w:rPr>
        <w:t>4.60%</w:t>
      </w:r>
      <w:r>
        <w:rPr>
          <w:spacing w:val="-3"/>
        </w:rPr>
        <w:t>、</w:t>
      </w:r>
      <w:r>
        <w:rPr>
          <w:rFonts w:ascii="Times New Roman" w:hAnsi="Times New Roman" w:cs="Times New Roman" w:eastAsia="Times New Roman" w:hint="default"/>
          <w:spacing w:val="-3"/>
        </w:rPr>
        <w:t>4.70%</w:t>
      </w:r>
      <w:r>
        <w:rPr>
          <w:spacing w:val="-3"/>
        </w:rPr>
        <w:t>，解锁比例分别为</w:t>
      </w:r>
      <w:r>
        <w:rPr>
          <w:spacing w:val="-38"/>
        </w:rPr>
        <w:t> </w:t>
      </w:r>
      <w:r>
        <w:rPr>
          <w:rFonts w:ascii="Times New Roman" w:hAnsi="Times New Roman" w:cs="Times New Roman" w:eastAsia="Times New Roman" w:hint="default"/>
          <w:spacing w:val="-3"/>
        </w:rPr>
        <w:t>40.00%</w:t>
      </w:r>
      <w:r>
        <w:rPr>
          <w:spacing w:val="-3"/>
        </w:rPr>
        <w:t>、</w:t>
      </w:r>
      <w:r>
        <w:rPr>
          <w:rFonts w:ascii="Times New Roman" w:hAnsi="Times New Roman" w:cs="Times New Roman" w:eastAsia="Times New Roman" w:hint="default"/>
          <w:spacing w:val="-3"/>
        </w:rPr>
        <w:t>30.00%</w:t>
      </w:r>
      <w:r>
        <w:rPr>
          <w:spacing w:val="-3"/>
        </w:rPr>
        <w:t>、</w:t>
      </w:r>
      <w:r>
        <w:rPr>
          <w:rFonts w:ascii="Times New Roman" w:hAnsi="Times New Roman" w:cs="Times New Roman" w:eastAsia="Times New Roman" w:hint="default"/>
          <w:spacing w:val="-3"/>
        </w:rPr>
        <w:t>30.00%</w:t>
      </w:r>
      <w:r>
        <w:rPr>
          <w:spacing w:val="-3"/>
        </w:rPr>
        <w:t>。预留的限制性股票解锁业绩条件为：以</w:t>
      </w:r>
      <w:r>
        <w:rPr>
          <w:spacing w:val="-37"/>
        </w:rPr>
        <w:t> </w:t>
      </w:r>
      <w:r>
        <w:rPr>
          <w:rFonts w:ascii="Times New Roman" w:hAnsi="Times New Roman" w:cs="Times New Roman" w:eastAsia="Times New Roman" w:hint="default"/>
        </w:rPr>
        <w:t>2017</w:t>
      </w:r>
      <w:r>
        <w:rPr>
          <w:rFonts w:ascii="Times New Roman" w:hAnsi="Times New Roman" w:cs="Times New Roman" w:eastAsia="Times New Roman" w:hint="default"/>
          <w:spacing w:val="9"/>
        </w:rPr>
        <w:t> </w:t>
      </w:r>
      <w:r>
        <w:rPr/>
        <w:t>年净利润为基数，</w:t>
      </w:r>
      <w:r>
        <w:rPr>
          <w:spacing w:val="-72"/>
        </w:rPr>
        <w:t> </w:t>
      </w:r>
      <w:r>
        <w:rPr>
          <w:spacing w:val="-72"/>
        </w:rPr>
      </w:r>
      <w:r>
        <w:rPr/>
        <w:t>公司</w:t>
      </w:r>
      <w:r>
        <w:rPr>
          <w:spacing w:val="-45"/>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年至</w:t>
      </w:r>
      <w:r>
        <w:rPr>
          <w:spacing w:val="-46"/>
        </w:rPr>
        <w:t> </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年净利润增长率分别不低于</w:t>
      </w:r>
      <w:r>
        <w:rPr>
          <w:spacing w:val="-45"/>
        </w:rPr>
        <w:t> </w:t>
      </w:r>
      <w:r>
        <w:rPr>
          <w:rFonts w:ascii="Times New Roman" w:hAnsi="Times New Roman" w:cs="Times New Roman" w:eastAsia="Times New Roman" w:hint="default"/>
        </w:rPr>
        <w:t>25.00%</w:t>
      </w:r>
      <w:r>
        <w:rPr/>
        <w:t>和</w:t>
      </w:r>
      <w:r>
        <w:rPr>
          <w:spacing w:val="-48"/>
        </w:rPr>
        <w:t> </w:t>
      </w:r>
      <w:r>
        <w:rPr>
          <w:rFonts w:ascii="Times New Roman" w:hAnsi="Times New Roman" w:cs="Times New Roman" w:eastAsia="Times New Roman" w:hint="default"/>
        </w:rPr>
        <w:t>35.00%</w:t>
      </w:r>
      <w:r>
        <w:rPr/>
        <w:t>，净资产收益率分别不低</w:t>
      </w:r>
      <w:r>
        <w:rPr>
          <w:spacing w:val="-48"/>
        </w:rPr>
        <w:t> </w:t>
      </w:r>
      <w:r>
        <w:rPr>
          <w:rFonts w:ascii="Times New Roman" w:hAnsi="Times New Roman" w:cs="Times New Roman" w:eastAsia="Times New Roman" w:hint="default"/>
        </w:rPr>
        <w:t>4.60%</w:t>
      </w:r>
      <w:r>
        <w:rPr/>
        <w:t>、</w:t>
      </w:r>
      <w:r>
        <w:rPr>
          <w:rFonts w:ascii="Times New Roman" w:hAnsi="Times New Roman" w:cs="Times New Roman" w:eastAsia="Times New Roman" w:hint="default"/>
        </w:rPr>
        <w:t>4.70%</w:t>
      </w:r>
      <w:r>
        <w:rPr/>
        <w:t>，解锁比例分别 为</w:t>
      </w:r>
      <w:r>
        <w:rPr>
          <w:spacing w:val="-46"/>
        </w:rPr>
        <w:t> </w:t>
      </w:r>
      <w:r>
        <w:rPr>
          <w:rFonts w:ascii="Times New Roman" w:hAnsi="Times New Roman" w:cs="Times New Roman" w:eastAsia="Times New Roman" w:hint="default"/>
        </w:rPr>
        <w:t>50.00%</w:t>
      </w:r>
      <w:r>
        <w:rPr/>
        <w:t>、</w:t>
      </w:r>
      <w:r>
        <w:rPr>
          <w:rFonts w:ascii="Times New Roman" w:hAnsi="Times New Roman" w:cs="Times New Roman" w:eastAsia="Times New Roman" w:hint="default"/>
        </w:rPr>
        <w:t>50.00%</w:t>
      </w:r>
      <w:r>
        <w:rPr/>
        <w:t>。</w:t>
      </w:r>
    </w:p>
    <w:p>
      <w:pPr>
        <w:pStyle w:val="BodyText"/>
        <w:spacing w:line="357" w:lineRule="auto" w:before="53"/>
        <w:ind w:left="513" w:right="2433"/>
        <w:jc w:val="left"/>
      </w:pPr>
      <w:r>
        <w:rPr/>
        <w:t>上述议案尚需报中国证券监督管理委员会备案无异议后，提交股东大会审议。 除存在上述资产负债表日后事项外，本集团无其他需要披露的重大资产负债表日后事项。</w:t>
      </w:r>
    </w:p>
    <w:p>
      <w:pPr>
        <w:spacing w:line="240" w:lineRule="auto" w:before="7"/>
        <w:rPr>
          <w:rFonts w:ascii="宋体" w:hAnsi="宋体" w:cs="宋体" w:eastAsia="宋体" w:hint="default"/>
          <w:sz w:val="18"/>
          <w:szCs w:val="18"/>
        </w:rPr>
      </w:pPr>
    </w:p>
    <w:p>
      <w:pPr>
        <w:pStyle w:val="Heading3"/>
        <w:spacing w:line="240" w:lineRule="auto"/>
        <w:ind w:right="94"/>
        <w:jc w:val="left"/>
        <w:rPr>
          <w:b w:val="0"/>
          <w:bCs w:val="0"/>
        </w:rPr>
      </w:pPr>
      <w:r>
        <w:rPr/>
        <w:t>十六、其他重要事项</w:t>
      </w:r>
      <w:r>
        <w:rPr>
          <w:b w:val="0"/>
          <w:bCs w:val="0"/>
        </w:rPr>
      </w:r>
    </w:p>
    <w:p>
      <w:pPr>
        <w:spacing w:line="240" w:lineRule="auto" w:before="12"/>
        <w:rPr>
          <w:rFonts w:ascii="宋体" w:hAnsi="宋体" w:cs="宋体" w:eastAsia="宋体" w:hint="default"/>
          <w:b/>
          <w:bCs/>
          <w:sz w:val="24"/>
          <w:szCs w:val="24"/>
        </w:rPr>
      </w:pPr>
    </w:p>
    <w:p>
      <w:pPr>
        <w:pStyle w:val="Heading5"/>
        <w:spacing w:line="240" w:lineRule="auto"/>
        <w:ind w:right="94"/>
        <w:jc w:val="left"/>
        <w:rPr>
          <w:b w:val="0"/>
          <w:bCs w:val="0"/>
        </w:rPr>
      </w:pPr>
      <w:r>
        <w:rPr>
          <w:rFonts w:ascii="Times New Roman" w:hAnsi="Times New Roman" w:cs="Times New Roman" w:eastAsia="Times New Roman" w:hint="default"/>
        </w:rPr>
        <w:t>1</w:t>
      </w:r>
      <w:r>
        <w:rPr/>
        <w:t>、前期会计差错更正</w:t>
      </w:r>
      <w:r>
        <w:rPr>
          <w:b w:val="0"/>
          <w:bCs w:val="0"/>
        </w:rPr>
      </w:r>
    </w:p>
    <w:p>
      <w:pPr>
        <w:spacing w:line="240" w:lineRule="auto" w:before="8"/>
        <w:rPr>
          <w:rFonts w:ascii="宋体" w:hAnsi="宋体" w:cs="宋体" w:eastAsia="宋体" w:hint="default"/>
          <w:b/>
          <w:bCs/>
          <w:sz w:val="24"/>
          <w:szCs w:val="24"/>
        </w:rPr>
      </w:pPr>
    </w:p>
    <w:p>
      <w:pPr>
        <w:pStyle w:val="Heading5"/>
        <w:spacing w:line="240" w:lineRule="auto"/>
        <w:ind w:right="94"/>
        <w:jc w:val="left"/>
        <w:rPr>
          <w:b w:val="0"/>
          <w:bCs w:val="0"/>
        </w:rPr>
      </w:pPr>
      <w:r>
        <w:rPr/>
        <w:t>（</w:t>
      </w:r>
      <w:r>
        <w:rPr>
          <w:rFonts w:ascii="Times New Roman" w:hAnsi="Times New Roman" w:cs="Times New Roman" w:eastAsia="Times New Roman" w:hint="default"/>
        </w:rPr>
        <w:t>1</w:t>
      </w:r>
      <w:r>
        <w:rPr/>
        <w:t>）追溯重述法</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t>（</w:t>
      </w:r>
      <w:r>
        <w:rPr>
          <w:rFonts w:ascii="Times New Roman" w:hAnsi="Times New Roman" w:cs="Times New Roman" w:eastAsia="Times New Roman" w:hint="default"/>
        </w:rPr>
        <w:t>2</w:t>
      </w:r>
      <w:r>
        <w:rPr/>
        <w:t>）未来适用法</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rFonts w:ascii="Times New Roman" w:hAnsi="Times New Roman" w:cs="Times New Roman" w:eastAsia="Times New Roman" w:hint="default"/>
        </w:rPr>
        <w:t>2</w:t>
      </w:r>
      <w:r>
        <w:rPr/>
        <w:t>、债务重组</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rFonts w:ascii="Times New Roman" w:hAnsi="Times New Roman" w:cs="Times New Roman" w:eastAsia="Times New Roman" w:hint="default"/>
        </w:rPr>
        <w:t>3</w:t>
      </w:r>
      <w:r>
        <w:rPr/>
        <w:t>、资产置换</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94"/>
        <w:jc w:val="left"/>
        <w:rPr>
          <w:b w:val="0"/>
          <w:bCs w:val="0"/>
        </w:rPr>
      </w:pPr>
      <w:r>
        <w:rPr/>
        <w:t>（</w:t>
      </w:r>
      <w:r>
        <w:rPr>
          <w:rFonts w:ascii="Times New Roman" w:hAnsi="Times New Roman" w:cs="Times New Roman" w:eastAsia="Times New Roman" w:hint="default"/>
        </w:rPr>
        <w:t>1</w:t>
      </w:r>
      <w:r>
        <w:rPr/>
        <w:t>）非货币性资产交换</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t>（</w:t>
      </w:r>
      <w:r>
        <w:rPr>
          <w:rFonts w:ascii="Times New Roman" w:hAnsi="Times New Roman" w:cs="Times New Roman" w:eastAsia="Times New Roman" w:hint="default"/>
        </w:rPr>
        <w:t>2</w:t>
      </w:r>
      <w:r>
        <w:rPr/>
        <w:t>）其他资产置换</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21"/>
        <w:ind w:right="94"/>
        <w:jc w:val="left"/>
        <w:rPr>
          <w:b w:val="0"/>
          <w:bCs w:val="0"/>
        </w:rPr>
      </w:pPr>
      <w:r>
        <w:rPr>
          <w:rFonts w:ascii="Times New Roman" w:hAnsi="Times New Roman" w:cs="Times New Roman" w:eastAsia="Times New Roman" w:hint="default"/>
        </w:rPr>
        <w:t>4</w:t>
      </w:r>
      <w:r>
        <w:rPr/>
        <w:t>、年金计划</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94"/>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94"/>
        <w:jc w:val="left"/>
        <w:rPr>
          <w:b w:val="0"/>
          <w:bCs w:val="0"/>
        </w:rPr>
      </w:pPr>
      <w:r>
        <w:rPr>
          <w:rFonts w:ascii="Times New Roman" w:hAnsi="Times New Roman" w:cs="Times New Roman" w:eastAsia="Times New Roman" w:hint="default"/>
        </w:rPr>
        <w:t>5</w:t>
      </w:r>
      <w:r>
        <w:rPr/>
        <w:t>、终止经营</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94"/>
        <w:jc w:val="left"/>
      </w:pPr>
      <w:r>
        <w:rPr/>
        <w:t>无</w:t>
      </w:r>
    </w:p>
    <w:p>
      <w:pPr>
        <w:spacing w:after="0" w:line="240" w:lineRule="auto"/>
        <w:jc w:val="left"/>
        <w:sectPr>
          <w:pgSz w:w="11910" w:h="16840"/>
          <w:pgMar w:header="745" w:footer="979" w:top="1060" w:bottom="1160" w:left="980" w:right="94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rFonts w:ascii="Times New Roman" w:hAnsi="Times New Roman" w:cs="Times New Roman" w:eastAsia="Times New Roman" w:hint="default"/>
        </w:rPr>
        <w:t>6</w:t>
      </w:r>
      <w:r>
        <w:rPr/>
        <w:t>、分部信息</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2</w:t>
      </w:r>
      <w:r>
        <w:rPr/>
        <w:t>）报告分部的财务信息</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3</w:t>
      </w:r>
      <w:r>
        <w:rPr/>
        <w:t>）公司无报告分部的，或者不能披露各报告分部的资产总额和负债总额的，应说明原因</w:t>
      </w:r>
      <w:r>
        <w:rPr>
          <w:b w:val="0"/>
          <w:bCs w:val="0"/>
        </w:rPr>
      </w:r>
    </w:p>
    <w:p>
      <w:pPr>
        <w:spacing w:line="240" w:lineRule="auto" w:before="2"/>
        <w:rPr>
          <w:rFonts w:ascii="宋体" w:hAnsi="宋体" w:cs="宋体" w:eastAsia="宋体" w:hint="default"/>
          <w:b/>
          <w:bCs/>
          <w:sz w:val="26"/>
          <w:szCs w:val="26"/>
        </w:rPr>
      </w:pPr>
    </w:p>
    <w:p>
      <w:pPr>
        <w:pStyle w:val="BodyText"/>
        <w:spacing w:line="316" w:lineRule="auto"/>
        <w:ind w:right="0" w:firstLine="271"/>
        <w:jc w:val="left"/>
      </w:pPr>
      <w:r>
        <w:rPr>
          <w:spacing w:val="-4"/>
        </w:rPr>
        <w:t>本集团的业务均为以导航电子地图为主的相关销售及服务，整体性质相同，生产、定价、销售、使用等环节均密不可分，</w:t>
      </w:r>
      <w:r>
        <w:rPr/>
        <w:t> 因此报告期内本集团无报告分部。</w:t>
      </w:r>
    </w:p>
    <w:p>
      <w:pPr>
        <w:spacing w:line="240" w:lineRule="auto" w:before="10"/>
        <w:rPr>
          <w:rFonts w:ascii="宋体" w:hAnsi="宋体" w:cs="宋体" w:eastAsia="宋体" w:hint="default"/>
          <w:sz w:val="22"/>
          <w:szCs w:val="22"/>
        </w:rPr>
      </w:pPr>
    </w:p>
    <w:p>
      <w:pPr>
        <w:pStyle w:val="Heading5"/>
        <w:spacing w:line="513" w:lineRule="auto"/>
        <w:ind w:right="5454"/>
        <w:jc w:val="left"/>
        <w:rPr>
          <w:rFonts w:ascii="宋体" w:hAnsi="宋体" w:cs="宋体" w:eastAsia="宋体" w:hint="default"/>
          <w:b w:val="0"/>
          <w:bCs w:val="0"/>
          <w:sz w:val="18"/>
          <w:szCs w:val="18"/>
        </w:rPr>
      </w:pPr>
      <w:r>
        <w:rPr/>
        <w:t>（</w:t>
      </w:r>
      <w:r>
        <w:rPr>
          <w:rFonts w:ascii="Times New Roman" w:hAnsi="Times New Roman" w:cs="Times New Roman" w:eastAsia="Times New Roman" w:hint="default"/>
        </w:rPr>
        <w:t>4</w:t>
      </w:r>
      <w:r>
        <w:rPr/>
        <w:t>）其他说明</w:t>
      </w:r>
      <w:r>
        <w:rPr>
          <w:w w:val="100"/>
        </w:rPr>
        <w:t> </w:t>
      </w:r>
      <w:r>
        <w:rPr>
          <w:rFonts w:ascii="Times New Roman" w:hAnsi="Times New Roman" w:cs="Times New Roman" w:eastAsia="Times New Roman" w:hint="default"/>
          <w:spacing w:val="-1"/>
        </w:rPr>
        <w:t>7</w:t>
      </w:r>
      <w:r>
        <w:rPr>
          <w:spacing w:val="-1"/>
        </w:rPr>
        <w:t>、其他对投资者决策有影响的重要交易和事项</w:t>
      </w:r>
      <w:r>
        <w:rPr>
          <w:spacing w:val="-83"/>
        </w:rPr>
        <w:t> </w:t>
      </w:r>
      <w:r>
        <w:rPr>
          <w:spacing w:val="-83"/>
        </w:rPr>
      </w:r>
      <w:r>
        <w:rPr>
          <w:rFonts w:ascii="宋体" w:hAnsi="宋体" w:cs="宋体" w:eastAsia="宋体" w:hint="default"/>
          <w:b w:val="0"/>
          <w:bCs w:val="0"/>
          <w:sz w:val="18"/>
          <w:szCs w:val="18"/>
        </w:rPr>
        <w:t>无</w:t>
      </w:r>
    </w:p>
    <w:p>
      <w:pPr>
        <w:pStyle w:val="Heading5"/>
        <w:spacing w:line="240" w:lineRule="auto" w:before="150"/>
        <w:ind w:right="0"/>
        <w:jc w:val="left"/>
        <w:rPr>
          <w:b w:val="0"/>
          <w:bCs w:val="0"/>
        </w:rPr>
      </w:pPr>
      <w:r>
        <w:rPr>
          <w:rFonts w:ascii="Times New Roman" w:hAnsi="Times New Roman" w:cs="Times New Roman" w:eastAsia="Times New Roman" w:hint="default"/>
        </w:rPr>
        <w:t>8</w:t>
      </w:r>
      <w:r>
        <w:rPr/>
        <w:t>、其他</w:t>
      </w:r>
      <w:r>
        <w:rPr>
          <w:b w:val="0"/>
          <w:bCs w:val="0"/>
        </w:rPr>
      </w:r>
    </w:p>
    <w:p>
      <w:pPr>
        <w:spacing w:line="240" w:lineRule="auto" w:before="5"/>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十七、母公司财务报表主要项目注释</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、应收账款</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）应收账款分类披露</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35"/>
        <w:gridCol w:w="763"/>
        <w:gridCol w:w="761"/>
        <w:gridCol w:w="763"/>
        <w:gridCol w:w="763"/>
        <w:gridCol w:w="788"/>
        <w:gridCol w:w="655"/>
        <w:gridCol w:w="761"/>
        <w:gridCol w:w="814"/>
        <w:gridCol w:w="934"/>
        <w:gridCol w:w="931"/>
      </w:tblGrid>
      <w:tr>
        <w:trPr>
          <w:trHeight w:val="398"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6"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5"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center"/>
              <w:rPr>
                <w:rFonts w:ascii="Times New Roman" w:hAnsi="Times New Roman" w:cs="Times New Roman" w:eastAsia="Times New Roman" w:hint="default"/>
                <w:sz w:val="18"/>
                <w:szCs w:val="18"/>
              </w:rPr>
            </w:pPr>
            <w:r>
              <w:rPr>
                <w:rFonts w:ascii="Times New Roman"/>
                <w:sz w:val="18"/>
              </w:rPr>
              <w:t>254,295,</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097.48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10,737,0</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05.18</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4.22%</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243,558,0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92.30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255,190</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,226.40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9,898,182</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.93</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3.88%</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245,292,04</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3.47</w:t>
            </w:r>
          </w:p>
        </w:tc>
      </w:tr>
      <w:tr>
        <w:trPr>
          <w:trHeight w:val="401"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单项金额不重大但</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34"/>
        <w:gridCol w:w="763"/>
        <w:gridCol w:w="761"/>
        <w:gridCol w:w="763"/>
        <w:gridCol w:w="763"/>
        <w:gridCol w:w="788"/>
        <w:gridCol w:w="655"/>
        <w:gridCol w:w="761"/>
        <w:gridCol w:w="814"/>
        <w:gridCol w:w="934"/>
        <w:gridCol w:w="931"/>
      </w:tblGrid>
      <w:tr>
        <w:trPr>
          <w:trHeight w:val="675"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8"/>
              <w:ind w:left="22" w:right="159"/>
              <w:jc w:val="left"/>
              <w:rPr>
                <w:rFonts w:ascii="宋体" w:hAnsi="宋体" w:cs="宋体" w:eastAsia="宋体" w:hint="default"/>
                <w:sz w:val="18"/>
                <w:szCs w:val="18"/>
              </w:rPr>
            </w:pPr>
            <w:r>
              <w:rPr>
                <w:rFonts w:ascii="宋体" w:hAnsi="宋体" w:cs="宋体" w:eastAsia="宋体" w:hint="default"/>
                <w:sz w:val="18"/>
                <w:szCs w:val="18"/>
              </w:rPr>
              <w:t>单独计提坏账准备 的应收账款</w:t>
            </w:r>
          </w:p>
        </w:tc>
        <w:tc>
          <w:tcPr>
            <w:tcW w:w="763" w:type="dxa"/>
            <w:tcBorders>
              <w:top w:val="single" w:sz="4" w:space="0" w:color="000000"/>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6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c>
          <w:tcPr>
            <w:tcW w:w="655" w:type="dxa"/>
            <w:tcBorders>
              <w:top w:val="single" w:sz="4" w:space="0" w:color="000000"/>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
        </w:tc>
        <w:tc>
          <w:tcPr>
            <w:tcW w:w="814" w:type="dxa"/>
            <w:tcBorders>
              <w:top w:val="single" w:sz="4" w:space="0" w:color="000000"/>
              <w:left w:val="single" w:sz="4" w:space="0" w:color="000000"/>
              <w:bottom w:val="single" w:sz="4" w:space="0" w:color="000000"/>
              <w:right w:val="single" w:sz="4" w:space="0" w:color="000000"/>
            </w:tcBorders>
          </w:tcPr>
          <w:p>
            <w:pP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center"/>
              <w:rPr>
                <w:rFonts w:ascii="Times New Roman" w:hAnsi="Times New Roman" w:cs="Times New Roman" w:eastAsia="Times New Roman" w:hint="default"/>
                <w:sz w:val="18"/>
                <w:szCs w:val="18"/>
              </w:rPr>
            </w:pPr>
            <w:r>
              <w:rPr>
                <w:rFonts w:ascii="Times New Roman"/>
                <w:sz w:val="18"/>
              </w:rPr>
              <w:t>254,295,</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097.48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10,737,0</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05.18</w:t>
            </w:r>
          </w:p>
        </w:tc>
        <w:tc>
          <w:tcPr>
            <w:tcW w:w="76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243,558,0</w:t>
            </w:r>
          </w:p>
          <w:p>
            <w:pPr>
              <w:pStyle w:val="TableParagraph"/>
              <w:spacing w:line="240" w:lineRule="auto" w:before="105"/>
              <w:ind w:left="350" w:right="0"/>
              <w:jc w:val="left"/>
              <w:rPr>
                <w:rFonts w:ascii="Times New Roman" w:hAnsi="Times New Roman" w:cs="Times New Roman" w:eastAsia="Times New Roman" w:hint="default"/>
                <w:sz w:val="18"/>
                <w:szCs w:val="18"/>
              </w:rPr>
            </w:pPr>
            <w:r>
              <w:rPr>
                <w:rFonts w:ascii="Times New Roman"/>
                <w:sz w:val="18"/>
              </w:rPr>
              <w:t>92.30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8" w:right="0"/>
              <w:jc w:val="left"/>
              <w:rPr>
                <w:rFonts w:ascii="Times New Roman" w:hAnsi="Times New Roman" w:cs="Times New Roman" w:eastAsia="Times New Roman" w:hint="default"/>
                <w:sz w:val="18"/>
                <w:szCs w:val="18"/>
              </w:rPr>
            </w:pPr>
            <w:r>
              <w:rPr>
                <w:rFonts w:ascii="Times New Roman"/>
                <w:sz w:val="18"/>
              </w:rPr>
              <w:t>255,190</w:t>
            </w:r>
          </w:p>
          <w:p>
            <w:pPr>
              <w:pStyle w:val="TableParagraph"/>
              <w:spacing w:line="240" w:lineRule="auto" w:before="105"/>
              <w:ind w:left="83" w:right="0"/>
              <w:jc w:val="left"/>
              <w:rPr>
                <w:rFonts w:ascii="Times New Roman" w:hAnsi="Times New Roman" w:cs="Times New Roman" w:eastAsia="Times New Roman" w:hint="default"/>
                <w:sz w:val="18"/>
                <w:szCs w:val="18"/>
              </w:rPr>
            </w:pPr>
            <w:r>
              <w:rPr>
                <w:rFonts w:ascii="Times New Roman"/>
                <w:sz w:val="18"/>
              </w:rPr>
              <w:t>,226.40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9,898,182</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.93</w:t>
            </w: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245,292,04</w:t>
            </w:r>
          </w:p>
          <w:p>
            <w:pPr>
              <w:pStyle w:val="TableParagraph"/>
              <w:spacing w:line="240" w:lineRule="auto" w:before="105"/>
              <w:ind w:left="585" w:right="0"/>
              <w:jc w:val="left"/>
              <w:rPr>
                <w:rFonts w:ascii="Times New Roman" w:hAnsi="Times New Roman" w:cs="Times New Roman" w:eastAsia="Times New Roman" w:hint="default"/>
                <w:sz w:val="18"/>
                <w:szCs w:val="18"/>
              </w:rPr>
            </w:pPr>
            <w:r>
              <w:rPr>
                <w:rFonts w:ascii="Times New Roman"/>
                <w:sz w:val="18"/>
              </w:rPr>
              <w:t>3.47</w:t>
            </w:r>
          </w:p>
        </w:tc>
      </w:tr>
    </w:tbl>
    <w:p>
      <w:pPr>
        <w:spacing w:after="0" w:line="240" w:lineRule="auto"/>
        <w:jc w:val="left"/>
        <w:rPr>
          <w:rFonts w:ascii="Times New Roman" w:hAnsi="Times New Roman" w:cs="Times New Roman" w:eastAsia="Times New Roman" w:hint="default"/>
          <w:sz w:val="18"/>
          <w:szCs w:val="18"/>
        </w:rPr>
        <w:sectPr>
          <w:pgSz w:w="11910" w:h="16840"/>
          <w:pgMar w:header="745" w:footer="979" w:top="1060" w:bottom="1160" w:left="980" w:right="980"/>
        </w:sectPr>
      </w:pPr>
    </w:p>
    <w:p>
      <w:pPr>
        <w:pStyle w:val="BodyText"/>
        <w:spacing w:line="240" w:lineRule="auto" w:before="49"/>
        <w:ind w:right="-20"/>
        <w:jc w:val="left"/>
      </w:pPr>
      <w:r>
        <w:rPr/>
        <w:t>期末单项金额重大并单项计提坏账准备的应收账款：</w:t>
      </w:r>
    </w:p>
    <w:p>
      <w:pPr>
        <w:pStyle w:val="BodyText"/>
        <w:spacing w:line="338" w:lineRule="auto" w:before="117"/>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组合中，按账龄分析法计提坏账准备的应收账款：</w:t>
      </w:r>
    </w:p>
    <w:p>
      <w:pPr>
        <w:pStyle w:val="BodyText"/>
        <w:spacing w:line="240" w:lineRule="auto" w:before="43"/>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980"/>
          <w:cols w:num="2" w:equalWidth="0">
            <w:col w:w="4293" w:space="4536"/>
            <w:col w:w="1121"/>
          </w:cols>
        </w:sectPr>
      </w:pPr>
    </w:p>
    <w:p>
      <w:pPr>
        <w:spacing w:line="240" w:lineRule="auto" w:before="3"/>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2494"/>
        <w:gridCol w:w="2295"/>
        <w:gridCol w:w="2391"/>
        <w:gridCol w:w="2391"/>
      </w:tblGrid>
      <w:tr>
        <w:trPr>
          <w:trHeight w:val="205" w:hRule="exact"/>
        </w:trPr>
        <w:tc>
          <w:tcPr>
            <w:tcW w:w="2494" w:type="dxa"/>
            <w:tcBorders>
              <w:top w:val="single" w:sz="4" w:space="0" w:color="000000"/>
              <w:left w:val="single" w:sz="4" w:space="0" w:color="000000"/>
              <w:bottom w:val="nil" w:sz="6" w:space="0" w:color="auto"/>
              <w:right w:val="single" w:sz="4" w:space="0" w:color="000000"/>
            </w:tcBorders>
            <w:shd w:val="clear" w:color="auto" w:fill="D2D2D2"/>
          </w:tcPr>
          <w:p>
            <w:pPr/>
          </w:p>
        </w:tc>
        <w:tc>
          <w:tcPr>
            <w:tcW w:w="707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7" w:hRule="exact"/>
        </w:trPr>
        <w:tc>
          <w:tcPr>
            <w:tcW w:w="24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7077" w:type="dxa"/>
            <w:gridSpan w:val="3"/>
            <w:vMerge/>
            <w:tcBorders>
              <w:left w:val="single" w:sz="4" w:space="0" w:color="000000"/>
              <w:bottom w:val="single" w:sz="4" w:space="0" w:color="000000"/>
              <w:right w:val="single" w:sz="4" w:space="0" w:color="000000"/>
            </w:tcBorders>
            <w:shd w:val="clear" w:color="auto" w:fill="D2D2D2"/>
          </w:tcPr>
          <w:p>
            <w:pPr/>
          </w:p>
        </w:tc>
      </w:tr>
      <w:tr>
        <w:trPr>
          <w:trHeight w:val="197" w:hRule="exact"/>
        </w:trPr>
        <w:tc>
          <w:tcPr>
            <w:tcW w:w="2494" w:type="dxa"/>
            <w:vMerge/>
            <w:tcBorders>
              <w:left w:val="single" w:sz="4" w:space="0" w:color="000000"/>
              <w:bottom w:val="nil" w:sz="6" w:space="0" w:color="auto"/>
              <w:right w:val="single" w:sz="4" w:space="0" w:color="000000"/>
            </w:tcBorders>
            <w:shd w:val="clear" w:color="auto" w:fill="D2D2D2"/>
          </w:tcPr>
          <w:p>
            <w:pPr/>
          </w:p>
        </w:tc>
        <w:tc>
          <w:tcPr>
            <w:tcW w:w="22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05" w:hRule="exact"/>
        </w:trPr>
        <w:tc>
          <w:tcPr>
            <w:tcW w:w="2494" w:type="dxa"/>
            <w:tcBorders>
              <w:top w:val="nil" w:sz="6" w:space="0" w:color="auto"/>
              <w:left w:val="single" w:sz="4" w:space="0" w:color="000000"/>
              <w:bottom w:val="single" w:sz="4" w:space="0" w:color="000000"/>
              <w:right w:val="single" w:sz="4" w:space="0" w:color="000000"/>
            </w:tcBorders>
            <w:shd w:val="clear" w:color="auto" w:fill="D2D2D2"/>
          </w:tcPr>
          <w:p>
            <w:pPr/>
          </w:p>
        </w:tc>
        <w:tc>
          <w:tcPr>
            <w:tcW w:w="2295"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c>
          <w:tcPr>
            <w:tcW w:w="2391"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87,100,652.37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871,006.52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4,099,986.57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409,998.66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8"/>
              <w:jc w:val="right"/>
              <w:rPr>
                <w:rFonts w:ascii="Times New Roman" w:hAnsi="Times New Roman" w:cs="Times New Roman" w:eastAsia="Times New Roman" w:hint="default"/>
                <w:sz w:val="18"/>
                <w:szCs w:val="18"/>
              </w:rPr>
            </w:pPr>
            <w:r>
              <w:rPr>
                <w:rFonts w:ascii="Times New Roman"/>
                <w:sz w:val="18"/>
              </w:rPr>
              <w:t>10.00%</w:t>
            </w:r>
          </w:p>
        </w:tc>
      </w:tr>
      <w:tr>
        <w:trPr>
          <w:trHeight w:val="401"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515,000.00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257,500.00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z w:val="18"/>
              </w:rPr>
              <w:t>50.00%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9,198,500.00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9,198,500.00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403"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100,914,138.94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10,737,005.18</w:t>
            </w:r>
          </w:p>
        </w:tc>
        <w:tc>
          <w:tcPr>
            <w:tcW w:w="2391"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57" w:lineRule="auto" w:before="49"/>
        <w:ind w:right="5454"/>
        <w:jc w:val="left"/>
      </w:pPr>
      <w:r>
        <w:rPr/>
        <w:t>确定该组合依据的说明： 组合中，采用余额百分比法计提坏账准备的应收账款：</w:t>
      </w:r>
    </w:p>
    <w:p>
      <w:pPr>
        <w:pStyle w:val="BodyText"/>
        <w:spacing w:line="338" w:lineRule="auto" w:before="29"/>
        <w:ind w:right="581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组合中，采用其他方法计提坏账准备的应收账款：</w:t>
      </w:r>
    </w:p>
    <w:p>
      <w:pPr>
        <w:spacing w:line="240" w:lineRule="auto" w:before="9"/>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2412"/>
        <w:gridCol w:w="2365"/>
        <w:gridCol w:w="2364"/>
        <w:gridCol w:w="2360"/>
      </w:tblGrid>
      <w:tr>
        <w:trPr>
          <w:trHeight w:val="341" w:hRule="exact"/>
        </w:trPr>
        <w:tc>
          <w:tcPr>
            <w:tcW w:w="241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7089"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7"/>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3" w:hRule="exact"/>
        </w:trPr>
        <w:tc>
          <w:tcPr>
            <w:tcW w:w="2412" w:type="dxa"/>
            <w:vMerge/>
            <w:tcBorders>
              <w:left w:val="single" w:sz="4" w:space="0" w:color="000000"/>
              <w:bottom w:val="single" w:sz="4" w:space="0" w:color="000000"/>
              <w:right w:val="single" w:sz="4" w:space="0" w:color="000000"/>
            </w:tcBorders>
            <w:shd w:val="clear" w:color="auto" w:fill="D9D9D9"/>
          </w:tcPr>
          <w:p>
            <w:pPr/>
          </w:p>
        </w:tc>
        <w:tc>
          <w:tcPr>
            <w:tcW w:w="23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3"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559"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1" w:hRule="exact"/>
        </w:trPr>
        <w:tc>
          <w:tcPr>
            <w:tcW w:w="2412" w:type="dxa"/>
            <w:tcBorders>
              <w:top w:val="single" w:sz="4" w:space="0" w:color="000000"/>
              <w:left w:val="single" w:sz="4" w:space="0" w:color="000000"/>
              <w:bottom w:val="single" w:sz="8" w:space="0" w:color="D9D9D9"/>
              <w:right w:val="single" w:sz="4" w:space="0" w:color="000000"/>
            </w:tcBorders>
          </w:tcPr>
          <w:p>
            <w:pPr>
              <w:pStyle w:val="TableParagraph"/>
              <w:spacing w:line="240" w:lineRule="auto" w:before="17"/>
              <w:ind w:left="7" w:right="0"/>
              <w:jc w:val="left"/>
              <w:rPr>
                <w:rFonts w:ascii="宋体" w:hAnsi="宋体" w:cs="宋体" w:eastAsia="宋体" w:hint="default"/>
                <w:sz w:val="18"/>
                <w:szCs w:val="18"/>
              </w:rPr>
            </w:pPr>
            <w:r>
              <w:rPr>
                <w:rFonts w:ascii="宋体" w:hAnsi="宋体" w:cs="宋体" w:eastAsia="宋体" w:hint="default"/>
                <w:sz w:val="18"/>
                <w:szCs w:val="18"/>
              </w:rPr>
              <w:t>交易风险组合</w:t>
            </w:r>
          </w:p>
        </w:tc>
        <w:tc>
          <w:tcPr>
            <w:tcW w:w="23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153,380,958.54</w:t>
            </w:r>
          </w:p>
        </w:tc>
        <w:tc>
          <w:tcPr>
            <w:tcW w:w="23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0"/>
              <w:ind w:right="2"/>
              <w:jc w:val="right"/>
              <w:rPr>
                <w:rFonts w:ascii="Times New Roman" w:hAnsi="Times New Roman" w:cs="Times New Roman" w:eastAsia="Times New Roman" w:hint="default"/>
                <w:sz w:val="18"/>
                <w:szCs w:val="18"/>
              </w:rPr>
            </w:pPr>
            <w:r>
              <w:rPr>
                <w:rFonts w:ascii="Times New Roman"/>
                <w:spacing w:val="-1"/>
                <w:sz w:val="18"/>
              </w:rPr>
              <w:t>0.00</w:t>
            </w:r>
          </w:p>
        </w:tc>
      </w:tr>
      <w:tr>
        <w:trPr>
          <w:trHeight w:val="343" w:hRule="exact"/>
        </w:trPr>
        <w:tc>
          <w:tcPr>
            <w:tcW w:w="24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7"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229,587,193.83</w:t>
            </w:r>
          </w:p>
        </w:tc>
        <w:tc>
          <w:tcPr>
            <w:tcW w:w="23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right="2"/>
              <w:jc w:val="right"/>
              <w:rPr>
                <w:rFonts w:ascii="Times New Roman" w:hAnsi="Times New Roman" w:cs="Times New Roman" w:eastAsia="Times New Roman" w:hint="default"/>
                <w:sz w:val="18"/>
                <w:szCs w:val="18"/>
              </w:rPr>
            </w:pPr>
            <w:r>
              <w:rPr>
                <w:rFonts w:ascii="Times New Roman"/>
                <w:spacing w:val="-1"/>
                <w:sz w:val="18"/>
              </w:rPr>
              <w:t>0.00</w:t>
            </w:r>
          </w:p>
        </w:tc>
        <w:tc>
          <w:tcPr>
            <w:tcW w:w="2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9"/>
              <w:ind w:right="1"/>
              <w:jc w:val="center"/>
              <w:rPr>
                <w:rFonts w:ascii="Times New Roman" w:hAnsi="Times New Roman" w:cs="Times New Roman" w:eastAsia="Times New Roman" w:hint="default"/>
                <w:sz w:val="22"/>
                <w:szCs w:val="22"/>
              </w:rPr>
            </w:pPr>
            <w:r>
              <w:rPr>
                <w:rFonts w:ascii="Times New Roman" w:hAnsi="Times New Roman" w:cs="Times New Roman" w:eastAsia="Times New Roman" w:hint="default"/>
                <w:w w:val="100"/>
                <w:sz w:val="22"/>
                <w:szCs w:val="22"/>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6"/>
          <w:szCs w:val="26"/>
        </w:rPr>
      </w:pPr>
    </w:p>
    <w:p>
      <w:pPr>
        <w:pStyle w:val="BodyText"/>
        <w:spacing w:line="338" w:lineRule="auto"/>
        <w:ind w:right="3611"/>
        <w:jc w:val="left"/>
      </w:pPr>
      <w:r>
        <w:rPr/>
        <w:t>本期计提坏账准备金额</w:t>
      </w:r>
      <w:r>
        <w:rPr>
          <w:spacing w:val="-46"/>
        </w:rPr>
        <w:t> </w:t>
      </w:r>
      <w:r>
        <w:rPr>
          <w:rFonts w:ascii="Times New Roman" w:hAnsi="Times New Roman" w:cs="Times New Roman" w:eastAsia="Times New Roman" w:hint="default"/>
        </w:rPr>
        <w:t>838,822.25 </w:t>
      </w:r>
      <w:r>
        <w:rPr/>
        <w:t>元；本期收回或转回坏账准备金额</w:t>
      </w:r>
      <w:r>
        <w:rPr>
          <w:spacing w:val="-46"/>
        </w:rPr>
        <w:t> </w:t>
      </w:r>
      <w:r>
        <w:rPr>
          <w:rFonts w:ascii="Times New Roman" w:hAnsi="Times New Roman" w:cs="Times New Roman" w:eastAsia="Times New Roman" w:hint="default"/>
        </w:rPr>
        <w:t>0.00 </w:t>
      </w:r>
      <w:r>
        <w:rPr/>
        <w:t>元。 其中本期坏账准备收回或转回金额重要的：</w:t>
      </w:r>
    </w:p>
    <w:p>
      <w:pPr>
        <w:pStyle w:val="BodyText"/>
        <w:spacing w:line="240" w:lineRule="auto" w:before="43"/>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13"/>
        <w:rPr>
          <w:rFonts w:ascii="宋体" w:hAnsi="宋体" w:cs="宋体" w:eastAsia="宋体" w:hint="default"/>
          <w:b/>
          <w:bCs/>
          <w:sz w:val="26"/>
          <w:szCs w:val="26"/>
        </w:rPr>
      </w:pPr>
    </w:p>
    <w:tbl>
      <w:tblPr>
        <w:tblW w:w="0" w:type="auto"/>
        <w:jc w:val="left"/>
        <w:tblInd w:w="145" w:type="dxa"/>
        <w:tblLayout w:type="fixed"/>
        <w:tblCellMar>
          <w:top w:w="0" w:type="dxa"/>
          <w:left w:w="0" w:type="dxa"/>
          <w:bottom w:w="0" w:type="dxa"/>
          <w:right w:w="0" w:type="dxa"/>
        </w:tblCellMar>
        <w:tblLook w:val="01E0"/>
      </w:tblPr>
      <w:tblGrid>
        <w:gridCol w:w="3013"/>
        <w:gridCol w:w="1745"/>
        <w:gridCol w:w="1143"/>
        <w:gridCol w:w="1613"/>
        <w:gridCol w:w="2127"/>
      </w:tblGrid>
      <w:tr>
        <w:trPr>
          <w:trHeight w:val="329" w:hRule="exact"/>
        </w:trPr>
        <w:tc>
          <w:tcPr>
            <w:tcW w:w="30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7" w:lineRule="exact"/>
              <w:ind w:right="0"/>
              <w:jc w:val="center"/>
              <w:rPr>
                <w:rFonts w:ascii="宋体" w:hAnsi="宋体" w:cs="宋体" w:eastAsia="宋体" w:hint="default"/>
                <w:sz w:val="20"/>
                <w:szCs w:val="20"/>
              </w:rPr>
            </w:pPr>
            <w:r>
              <w:rPr>
                <w:rFonts w:ascii="宋体" w:hAnsi="宋体" w:cs="宋体" w:eastAsia="宋体" w:hint="default"/>
                <w:sz w:val="20"/>
                <w:szCs w:val="20"/>
              </w:rPr>
              <w:t>单位名称</w:t>
            </w:r>
          </w:p>
        </w:tc>
        <w:tc>
          <w:tcPr>
            <w:tcW w:w="174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7" w:lineRule="exact"/>
              <w:ind w:left="465" w:right="0"/>
              <w:jc w:val="left"/>
              <w:rPr>
                <w:rFonts w:ascii="宋体" w:hAnsi="宋体" w:cs="宋体" w:eastAsia="宋体" w:hint="default"/>
                <w:sz w:val="20"/>
                <w:szCs w:val="20"/>
              </w:rPr>
            </w:pPr>
            <w:r>
              <w:rPr>
                <w:rFonts w:ascii="宋体" w:hAnsi="宋体" w:cs="宋体" w:eastAsia="宋体" w:hint="default"/>
                <w:sz w:val="20"/>
                <w:szCs w:val="20"/>
              </w:rPr>
              <w:t>年末金额</w:t>
            </w:r>
          </w:p>
        </w:tc>
        <w:tc>
          <w:tcPr>
            <w:tcW w:w="11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7" w:lineRule="exact"/>
              <w:ind w:left="364" w:right="0"/>
              <w:jc w:val="left"/>
              <w:rPr>
                <w:rFonts w:ascii="宋体" w:hAnsi="宋体" w:cs="宋体" w:eastAsia="宋体" w:hint="default"/>
                <w:sz w:val="20"/>
                <w:szCs w:val="20"/>
              </w:rPr>
            </w:pPr>
            <w:r>
              <w:rPr>
                <w:rFonts w:ascii="宋体" w:hAnsi="宋体" w:cs="宋体" w:eastAsia="宋体" w:hint="default"/>
                <w:sz w:val="20"/>
                <w:szCs w:val="20"/>
              </w:rPr>
              <w:t>账龄</w:t>
            </w:r>
          </w:p>
        </w:tc>
        <w:tc>
          <w:tcPr>
            <w:tcW w:w="16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7" w:lineRule="exact"/>
              <w:ind w:left="100" w:right="0"/>
              <w:jc w:val="left"/>
              <w:rPr>
                <w:rFonts w:ascii="宋体" w:hAnsi="宋体" w:cs="宋体" w:eastAsia="宋体" w:hint="default"/>
                <w:sz w:val="20"/>
                <w:szCs w:val="20"/>
              </w:rPr>
            </w:pPr>
            <w:r>
              <w:rPr>
                <w:rFonts w:ascii="宋体" w:hAnsi="宋体" w:cs="宋体" w:eastAsia="宋体" w:hint="default"/>
                <w:sz w:val="20"/>
                <w:szCs w:val="20"/>
              </w:rPr>
              <w:t>占应收账款总额</w:t>
            </w:r>
          </w:p>
        </w:tc>
        <w:tc>
          <w:tcPr>
            <w:tcW w:w="2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7" w:lineRule="exact"/>
              <w:ind w:left="256" w:right="0"/>
              <w:jc w:val="left"/>
              <w:rPr>
                <w:rFonts w:ascii="宋体" w:hAnsi="宋体" w:cs="宋体" w:eastAsia="宋体" w:hint="default"/>
                <w:sz w:val="20"/>
                <w:szCs w:val="20"/>
              </w:rPr>
            </w:pPr>
            <w:r>
              <w:rPr>
                <w:rFonts w:ascii="宋体" w:hAnsi="宋体" w:cs="宋体" w:eastAsia="宋体" w:hint="default"/>
                <w:sz w:val="20"/>
                <w:szCs w:val="20"/>
              </w:rPr>
              <w:t>坏账准备年末余额</w:t>
            </w:r>
          </w:p>
        </w:tc>
      </w:tr>
    </w:tbl>
    <w:p>
      <w:pPr>
        <w:spacing w:after="0" w:line="247" w:lineRule="exact"/>
        <w:jc w:val="left"/>
        <w:rPr>
          <w:rFonts w:ascii="宋体" w:hAnsi="宋体" w:cs="宋体" w:eastAsia="宋体" w:hint="default"/>
          <w:sz w:val="20"/>
          <w:szCs w:val="20"/>
        </w:rPr>
        <w:sectPr>
          <w:type w:val="continuous"/>
          <w:pgSz w:w="11910" w:h="16840"/>
          <w:pgMar w:top="1060" w:bottom="1160" w:left="980" w:right="980"/>
        </w:sectPr>
      </w:pPr>
    </w:p>
    <w:p>
      <w:pPr>
        <w:spacing w:line="240" w:lineRule="auto" w:before="6"/>
        <w:rPr>
          <w:rFonts w:ascii="宋体" w:hAnsi="宋体" w:cs="宋体" w:eastAsia="宋体" w:hint="default"/>
          <w:b/>
          <w:bCs/>
          <w:sz w:val="28"/>
          <w:szCs w:val="28"/>
        </w:rPr>
      </w:pPr>
    </w:p>
    <w:tbl>
      <w:tblPr>
        <w:tblW w:w="0" w:type="auto"/>
        <w:jc w:val="left"/>
        <w:tblInd w:w="145" w:type="dxa"/>
        <w:tblLayout w:type="fixed"/>
        <w:tblCellMar>
          <w:top w:w="0" w:type="dxa"/>
          <w:left w:w="0" w:type="dxa"/>
          <w:bottom w:w="0" w:type="dxa"/>
          <w:right w:w="0" w:type="dxa"/>
        </w:tblCellMar>
        <w:tblLook w:val="01E0"/>
      </w:tblPr>
      <w:tblGrid>
        <w:gridCol w:w="3013"/>
        <w:gridCol w:w="1745"/>
        <w:gridCol w:w="1143"/>
        <w:gridCol w:w="1613"/>
        <w:gridCol w:w="2127"/>
      </w:tblGrid>
      <w:tr>
        <w:trPr>
          <w:trHeight w:val="348" w:hRule="exact"/>
        </w:trPr>
        <w:tc>
          <w:tcPr>
            <w:tcW w:w="3013" w:type="dxa"/>
            <w:tcBorders>
              <w:top w:val="single" w:sz="6" w:space="0" w:color="000000"/>
              <w:left w:val="single" w:sz="6" w:space="0" w:color="000000"/>
              <w:bottom w:val="single" w:sz="6" w:space="0" w:color="000000"/>
              <w:right w:val="single" w:sz="6" w:space="0" w:color="000000"/>
            </w:tcBorders>
            <w:shd w:val="clear" w:color="auto" w:fill="D9D9D9"/>
          </w:tcPr>
          <w:p>
            <w:pPr/>
          </w:p>
        </w:tc>
        <w:tc>
          <w:tcPr>
            <w:tcW w:w="1745" w:type="dxa"/>
            <w:tcBorders>
              <w:top w:val="single" w:sz="6" w:space="0" w:color="000000"/>
              <w:left w:val="single" w:sz="6" w:space="0" w:color="000000"/>
              <w:bottom w:val="single" w:sz="6" w:space="0" w:color="000000"/>
              <w:right w:val="single" w:sz="6" w:space="0" w:color="000000"/>
            </w:tcBorders>
            <w:shd w:val="clear" w:color="auto" w:fill="D9D9D9"/>
          </w:tcPr>
          <w:p>
            <w:pPr/>
          </w:p>
        </w:tc>
        <w:tc>
          <w:tcPr>
            <w:tcW w:w="1143" w:type="dxa"/>
            <w:tcBorders>
              <w:top w:val="single" w:sz="6" w:space="0" w:color="000000"/>
              <w:left w:val="single" w:sz="6" w:space="0" w:color="000000"/>
              <w:bottom w:val="single" w:sz="6" w:space="0" w:color="000000"/>
              <w:right w:val="single" w:sz="6" w:space="0" w:color="000000"/>
            </w:tcBorders>
            <w:shd w:val="clear" w:color="auto" w:fill="D9D9D9"/>
          </w:tcPr>
          <w:p>
            <w:pPr/>
          </w:p>
        </w:tc>
        <w:tc>
          <w:tcPr>
            <w:tcW w:w="16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350"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的比例</w:t>
            </w:r>
            <w:r>
              <w:rPr>
                <w:rFonts w:ascii="Times New Roman" w:hAnsi="Times New Roman" w:cs="Times New Roman" w:eastAsia="Times New Roman" w:hint="default"/>
                <w:sz w:val="20"/>
                <w:szCs w:val="20"/>
              </w:rPr>
              <w:t>(%)</w:t>
            </w:r>
          </w:p>
        </w:tc>
        <w:tc>
          <w:tcPr>
            <w:tcW w:w="2127" w:type="dxa"/>
            <w:tcBorders>
              <w:top w:val="single" w:sz="6" w:space="0" w:color="000000"/>
              <w:left w:val="single" w:sz="6" w:space="0" w:color="000000"/>
              <w:bottom w:val="single" w:sz="6" w:space="0" w:color="000000"/>
              <w:right w:val="single" w:sz="6" w:space="0" w:color="000000"/>
            </w:tcBorders>
            <w:shd w:val="clear" w:color="auto" w:fill="D9D9D9"/>
          </w:tcPr>
          <w:p>
            <w:pPr/>
          </w:p>
        </w:tc>
      </w:tr>
      <w:tr>
        <w:trPr>
          <w:trHeight w:val="346" w:hRule="exact"/>
        </w:trPr>
        <w:tc>
          <w:tcPr>
            <w:tcW w:w="3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上海纳维信息技术有限公司</w:t>
            </w:r>
          </w:p>
        </w:tc>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76,795,768.82</w:t>
            </w:r>
            <w:r>
              <w:rPr>
                <w:rFonts w:ascii="Times New Roman"/>
                <w:sz w:val="20"/>
              </w:rPr>
            </w:r>
          </w:p>
        </w:tc>
        <w:tc>
          <w:tcPr>
            <w:tcW w:w="1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30.20</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r>
      <w:tr>
        <w:trPr>
          <w:trHeight w:val="348" w:hRule="exact"/>
        </w:trPr>
        <w:tc>
          <w:tcPr>
            <w:tcW w:w="3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北京图新经纬导航系统有限公司</w:t>
            </w:r>
          </w:p>
        </w:tc>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57,166,673.59</w:t>
            </w:r>
            <w:r>
              <w:rPr>
                <w:rFonts w:ascii="Times New Roman"/>
                <w:sz w:val="20"/>
              </w:rPr>
            </w:r>
          </w:p>
        </w:tc>
        <w:tc>
          <w:tcPr>
            <w:tcW w:w="1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22.48</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r>
      <w:tr>
        <w:trPr>
          <w:trHeight w:val="346" w:hRule="exact"/>
        </w:trPr>
        <w:tc>
          <w:tcPr>
            <w:tcW w:w="3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诺纬达克（上海）贸易有限公司</w:t>
            </w:r>
          </w:p>
        </w:tc>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18,720,000.00</w:t>
            </w:r>
            <w:r>
              <w:rPr>
                <w:rFonts w:ascii="Times New Roman"/>
                <w:sz w:val="20"/>
              </w:rPr>
            </w:r>
          </w:p>
        </w:tc>
        <w:tc>
          <w:tcPr>
            <w:tcW w:w="1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7.36</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0"/>
              <w:jc w:val="right"/>
              <w:rPr>
                <w:rFonts w:ascii="Times New Roman" w:hAnsi="Times New Roman" w:cs="Times New Roman" w:eastAsia="Times New Roman" w:hint="default"/>
                <w:sz w:val="20"/>
                <w:szCs w:val="20"/>
              </w:rPr>
            </w:pPr>
            <w:r>
              <w:rPr>
                <w:rFonts w:ascii="Times New Roman"/>
                <w:w w:val="95"/>
                <w:sz w:val="20"/>
              </w:rPr>
              <w:t>187,200.00</w:t>
            </w:r>
            <w:r>
              <w:rPr>
                <w:rFonts w:ascii="Times New Roman"/>
                <w:sz w:val="20"/>
              </w:rPr>
            </w:r>
          </w:p>
        </w:tc>
      </w:tr>
      <w:tr>
        <w:trPr>
          <w:trHeight w:val="348" w:hRule="exact"/>
        </w:trPr>
        <w:tc>
          <w:tcPr>
            <w:tcW w:w="3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长城汽车股份有限公司</w:t>
            </w:r>
          </w:p>
        </w:tc>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17,124,752.58</w:t>
            </w:r>
            <w:r>
              <w:rPr>
                <w:rFonts w:ascii="Times New Roman"/>
                <w:sz w:val="20"/>
              </w:rPr>
            </w:r>
          </w:p>
        </w:tc>
        <w:tc>
          <w:tcPr>
            <w:tcW w:w="1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6.73</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w w:val="95"/>
                <w:sz w:val="20"/>
              </w:rPr>
              <w:t>171,247.53</w:t>
            </w:r>
            <w:r>
              <w:rPr>
                <w:rFonts w:ascii="Times New Roman"/>
                <w:sz w:val="20"/>
              </w:rPr>
            </w:r>
          </w:p>
        </w:tc>
      </w:tr>
      <w:tr>
        <w:trPr>
          <w:trHeight w:val="346" w:hRule="exact"/>
        </w:trPr>
        <w:tc>
          <w:tcPr>
            <w:tcW w:w="30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北京图为先科技有限公司</w:t>
            </w:r>
          </w:p>
        </w:tc>
        <w:tc>
          <w:tcPr>
            <w:tcW w:w="1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11,000,000.00</w:t>
            </w:r>
            <w:r>
              <w:rPr>
                <w:rFonts w:ascii="Times New Roman"/>
                <w:sz w:val="20"/>
              </w:rPr>
            </w:r>
          </w:p>
        </w:tc>
        <w:tc>
          <w:tcPr>
            <w:tcW w:w="11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年以内</w:t>
            </w:r>
          </w:p>
        </w:tc>
        <w:tc>
          <w:tcPr>
            <w:tcW w:w="16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4.33</w:t>
            </w:r>
          </w:p>
        </w:tc>
        <w:tc>
          <w:tcPr>
            <w:tcW w:w="21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r>
      <w:tr>
        <w:trPr>
          <w:trHeight w:val="348" w:hRule="exact"/>
        </w:trPr>
        <w:tc>
          <w:tcPr>
            <w:tcW w:w="30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right="0"/>
              <w:jc w:val="center"/>
              <w:rPr>
                <w:rFonts w:ascii="宋体" w:hAnsi="宋体" w:cs="宋体" w:eastAsia="宋体" w:hint="default"/>
                <w:sz w:val="20"/>
                <w:szCs w:val="20"/>
              </w:rPr>
            </w:pPr>
            <w:r>
              <w:rPr>
                <w:rFonts w:ascii="宋体" w:hAnsi="宋体" w:cs="宋体" w:eastAsia="宋体" w:hint="default"/>
                <w:sz w:val="20"/>
                <w:szCs w:val="20"/>
              </w:rPr>
              <w:t>合计</w:t>
            </w:r>
          </w:p>
        </w:tc>
        <w:tc>
          <w:tcPr>
            <w:tcW w:w="174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180,807,194.99</w:t>
            </w:r>
            <w:r>
              <w:rPr>
                <w:rFonts w:ascii="Times New Roman"/>
                <w:sz w:val="20"/>
              </w:rPr>
            </w:r>
          </w:p>
        </w:tc>
        <w:tc>
          <w:tcPr>
            <w:tcW w:w="11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1"/>
              <w:ind w:left="2" w:right="0"/>
              <w:jc w:val="center"/>
              <w:rPr>
                <w:rFonts w:ascii="Times New Roman" w:hAnsi="Times New Roman" w:cs="Times New Roman" w:eastAsia="Times New Roman" w:hint="default"/>
                <w:sz w:val="20"/>
                <w:szCs w:val="20"/>
              </w:rPr>
            </w:pPr>
            <w:r>
              <w:rPr>
                <w:rFonts w:ascii="Times New Roman" w:hAnsi="Times New Roman" w:cs="Times New Roman" w:eastAsia="Times New Roman" w:hint="default"/>
                <w:w w:val="99"/>
                <w:sz w:val="20"/>
                <w:szCs w:val="20"/>
              </w:rPr>
              <w:t>—</w:t>
            </w:r>
            <w:r>
              <w:rPr>
                <w:rFonts w:ascii="Times New Roman" w:hAnsi="Times New Roman" w:cs="Times New Roman" w:eastAsia="Times New Roman" w:hint="default"/>
                <w:sz w:val="20"/>
                <w:szCs w:val="20"/>
              </w:rPr>
            </w:r>
          </w:p>
        </w:tc>
        <w:tc>
          <w:tcPr>
            <w:tcW w:w="16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71.10</w:t>
            </w:r>
          </w:p>
        </w:tc>
        <w:tc>
          <w:tcPr>
            <w:tcW w:w="2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1"/>
              <w:ind w:right="0"/>
              <w:jc w:val="right"/>
              <w:rPr>
                <w:rFonts w:ascii="Times New Roman" w:hAnsi="Times New Roman" w:cs="Times New Roman" w:eastAsia="Times New Roman" w:hint="default"/>
                <w:sz w:val="20"/>
                <w:szCs w:val="20"/>
              </w:rPr>
            </w:pPr>
            <w:r>
              <w:rPr>
                <w:rFonts w:ascii="Times New Roman"/>
                <w:w w:val="95"/>
                <w:sz w:val="20"/>
              </w:rPr>
              <w:t>358,447.53</w:t>
            </w:r>
            <w:r>
              <w:rPr>
                <w:rFonts w:ascii="Times New Roman"/>
                <w:sz w:val="20"/>
              </w:rPr>
            </w:r>
          </w:p>
        </w:tc>
      </w:tr>
    </w:tbl>
    <w:p>
      <w:pPr>
        <w:spacing w:line="240" w:lineRule="auto" w:before="3"/>
        <w:rPr>
          <w:rFonts w:ascii="宋体" w:hAnsi="宋体" w:cs="宋体" w:eastAsia="宋体" w:hint="default"/>
          <w:b/>
          <w:bCs/>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1"/>
        <w:ind w:right="0"/>
        <w:jc w:val="left"/>
        <w:rPr>
          <w:b w:val="0"/>
          <w:bCs w:val="0"/>
        </w:rPr>
      </w:pP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2</w:t>
      </w:r>
      <w:r>
        <w:rPr/>
        <w:t>、其他应收款</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）其他应收款分类披露</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635"/>
        <w:gridCol w:w="763"/>
        <w:gridCol w:w="761"/>
        <w:gridCol w:w="763"/>
        <w:gridCol w:w="763"/>
        <w:gridCol w:w="788"/>
        <w:gridCol w:w="655"/>
        <w:gridCol w:w="761"/>
        <w:gridCol w:w="814"/>
        <w:gridCol w:w="934"/>
        <w:gridCol w:w="931"/>
      </w:tblGrid>
      <w:tr>
        <w:trPr>
          <w:trHeight w:val="398"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5"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6"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9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8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51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5"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88" w:right="103"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88" w:type="dxa"/>
            <w:vMerge/>
            <w:tcBorders>
              <w:left w:val="single" w:sz="4" w:space="0" w:color="000000"/>
              <w:bottom w:val="single" w:sz="4" w:space="0" w:color="000000"/>
              <w:right w:val="single" w:sz="4" w:space="0" w:color="000000"/>
            </w:tcBorders>
            <w:shd w:val="clear" w:color="auto" w:fill="D2D2D2"/>
          </w:tcPr>
          <w:p>
            <w:pPr/>
          </w:p>
        </w:tc>
        <w:tc>
          <w:tcPr>
            <w:tcW w:w="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1" w:type="dxa"/>
            <w:vMerge/>
            <w:tcBorders>
              <w:left w:val="single" w:sz="4" w:space="0" w:color="000000"/>
              <w:bottom w:val="single" w:sz="4" w:space="0" w:color="000000"/>
              <w:right w:val="single" w:sz="4" w:space="0" w:color="000000"/>
            </w:tcBorders>
            <w:shd w:val="clear" w:color="auto" w:fill="D2D2D2"/>
          </w:tcPr>
          <w:p>
            <w:pP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2"/>
              <w:ind w:left="417"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2"/>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 w:right="0"/>
              <w:jc w:val="center"/>
              <w:rPr>
                <w:rFonts w:ascii="Times New Roman" w:hAnsi="Times New Roman" w:cs="Times New Roman" w:eastAsia="Times New Roman" w:hint="default"/>
                <w:sz w:val="18"/>
                <w:szCs w:val="18"/>
              </w:rPr>
            </w:pPr>
            <w:r>
              <w:rPr>
                <w:rFonts w:ascii="Times New Roman"/>
                <w:sz w:val="18"/>
              </w:rPr>
              <w:t>3,000,0</w:t>
            </w:r>
          </w:p>
          <w:p>
            <w:pPr>
              <w:pStyle w:val="TableParagraph"/>
              <w:spacing w:line="240" w:lineRule="auto" w:before="102"/>
              <w:ind w:left="197" w:right="0"/>
              <w:jc w:val="center"/>
              <w:rPr>
                <w:rFonts w:ascii="Times New Roman" w:hAnsi="Times New Roman" w:cs="Times New Roman" w:eastAsia="Times New Roman" w:hint="default"/>
                <w:sz w:val="18"/>
                <w:szCs w:val="18"/>
              </w:rPr>
            </w:pPr>
            <w:r>
              <w:rPr>
                <w:rFonts w:ascii="Times New Roman"/>
                <w:sz w:val="18"/>
              </w:rPr>
              <w:t>00.00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12.59%</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2"/>
              <w:ind w:right="18"/>
              <w:jc w:val="right"/>
              <w:rPr>
                <w:rFonts w:ascii="Times New Roman" w:hAnsi="Times New Roman" w:cs="Times New Roman" w:eastAsia="Times New Roman" w:hint="default"/>
                <w:sz w:val="18"/>
                <w:szCs w:val="18"/>
              </w:rPr>
            </w:pPr>
            <w:r>
              <w:rPr>
                <w:rFonts w:ascii="Times New Roman"/>
                <w:sz w:val="18"/>
              </w:rPr>
              <w:t>.00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0" w:right="0"/>
              <w:jc w:val="left"/>
              <w:rPr>
                <w:rFonts w:ascii="Times New Roman" w:hAnsi="Times New Roman" w:cs="Times New Roman" w:eastAsia="Times New Roman" w:hint="default"/>
                <w:sz w:val="18"/>
                <w:szCs w:val="18"/>
              </w:rPr>
            </w:pPr>
            <w:r>
              <w:rPr>
                <w:rFonts w:ascii="Times New Roman"/>
                <w:sz w:val="18"/>
              </w:rPr>
              <w:t>47,869,8</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98.35</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94.10%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47,869,89</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8.35</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20,837,</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274.18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87.41%</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161,325.5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0.77%</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20,675,948.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61</w:t>
            </w:r>
          </w:p>
        </w:tc>
      </w:tr>
      <w:tr>
        <w:trPr>
          <w:trHeight w:val="102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159"/>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17"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09" w:right="0"/>
              <w:jc w:val="left"/>
              <w:rPr>
                <w:rFonts w:ascii="Times New Roman" w:hAnsi="Times New Roman" w:cs="Times New Roman" w:eastAsia="Times New Roman" w:hint="default"/>
                <w:sz w:val="18"/>
                <w:szCs w:val="18"/>
              </w:rPr>
            </w:pPr>
            <w:r>
              <w:rPr>
                <w:rFonts w:ascii="Times New Roman"/>
                <w:sz w:val="18"/>
              </w:rPr>
              <w:t>0.00</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68" w:right="0"/>
              <w:jc w:val="left"/>
              <w:rPr>
                <w:rFonts w:ascii="Times New Roman" w:hAnsi="Times New Roman" w:cs="Times New Roman" w:eastAsia="Times New Roman" w:hint="default"/>
                <w:sz w:val="18"/>
                <w:szCs w:val="18"/>
              </w:rPr>
            </w:pPr>
            <w:r>
              <w:rPr>
                <w:rFonts w:ascii="Times New Roman"/>
                <w:sz w:val="18"/>
              </w:rPr>
              <w:t>0.00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 w:right="0"/>
              <w:jc w:val="left"/>
              <w:rPr>
                <w:rFonts w:ascii="Times New Roman" w:hAnsi="Times New Roman" w:cs="Times New Roman" w:eastAsia="Times New Roman" w:hint="default"/>
                <w:sz w:val="18"/>
                <w:szCs w:val="18"/>
              </w:rPr>
            </w:pPr>
            <w:r>
              <w:rPr>
                <w:rFonts w:ascii="Times New Roman"/>
                <w:sz w:val="18"/>
              </w:rPr>
              <w:t>50,869,8</w:t>
            </w:r>
          </w:p>
          <w:p>
            <w:pPr>
              <w:pStyle w:val="TableParagraph"/>
              <w:spacing w:line="240" w:lineRule="auto" w:before="105"/>
              <w:ind w:left="326" w:right="0"/>
              <w:jc w:val="left"/>
              <w:rPr>
                <w:rFonts w:ascii="Times New Roman" w:hAnsi="Times New Roman" w:cs="Times New Roman" w:eastAsia="Times New Roman" w:hint="default"/>
                <w:sz w:val="18"/>
                <w:szCs w:val="18"/>
              </w:rPr>
            </w:pPr>
            <w:r>
              <w:rPr>
                <w:rFonts w:ascii="Times New Roman"/>
                <w:sz w:val="18"/>
              </w:rPr>
              <w:t>98.35</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0.00</w:t>
            </w:r>
          </w:p>
        </w:tc>
        <w:tc>
          <w:tcPr>
            <w:tcW w:w="763"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47,869,89</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8.35</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3" w:right="0"/>
              <w:jc w:val="left"/>
              <w:rPr>
                <w:rFonts w:ascii="Times New Roman" w:hAnsi="Times New Roman" w:cs="Times New Roman" w:eastAsia="Times New Roman" w:hint="default"/>
                <w:sz w:val="18"/>
                <w:szCs w:val="18"/>
              </w:rPr>
            </w:pPr>
            <w:r>
              <w:rPr>
                <w:rFonts w:ascii="Times New Roman"/>
                <w:sz w:val="18"/>
              </w:rPr>
              <w:t>23,837,</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274.18</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3,161,325</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.57</w:t>
            </w:r>
          </w:p>
        </w:tc>
        <w:tc>
          <w:tcPr>
            <w:tcW w:w="934"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20,675,948.</w:t>
            </w:r>
          </w:p>
          <w:p>
            <w:pPr>
              <w:pStyle w:val="TableParagraph"/>
              <w:spacing w:line="240" w:lineRule="auto" w:before="105"/>
              <w:ind w:right="17"/>
              <w:jc w:val="right"/>
              <w:rPr>
                <w:rFonts w:ascii="Times New Roman" w:hAnsi="Times New Roman" w:cs="Times New Roman" w:eastAsia="Times New Roman" w:hint="default"/>
                <w:sz w:val="18"/>
                <w:szCs w:val="18"/>
              </w:rPr>
            </w:pPr>
            <w:r>
              <w:rPr>
                <w:rFonts w:ascii="Times New Roman"/>
                <w:sz w:val="18"/>
              </w:rPr>
              <w:t>61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pStyle w:val="BodyText"/>
        <w:spacing w:line="240" w:lineRule="auto" w:before="49"/>
        <w:ind w:right="-20"/>
        <w:jc w:val="left"/>
      </w:pPr>
      <w:r>
        <w:rPr/>
        <w:t>期末单项金额重大并单项计提坏账准备的其他应收款：</w:t>
      </w:r>
    </w:p>
    <w:p>
      <w:pPr>
        <w:pStyle w:val="BodyText"/>
        <w:spacing w:line="240" w:lineRule="auto" w:before="115"/>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right="0"/>
        <w:jc w:val="left"/>
      </w:pPr>
      <w:r>
        <w:rPr/>
        <w:t>单位：</w:t>
      </w:r>
      <w:r>
        <w:rPr>
          <w:spacing w:val="1"/>
        </w:rPr>
        <w:t> </w:t>
      </w:r>
      <w:r>
        <w:rPr/>
        <w:t>元</w:t>
      </w:r>
    </w:p>
    <w:p>
      <w:pPr>
        <w:spacing w:after="0" w:line="240" w:lineRule="auto"/>
        <w:jc w:val="left"/>
        <w:sectPr>
          <w:type w:val="continuous"/>
          <w:pgSz w:w="11910" w:h="16840"/>
          <w:pgMar w:top="1060" w:bottom="1160" w:left="980" w:right="980"/>
          <w:cols w:num="2" w:equalWidth="0">
            <w:col w:w="4473" w:space="4356"/>
            <w:col w:w="1121"/>
          </w:cols>
        </w:sectPr>
      </w:pPr>
    </w:p>
    <w:p>
      <w:pPr>
        <w:spacing w:line="240" w:lineRule="auto" w:before="10"/>
        <w:rPr>
          <w:rFonts w:ascii="宋体" w:hAnsi="宋体" w:cs="宋体" w:eastAsia="宋体" w:hint="default"/>
          <w:sz w:val="7"/>
          <w:szCs w:val="7"/>
        </w:rPr>
      </w:pPr>
    </w:p>
    <w:p>
      <w:pPr>
        <w:spacing w:line="422" w:lineRule="exact"/>
        <w:ind w:left="148"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15pt;height:21.15pt;mso-position-horizontal-relative:char;mso-position-vertical-relative:line" coordorigin="0,0" coordsize="9583,423">
            <v:group style="position:absolute;left:1973;top:17;width:22;height:392" coordorigin="1973,17" coordsize="22,392">
              <v:shape style="position:absolute;left:1973;top:17;width:22;height:392" coordorigin="1973,17" coordsize="22,392" path="m1973,408l1995,408,1995,17,1973,17,1973,408xe" filled="true" fillcolor="#d2d2d2" stroked="false">
                <v:path arrowok="t"/>
                <v:fill type="solid"/>
              </v:shape>
            </v:group>
            <v:group style="position:absolute;left:12;top:17;width:22;height:392" coordorigin="12,17" coordsize="22,392">
              <v:shape style="position:absolute;left:12;top:17;width:22;height:392" coordorigin="12,17" coordsize="22,392" path="m12,408l34,408,34,17,12,17,12,408xe" filled="true" fillcolor="#d2d2d2" stroked="false">
                <v:path arrowok="t"/>
                <v:fill type="solid"/>
              </v:shape>
            </v:group>
            <v:group style="position:absolute;left:34;top:17;width:1940;height:392" coordorigin="34,17" coordsize="1940,392">
              <v:shape style="position:absolute;left:34;top:17;width:1940;height:392" coordorigin="34,17" coordsize="1940,392" path="m34,408l1973,408,1973,17,34,17,34,408xe" filled="true" fillcolor="#d2d2d2" stroked="false">
                <v:path arrowok="t"/>
                <v:fill type="solid"/>
              </v:shape>
            </v:group>
            <v:group style="position:absolute;left:2004;top:17;width:24;height:392" coordorigin="2004,17" coordsize="24,392">
              <v:shape style="position:absolute;left:2004;top:17;width:24;height:392" coordorigin="2004,17" coordsize="24,392" path="m2004,408l2028,408,2028,17,2004,17,2004,408xe" filled="true" fillcolor="#d2d2d2" stroked="false">
                <v:path arrowok="t"/>
                <v:fill type="solid"/>
              </v:shape>
            </v:group>
            <v:group style="position:absolute;left:9549;top:17;width:24;height:392" coordorigin="9549,17" coordsize="24,392">
              <v:shape style="position:absolute;left:9549;top:17;width:24;height:392" coordorigin="9549,17" coordsize="24,392" path="m9549,408l9573,408,9573,17,9549,17,9549,408xe" filled="true" fillcolor="#d2d2d2" stroked="false">
                <v:path arrowok="t"/>
                <v:fill type="solid"/>
              </v:shape>
            </v:group>
            <v:group style="position:absolute;left:2028;top:17;width:7521;height:392" coordorigin="2028,17" coordsize="7521,392">
              <v:shape style="position:absolute;left:2028;top:17;width:7521;height:392" coordorigin="2028,17" coordsize="7521,392" path="m2028,408l9549,408,9549,17,2028,17,2028,408xe" filled="true" fillcolor="#d2d2d2" stroked="false">
                <v:path arrowok="t"/>
                <v:fill type="solid"/>
              </v:shape>
            </v:group>
            <v:group style="position:absolute;left:10;top:10;width:1986;height:2" coordorigin="10,10" coordsize="1986,2">
              <v:shape style="position:absolute;left:10;top:10;width:1986;height:2" coordorigin="10,10" coordsize="1986,0" path="m10,10l1995,10e" filled="false" stroked="true" strokeweight=".47998pt" strokecolor="#000000">
                <v:path arrowok="t"/>
              </v:shape>
            </v:group>
            <v:group style="position:absolute;left:2004;top:10;width:7569;height:2" coordorigin="2004,10" coordsize="7569,2">
              <v:shape style="position:absolute;left:2004;top:10;width:7569;height:2" coordorigin="2004,10" coordsize="7569,0" path="m2004,10l9573,10e" filled="false" stroked="true" strokeweight=".4799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1986;height:2" coordorigin="10,413" coordsize="1986,2">
              <v:shape style="position:absolute;left:10;top:413;width:1986;height:2" coordorigin="10,413" coordsize="1986,0" path="m10,413l1995,413e" filled="false" stroked="true" strokeweight=".47998pt" strokecolor="#000000">
                <v:path arrowok="t"/>
              </v:shape>
            </v:group>
            <v:group style="position:absolute;left:2000;top:5;width:2;height:413" coordorigin="2000,5" coordsize="2,413">
              <v:shape style="position:absolute;left:2000;top:5;width:2;height:413" coordorigin="2000,5" coordsize="0,413" path="m2000,5l2000,418e" filled="false" stroked="true" strokeweight=".48001pt" strokecolor="#000000">
                <v:path arrowok="t"/>
              </v:shape>
            </v:group>
            <v:group style="position:absolute;left:2004;top:413;width:7569;height:2" coordorigin="2004,413" coordsize="7569,2">
              <v:shape style="position:absolute;left:2004;top:413;width:7569;height:2" coordorigin="2004,413" coordsize="7569,0" path="m2004,413l9573,413e" filled="false" stroked="true" strokeweight=".47998pt" strokecolor="#000000">
                <v:path arrowok="t"/>
              </v:shape>
            </v:group>
            <v:group style="position:absolute;left:9578;top:5;width:2;height:413" coordorigin="9578,5" coordsize="2,413">
              <v:shape style="position:absolute;left:9578;top:5;width:2;height:413" coordorigin="9578,5" coordsize="0,413" path="m9578,5l9578,418e" filled="false" stroked="true" strokeweight=".47998pt" strokecolor="#000000">
                <v:path arrowok="t"/>
              </v:shape>
              <v:shape style="position:absolute;left:6;top:11;width:1994;height:402" type="#_x0000_t202" filled="false" stroked="false">
                <v:textbox inset="0,0,0,0">
                  <w:txbxContent>
                    <w:p>
                      <w:pPr>
                        <w:spacing w:before="55"/>
                        <w:ind w:left="94" w:right="0" w:firstLine="0"/>
                        <w:jc w:val="left"/>
                        <w:rPr>
                          <w:rFonts w:ascii="宋体" w:hAnsi="宋体" w:cs="宋体" w:eastAsia="宋体" w:hint="default"/>
                          <w:sz w:val="18"/>
                          <w:szCs w:val="18"/>
                        </w:rPr>
                      </w:pPr>
                      <w:r>
                        <w:rPr>
                          <w:rFonts w:ascii="宋体" w:hAnsi="宋体" w:cs="宋体" w:eastAsia="宋体" w:hint="default"/>
                          <w:sz w:val="18"/>
                          <w:szCs w:val="18"/>
                        </w:rPr>
                        <w:t>其他应收款（按单位）</w:t>
                      </w:r>
                    </w:p>
                  </w:txbxContent>
                </v:textbox>
                <w10:wrap type="none"/>
              </v:shape>
              <v:shape style="position:absolute;left:5428;top:12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期末余额</w:t>
                      </w:r>
                    </w:p>
                  </w:txbxContent>
                </v:textbox>
                <w10:wrap type="none"/>
              </v:shape>
            </v:group>
          </v:group>
        </w:pict>
      </w:r>
      <w:r>
        <w:rPr>
          <w:rFonts w:ascii="宋体" w:hAnsi="宋体" w:cs="宋体" w:eastAsia="宋体" w:hint="default"/>
          <w:position w:val="-7"/>
          <w:sz w:val="20"/>
          <w:szCs w:val="20"/>
        </w:rPr>
      </w:r>
    </w:p>
    <w:p>
      <w:pPr>
        <w:spacing w:after="0" w:line="422" w:lineRule="exact"/>
        <w:rPr>
          <w:rFonts w:ascii="宋体" w:hAnsi="宋体" w:cs="宋体" w:eastAsia="宋体" w:hint="default"/>
          <w:sz w:val="20"/>
          <w:szCs w:val="20"/>
        </w:rPr>
        <w:sectPr>
          <w:type w:val="continuous"/>
          <w:pgSz w:w="11910" w:h="16840"/>
          <w:pgMar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1995"/>
        <w:gridCol w:w="1837"/>
        <w:gridCol w:w="1913"/>
        <w:gridCol w:w="1913"/>
        <w:gridCol w:w="1916"/>
      </w:tblGrid>
      <w:tr>
        <w:trPr>
          <w:trHeight w:val="401"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2"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5" w:hRule="exact"/>
        </w:trPr>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159"/>
              <w:jc w:val="left"/>
              <w:rPr>
                <w:rFonts w:ascii="宋体" w:hAnsi="宋体" w:cs="宋体" w:eastAsia="宋体" w:hint="default"/>
                <w:sz w:val="18"/>
                <w:szCs w:val="18"/>
              </w:rPr>
            </w:pPr>
            <w:r>
              <w:rPr>
                <w:rFonts w:ascii="宋体" w:hAnsi="宋体" w:cs="宋体" w:eastAsia="宋体" w:hint="default"/>
                <w:sz w:val="18"/>
                <w:szCs w:val="18"/>
              </w:rPr>
              <w:t>北京老虎宝典科技有限 责任公司</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235" w:right="0"/>
              <w:jc w:val="left"/>
              <w:rPr>
                <w:rFonts w:ascii="Times New Roman" w:hAnsi="Times New Roman" w:cs="Times New Roman" w:eastAsia="Times New Roman" w:hint="default"/>
                <w:sz w:val="18"/>
                <w:szCs w:val="18"/>
              </w:rPr>
            </w:pPr>
            <w:r>
              <w:rPr>
                <w:rFonts w:ascii="Times New Roman"/>
                <w:sz w:val="18"/>
              </w:rPr>
              <w:t>100.00%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预计无法收回</w:t>
            </w:r>
          </w:p>
        </w:tc>
      </w:tr>
      <w:tr>
        <w:trPr>
          <w:trHeight w:val="40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 w:right="0"/>
              <w:jc w:val="center"/>
              <w:rPr>
                <w:rFonts w:ascii="Times New Roman" w:hAnsi="Times New Roman" w:cs="Times New Roman" w:eastAsia="Times New Roman" w:hint="default"/>
                <w:sz w:val="18"/>
                <w:szCs w:val="18"/>
              </w:rPr>
            </w:pPr>
            <w:r>
              <w:rPr>
                <w:rFonts w:ascii="Times New Roman"/>
                <w:sz w:val="18"/>
              </w:rPr>
              <w:t>--</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49"/>
        <w:ind w:right="0"/>
        <w:jc w:val="left"/>
      </w:pPr>
      <w:r>
        <w:rPr/>
        <w:t>组合中，按账龄分析法计提坏账准备的其他应收款：</w:t>
      </w:r>
    </w:p>
    <w:p>
      <w:pPr>
        <w:pStyle w:val="BodyText"/>
        <w:spacing w:line="340" w:lineRule="auto" w:before="115"/>
        <w:ind w:right="527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组合中，采用余额百分比法计提坏账准备的其他应收款：</w:t>
      </w:r>
    </w:p>
    <w:p>
      <w:pPr>
        <w:pStyle w:val="BodyText"/>
        <w:spacing w:line="340" w:lineRule="auto" w:before="39"/>
        <w:ind w:right="56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t>不适用 组合中，采用其他方法计提坏账准备的其他应收款：</w:t>
      </w:r>
    </w:p>
    <w:p>
      <w:pPr>
        <w:pStyle w:val="BodyText"/>
        <w:spacing w:line="240" w:lineRule="auto" w:before="41"/>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spacing w:line="240" w:lineRule="auto" w:before="1"/>
        <w:rPr>
          <w:rFonts w:ascii="宋体" w:hAnsi="宋体" w:cs="宋体" w:eastAsia="宋体" w:hint="default"/>
          <w:sz w:val="7"/>
          <w:szCs w:val="7"/>
        </w:rPr>
      </w:pPr>
    </w:p>
    <w:tbl>
      <w:tblPr>
        <w:tblW w:w="0" w:type="auto"/>
        <w:jc w:val="left"/>
        <w:tblInd w:w="145" w:type="dxa"/>
        <w:tblLayout w:type="fixed"/>
        <w:tblCellMar>
          <w:top w:w="0" w:type="dxa"/>
          <w:left w:w="0" w:type="dxa"/>
          <w:bottom w:w="0" w:type="dxa"/>
          <w:right w:w="0" w:type="dxa"/>
        </w:tblCellMar>
        <w:tblLook w:val="01E0"/>
      </w:tblPr>
      <w:tblGrid>
        <w:gridCol w:w="2444"/>
        <w:gridCol w:w="2353"/>
        <w:gridCol w:w="2009"/>
        <w:gridCol w:w="2835"/>
      </w:tblGrid>
      <w:tr>
        <w:trPr>
          <w:trHeight w:val="349" w:hRule="exact"/>
        </w:trPr>
        <w:tc>
          <w:tcPr>
            <w:tcW w:w="2444"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20"/>
              <w:ind w:left="5"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7197"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
              <w:ind w:right="0"/>
              <w:jc w:val="center"/>
              <w:rPr>
                <w:rFonts w:ascii="宋体" w:hAnsi="宋体" w:cs="宋体" w:eastAsia="宋体" w:hint="default"/>
                <w:sz w:val="20"/>
                <w:szCs w:val="20"/>
              </w:rPr>
            </w:pPr>
            <w:r>
              <w:rPr>
                <w:rFonts w:ascii="宋体" w:hAnsi="宋体" w:cs="宋体" w:eastAsia="宋体" w:hint="default"/>
                <w:sz w:val="20"/>
                <w:szCs w:val="20"/>
              </w:rPr>
              <w:t>期末余额</w:t>
            </w:r>
          </w:p>
        </w:tc>
      </w:tr>
      <w:tr>
        <w:trPr>
          <w:trHeight w:val="346" w:hRule="exact"/>
        </w:trPr>
        <w:tc>
          <w:tcPr>
            <w:tcW w:w="2444" w:type="dxa"/>
            <w:vMerge/>
            <w:tcBorders>
              <w:left w:val="single" w:sz="6" w:space="0" w:color="000000"/>
              <w:bottom w:val="single" w:sz="6" w:space="0" w:color="000000"/>
              <w:right w:val="single" w:sz="6" w:space="0" w:color="000000"/>
            </w:tcBorders>
            <w:shd w:val="clear" w:color="auto" w:fill="D9D9D9"/>
          </w:tcPr>
          <w:p>
            <w:pPr/>
          </w:p>
        </w:tc>
        <w:tc>
          <w:tcPr>
            <w:tcW w:w="23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670"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20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597" w:right="0"/>
              <w:jc w:val="left"/>
              <w:rPr>
                <w:rFonts w:ascii="宋体" w:hAnsi="宋体" w:cs="宋体" w:eastAsia="宋体" w:hint="default"/>
                <w:sz w:val="20"/>
                <w:szCs w:val="20"/>
              </w:rPr>
            </w:pPr>
            <w:r>
              <w:rPr>
                <w:rFonts w:ascii="宋体" w:hAnsi="宋体" w:cs="宋体" w:eastAsia="宋体" w:hint="default"/>
                <w:sz w:val="20"/>
                <w:szCs w:val="20"/>
              </w:rPr>
              <w:t>坏账准备</w:t>
            </w:r>
          </w:p>
        </w:tc>
        <w:tc>
          <w:tcPr>
            <w:tcW w:w="28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729" w:right="0"/>
              <w:jc w:val="left"/>
              <w:rPr>
                <w:rFonts w:ascii="宋体" w:hAnsi="宋体" w:cs="宋体" w:eastAsia="宋体" w:hint="default"/>
                <w:sz w:val="20"/>
                <w:szCs w:val="20"/>
              </w:rPr>
            </w:pPr>
            <w:r>
              <w:rPr>
                <w:rFonts w:ascii="宋体" w:hAnsi="宋体" w:cs="宋体" w:eastAsia="宋体" w:hint="default"/>
                <w:sz w:val="20"/>
                <w:szCs w:val="20"/>
              </w:rPr>
              <w:t>计提比例（</w:t>
            </w:r>
            <w:r>
              <w:rPr>
                <w:rFonts w:ascii="Times New Roman" w:hAnsi="Times New Roman" w:cs="Times New Roman" w:eastAsia="Times New Roman" w:hint="default"/>
                <w:sz w:val="20"/>
                <w:szCs w:val="20"/>
              </w:rPr>
              <w:t>%</w:t>
            </w:r>
            <w:r>
              <w:rPr>
                <w:rFonts w:ascii="宋体" w:hAnsi="宋体" w:cs="宋体" w:eastAsia="宋体" w:hint="default"/>
                <w:sz w:val="20"/>
                <w:szCs w:val="20"/>
              </w:rPr>
              <w:t>）</w:t>
            </w:r>
          </w:p>
        </w:tc>
      </w:tr>
      <w:tr>
        <w:trPr>
          <w:trHeight w:val="348" w:hRule="exact"/>
        </w:trPr>
        <w:tc>
          <w:tcPr>
            <w:tcW w:w="24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left="4" w:right="0"/>
              <w:jc w:val="left"/>
              <w:rPr>
                <w:rFonts w:ascii="宋体" w:hAnsi="宋体" w:cs="宋体" w:eastAsia="宋体" w:hint="default"/>
                <w:sz w:val="20"/>
                <w:szCs w:val="20"/>
              </w:rPr>
            </w:pPr>
            <w:r>
              <w:rPr>
                <w:rFonts w:ascii="宋体" w:hAnsi="宋体" w:cs="宋体" w:eastAsia="宋体" w:hint="default"/>
                <w:sz w:val="20"/>
                <w:szCs w:val="20"/>
              </w:rPr>
              <w:t>款项性质组合</w:t>
            </w:r>
          </w:p>
        </w:tc>
        <w:tc>
          <w:tcPr>
            <w:tcW w:w="2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w w:val="95"/>
                <w:sz w:val="20"/>
              </w:rPr>
              <w:t>12,248,879.88</w:t>
            </w:r>
            <w:r>
              <w:rPr>
                <w:rFonts w:ascii="Times New Roman"/>
                <w:sz w:val="20"/>
              </w:rPr>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c>
          <w:tcPr>
            <w:tcW w:w="2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1"/>
              <w:ind w:right="-1"/>
              <w:jc w:val="right"/>
              <w:rPr>
                <w:rFonts w:ascii="Times New Roman" w:hAnsi="Times New Roman" w:cs="Times New Roman" w:eastAsia="Times New Roman" w:hint="default"/>
                <w:sz w:val="20"/>
                <w:szCs w:val="20"/>
              </w:rPr>
            </w:pPr>
            <w:r>
              <w:rPr>
                <w:rFonts w:ascii="Times New Roman"/>
                <w:sz w:val="20"/>
              </w:rPr>
              <w:t>0.00</w:t>
            </w:r>
          </w:p>
        </w:tc>
      </w:tr>
      <w:tr>
        <w:trPr>
          <w:trHeight w:val="348" w:hRule="exact"/>
        </w:trPr>
        <w:tc>
          <w:tcPr>
            <w:tcW w:w="2444" w:type="dxa"/>
            <w:tcBorders>
              <w:top w:val="single" w:sz="6" w:space="0" w:color="000000"/>
              <w:left w:val="single" w:sz="6" w:space="0" w:color="000000"/>
              <w:bottom w:val="single" w:sz="10" w:space="0" w:color="000000"/>
              <w:right w:val="single" w:sz="6" w:space="0" w:color="000000"/>
            </w:tcBorders>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交易风险组合</w:t>
            </w:r>
          </w:p>
        </w:tc>
        <w:tc>
          <w:tcPr>
            <w:tcW w:w="23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35,621,018.47</w:t>
            </w:r>
            <w:r>
              <w:rPr>
                <w:rFonts w:ascii="Times New Roman"/>
                <w:sz w:val="20"/>
              </w:rPr>
            </w:r>
          </w:p>
        </w:tc>
        <w:tc>
          <w:tcPr>
            <w:tcW w:w="2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28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r>
      <w:tr>
        <w:trPr>
          <w:trHeight w:val="346" w:hRule="exact"/>
        </w:trPr>
        <w:tc>
          <w:tcPr>
            <w:tcW w:w="24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
              <w:ind w:left="4" w:right="0"/>
              <w:jc w:val="left"/>
              <w:rPr>
                <w:rFonts w:ascii="宋体" w:hAnsi="宋体" w:cs="宋体" w:eastAsia="宋体" w:hint="default"/>
                <w:sz w:val="20"/>
                <w:szCs w:val="20"/>
              </w:rPr>
            </w:pPr>
            <w:r>
              <w:rPr>
                <w:rFonts w:ascii="宋体" w:hAnsi="宋体" w:cs="宋体" w:eastAsia="宋体" w:hint="default"/>
                <w:sz w:val="20"/>
                <w:szCs w:val="20"/>
              </w:rPr>
              <w:t>合计</w:t>
            </w:r>
          </w:p>
        </w:tc>
        <w:tc>
          <w:tcPr>
            <w:tcW w:w="23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w w:val="95"/>
                <w:sz w:val="20"/>
              </w:rPr>
              <w:t>47,869,898.35</w:t>
            </w:r>
            <w:r>
              <w:rPr>
                <w:rFonts w:ascii="Times New Roman"/>
                <w:sz w:val="20"/>
              </w:rPr>
            </w:r>
          </w:p>
        </w:tc>
        <w:tc>
          <w:tcPr>
            <w:tcW w:w="20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8"/>
              <w:ind w:right="1"/>
              <w:jc w:val="right"/>
              <w:rPr>
                <w:rFonts w:ascii="Times New Roman" w:hAnsi="Times New Roman" w:cs="Times New Roman" w:eastAsia="Times New Roman" w:hint="default"/>
                <w:sz w:val="20"/>
                <w:szCs w:val="20"/>
              </w:rPr>
            </w:pPr>
            <w:r>
              <w:rPr>
                <w:rFonts w:ascii="Times New Roman"/>
                <w:sz w:val="20"/>
              </w:rPr>
              <w:t>0.00</w:t>
            </w:r>
          </w:p>
        </w:tc>
        <w:tc>
          <w:tcPr>
            <w:tcW w:w="28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7"/>
              <w:ind w:left="3" w:right="0"/>
              <w:jc w:val="center"/>
              <w:rPr>
                <w:rFonts w:ascii="Times New Roman" w:hAnsi="Times New Roman" w:cs="Times New Roman" w:eastAsia="Times New Roman" w:hint="default"/>
                <w:sz w:val="22"/>
                <w:szCs w:val="22"/>
              </w:rPr>
            </w:pPr>
            <w:r>
              <w:rPr>
                <w:rFonts w:ascii="Times New Roman" w:hAnsi="Times New Roman" w:cs="Times New Roman" w:eastAsia="Times New Roman" w:hint="default"/>
                <w:w w:val="100"/>
                <w:sz w:val="22"/>
                <w:szCs w:val="22"/>
              </w:rPr>
              <w:t>—</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4"/>
        <w:rPr>
          <w:rFonts w:ascii="宋体" w:hAnsi="宋体" w:cs="宋体" w:eastAsia="宋体" w:hint="default"/>
          <w:b/>
          <w:bCs/>
          <w:sz w:val="26"/>
          <w:szCs w:val="26"/>
        </w:rPr>
      </w:pPr>
    </w:p>
    <w:p>
      <w:pPr>
        <w:pStyle w:val="BodyText"/>
        <w:spacing w:line="340" w:lineRule="auto"/>
        <w:ind w:right="3595"/>
        <w:jc w:val="left"/>
      </w:pPr>
      <w:r>
        <w:rPr/>
        <w:t>本期计提坏账准备金额</w:t>
      </w:r>
      <w:r>
        <w:rPr>
          <w:rFonts w:ascii="Times New Roman" w:hAnsi="Times New Roman" w:cs="Times New Roman" w:eastAsia="Times New Roman" w:hint="default"/>
        </w:rPr>
        <w:t>-161,325.57 </w:t>
      </w:r>
      <w:r>
        <w:rPr/>
        <w:t>元；本期收回或转回坏账准备金额</w:t>
      </w:r>
      <w:r>
        <w:rPr>
          <w:spacing w:val="-46"/>
        </w:rPr>
        <w:t> </w:t>
      </w:r>
      <w:r>
        <w:rPr>
          <w:rFonts w:ascii="Times New Roman" w:hAnsi="Times New Roman" w:cs="Times New Roman" w:eastAsia="Times New Roman" w:hint="default"/>
        </w:rPr>
        <w:t>0.00 </w:t>
      </w:r>
      <w:r>
        <w:rPr/>
        <w:t>元。 其中本期坏账准备转回或收回金额重要的：</w:t>
      </w:r>
    </w:p>
    <w:p>
      <w:pPr>
        <w:pStyle w:val="BodyText"/>
        <w:spacing w:line="240" w:lineRule="auto" w:before="39"/>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68"/>
        <w:gridCol w:w="3101"/>
        <w:gridCol w:w="3101"/>
      </w:tblGrid>
      <w:tr>
        <w:trPr>
          <w:trHeight w:val="403"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1005"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往来款及代垫款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40,917,268.57</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10,668,612.14</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3,788,022.24</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9,250,868.90</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6,081,986.71</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3,917,793.14</w:t>
            </w:r>
          </w:p>
        </w:tc>
      </w:tr>
      <w:tr>
        <w:trPr>
          <w:trHeight w:val="403" w:hRule="exact"/>
        </w:trPr>
        <w:tc>
          <w:tcPr>
            <w:tcW w:w="3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82,620.83</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50,869,898.35</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23,837,274.18</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3"/>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267"/>
        <w:gridCol w:w="1277"/>
        <w:gridCol w:w="1699"/>
        <w:gridCol w:w="1095"/>
        <w:gridCol w:w="1615"/>
        <w:gridCol w:w="1616"/>
      </w:tblGrid>
      <w:tr>
        <w:trPr>
          <w:trHeight w:val="402" w:hRule="exact"/>
        </w:trPr>
        <w:tc>
          <w:tcPr>
            <w:tcW w:w="2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182"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6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48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365"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9"/>
              <w:ind w:left="83" w:right="0"/>
              <w:jc w:val="left"/>
              <w:rPr>
                <w:rFonts w:ascii="宋体" w:hAnsi="宋体" w:cs="宋体" w:eastAsia="宋体" w:hint="default"/>
                <w:sz w:val="18"/>
                <w:szCs w:val="18"/>
              </w:rPr>
            </w:pPr>
            <w:r>
              <w:rPr>
                <w:rFonts w:ascii="宋体" w:hAnsi="宋体" w:cs="宋体" w:eastAsia="宋体" w:hint="default"/>
                <w:sz w:val="18"/>
                <w:szCs w:val="18"/>
              </w:rPr>
              <w:t>占其他应收款期末</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84" w:right="0"/>
              <w:jc w:val="left"/>
              <w:rPr>
                <w:rFonts w:ascii="宋体" w:hAnsi="宋体" w:cs="宋体" w:eastAsia="宋体" w:hint="default"/>
                <w:sz w:val="18"/>
                <w:szCs w:val="18"/>
              </w:rPr>
            </w:pPr>
            <w:r>
              <w:rPr>
                <w:rFonts w:ascii="宋体" w:hAnsi="宋体" w:cs="宋体" w:eastAsia="宋体" w:hint="default"/>
                <w:sz w:val="18"/>
                <w:szCs w:val="18"/>
              </w:rPr>
              <w:t>坏账准备期末余额</w:t>
            </w:r>
          </w:p>
        </w:tc>
      </w:tr>
    </w:tbl>
    <w:p>
      <w:pPr>
        <w:spacing w:after="0" w:line="240" w:lineRule="auto"/>
        <w:jc w:val="left"/>
        <w:rPr>
          <w:rFonts w:ascii="宋体" w:hAnsi="宋体" w:cs="宋体" w:eastAsia="宋体" w:hint="default"/>
          <w:sz w:val="18"/>
          <w:szCs w:val="18"/>
        </w:rPr>
        <w:sectPr>
          <w:pgSz w:w="11910" w:h="16840"/>
          <w:pgMar w:header="745" w:footer="979" w:top="1060" w:bottom="1160" w:left="980" w:right="980"/>
        </w:sectPr>
      </w:pPr>
    </w:p>
    <w:p>
      <w:pPr>
        <w:spacing w:line="240" w:lineRule="auto" w:before="6"/>
        <w:rPr>
          <w:rFonts w:ascii="宋体" w:hAnsi="宋体" w:cs="宋体" w:eastAsia="宋体" w:hint="default"/>
          <w:sz w:val="28"/>
          <w:szCs w:val="28"/>
        </w:rPr>
      </w:pPr>
    </w:p>
    <w:tbl>
      <w:tblPr>
        <w:tblW w:w="0" w:type="auto"/>
        <w:jc w:val="left"/>
        <w:tblInd w:w="148" w:type="dxa"/>
        <w:tblLayout w:type="fixed"/>
        <w:tblCellMar>
          <w:top w:w="0" w:type="dxa"/>
          <w:left w:w="0" w:type="dxa"/>
          <w:bottom w:w="0" w:type="dxa"/>
          <w:right w:w="0" w:type="dxa"/>
        </w:tblCellMar>
        <w:tblLook w:val="01E0"/>
      </w:tblPr>
      <w:tblGrid>
        <w:gridCol w:w="2268"/>
        <w:gridCol w:w="1277"/>
        <w:gridCol w:w="1699"/>
        <w:gridCol w:w="1095"/>
        <w:gridCol w:w="1615"/>
        <w:gridCol w:w="1616"/>
      </w:tblGrid>
      <w:tr>
        <w:trPr>
          <w:trHeight w:val="363"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9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9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
              <w:ind w:right="79"/>
              <w:jc w:val="right"/>
              <w:rPr>
                <w:rFonts w:ascii="宋体" w:hAnsi="宋体" w:cs="宋体" w:eastAsia="宋体" w:hint="default"/>
                <w:sz w:val="18"/>
                <w:szCs w:val="18"/>
              </w:rPr>
            </w:pPr>
            <w:r>
              <w:rPr>
                <w:rFonts w:ascii="宋体" w:hAnsi="宋体" w:cs="宋体" w:eastAsia="宋体" w:hint="default"/>
                <w:sz w:val="18"/>
                <w:szCs w:val="18"/>
              </w:rPr>
              <w:t>余额合计数的比例</w:t>
            </w:r>
          </w:p>
        </w:tc>
        <w:tc>
          <w:tcPr>
            <w:tcW w:w="161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1"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北京图为先科技有限公司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25,358,033.71</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49.85%</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上海趣驾信息科技有限公司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9.83%</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北京老虎宝典科技有限责任 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5.90%</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中寰卫星导航通信有限公司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2,672,672.95</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5.25%</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中交宇科（北京）空间信息 技术有限公司</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1,981,032.72</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3.89%</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3"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38,011,739.38</w:t>
            </w:r>
          </w:p>
        </w:tc>
        <w:tc>
          <w:tcPr>
            <w:tcW w:w="10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5" w:right="0"/>
              <w:jc w:val="center"/>
              <w:rPr>
                <w:rFonts w:ascii="Times New Roman" w:hAnsi="Times New Roman" w:cs="Times New Roman" w:eastAsia="Times New Roman" w:hint="default"/>
                <w:sz w:val="18"/>
                <w:szCs w:val="18"/>
              </w:rPr>
            </w:pPr>
            <w:r>
              <w:rPr>
                <w:rFonts w:ascii="Times New Roman"/>
                <w:sz w:val="18"/>
              </w:rPr>
              <w:t>--</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74.72%</w:t>
            </w:r>
          </w:p>
        </w:tc>
        <w:tc>
          <w:tcPr>
            <w:tcW w:w="1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3</w:t>
      </w:r>
      <w:r>
        <w:rPr/>
        <w:t>、长期股权投资</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368"/>
        <w:gridCol w:w="1368"/>
        <w:gridCol w:w="1369"/>
        <w:gridCol w:w="1366"/>
        <w:gridCol w:w="1368"/>
        <w:gridCol w:w="1366"/>
        <w:gridCol w:w="1368"/>
      </w:tblGrid>
      <w:tr>
        <w:trPr>
          <w:trHeight w:val="401"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3"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5,177,635,444.31</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67,269,310.81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5,110,366,133.50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1,064,868,467.02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34,410,914.76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1,030,457,552.26</w:t>
            </w:r>
          </w:p>
        </w:tc>
      </w:tr>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77,302,684.84</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77,302,684.84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38,285,070.13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38,285,070.13</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5,254,938,129.15</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67,269,310.81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5,187,668,818.34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1,103,153,537.15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34,410,914.76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1,068,742,622.39</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1</w:t>
      </w:r>
      <w:r>
        <w:rPr/>
        <w:t>）对子公司投资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5"/>
        <w:gridCol w:w="1335"/>
        <w:gridCol w:w="1334"/>
        <w:gridCol w:w="1390"/>
        <w:gridCol w:w="1390"/>
      </w:tblGrid>
      <w:tr>
        <w:trPr>
          <w:trHeight w:val="713"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69"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8" w:hanging="540"/>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599"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北京图新经纬导 航系统有限公司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7" w:right="0"/>
              <w:jc w:val="left"/>
              <w:rPr>
                <w:rFonts w:ascii="Times New Roman" w:hAnsi="Times New Roman" w:cs="Times New Roman" w:eastAsia="Times New Roman" w:hint="default"/>
                <w:sz w:val="18"/>
                <w:szCs w:val="18"/>
              </w:rPr>
            </w:pPr>
            <w:r>
              <w:rPr>
                <w:rFonts w:ascii="Times New Roman"/>
                <w:sz w:val="18"/>
              </w:rPr>
              <w:t>3,825,000.00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7" w:right="0"/>
              <w:jc w:val="left"/>
              <w:rPr>
                <w:rFonts w:ascii="Times New Roman" w:hAnsi="Times New Roman" w:cs="Times New Roman" w:eastAsia="Times New Roman" w:hint="default"/>
                <w:sz w:val="18"/>
                <w:szCs w:val="18"/>
              </w:rPr>
            </w:pPr>
            <w:r>
              <w:rPr>
                <w:rFonts w:ascii="Times New Roman"/>
                <w:sz w:val="18"/>
              </w:rPr>
              <w:t>3,825,000.00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8"/>
              <w:ind w:left="24" w:right="0"/>
              <w:jc w:val="left"/>
              <w:rPr>
                <w:rFonts w:ascii="宋体" w:hAnsi="宋体" w:cs="宋体" w:eastAsia="宋体" w:hint="default"/>
                <w:sz w:val="18"/>
                <w:szCs w:val="18"/>
              </w:rPr>
            </w:pPr>
            <w:r>
              <w:rPr>
                <w:rFonts w:ascii="宋体" w:hAnsi="宋体" w:cs="宋体" w:eastAsia="宋体" w:hint="default"/>
                <w:sz w:val="18"/>
                <w:szCs w:val="18"/>
              </w:rPr>
              <w:t>上海纳维信息技</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8" w:right="0"/>
              <w:jc w:val="left"/>
              <w:rPr>
                <w:rFonts w:ascii="Times New Roman" w:hAnsi="Times New Roman" w:cs="Times New Roman" w:eastAsia="Times New Roman" w:hint="default"/>
                <w:sz w:val="18"/>
                <w:szCs w:val="18"/>
              </w:rPr>
            </w:pPr>
            <w:r>
              <w:rPr>
                <w:rFonts w:ascii="Times New Roman"/>
                <w:sz w:val="18"/>
              </w:rPr>
              <w:t>84,058,633.05</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8" w:right="0"/>
              <w:jc w:val="left"/>
              <w:rPr>
                <w:rFonts w:ascii="Times New Roman" w:hAnsi="Times New Roman" w:cs="Times New Roman" w:eastAsia="Times New Roman" w:hint="default"/>
                <w:sz w:val="18"/>
                <w:szCs w:val="18"/>
              </w:rPr>
            </w:pPr>
            <w:r>
              <w:rPr>
                <w:rFonts w:ascii="Times New Roman"/>
                <w:sz w:val="18"/>
              </w:rPr>
              <w:t>84,058,633.05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4,221,015.00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1448"/>
        <w:gridCol w:w="1337"/>
        <w:gridCol w:w="1335"/>
        <w:gridCol w:w="1335"/>
        <w:gridCol w:w="1334"/>
        <w:gridCol w:w="1390"/>
        <w:gridCol w:w="1390"/>
      </w:tblGrid>
      <w:tr>
        <w:trPr>
          <w:trHeight w:val="36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术有限公司</w:t>
            </w:r>
          </w:p>
        </w:tc>
        <w:tc>
          <w:tcPr>
            <w:tcW w:w="1337"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5"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北京四维图新科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7"/>
              <w:jc w:val="left"/>
              <w:rPr>
                <w:rFonts w:ascii="宋体" w:hAnsi="宋体" w:cs="宋体" w:eastAsia="宋体" w:hint="default"/>
                <w:sz w:val="18"/>
                <w:szCs w:val="18"/>
              </w:rPr>
            </w:pPr>
            <w:r>
              <w:rPr>
                <w:rFonts w:ascii="宋体" w:hAnsi="宋体" w:cs="宋体" w:eastAsia="宋体" w:hint="default"/>
                <w:sz w:val="18"/>
                <w:szCs w:val="18"/>
              </w:rPr>
              <w:t>四维图新（香港） 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36,534,805.00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6,978,898.00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43,513,703.00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北京世纪高通科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143,939,092.00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143,939,092.00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上海四维图新信 息技术有限公司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西安四维图新信 息技术有限公司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7"/>
              <w:jc w:val="left"/>
              <w:rPr>
                <w:rFonts w:ascii="宋体" w:hAnsi="宋体" w:cs="宋体" w:eastAsia="宋体" w:hint="default"/>
                <w:sz w:val="18"/>
                <w:szCs w:val="18"/>
              </w:rPr>
            </w:pPr>
            <w:r>
              <w:rPr>
                <w:rFonts w:ascii="宋体" w:hAnsi="宋体" w:cs="宋体" w:eastAsia="宋体" w:hint="default"/>
                <w:sz w:val="18"/>
                <w:szCs w:val="18"/>
              </w:rPr>
              <w:t>中交宇科（北京） 空间信息技术有 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138,000,000.00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138,000,000.00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31,456,866.50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61,646,766.26</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北京图迅丰达信 息技术公司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29,523,471.60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29,523,471.60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中寰卫星导航通 信有限公司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44,198,279.37</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66,350,900.00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110,549,179.37</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北京图新智盛信 息技术有限公司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西安四维图新实 业有限公司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50,000,000.00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长沙市海图科技 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27,000,000.00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1,401,529.55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1,401,529.55</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北京图为先科技 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295,801,950.00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158,345,232.00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454,147,182.00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武汉四维图新科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6"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北京图新数聚科 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159"/>
              <w:jc w:val="left"/>
              <w:rPr>
                <w:rFonts w:ascii="Times New Roman" w:hAnsi="Times New Roman" w:cs="Times New Roman" w:eastAsia="Times New Roman" w:hint="default"/>
                <w:sz w:val="18"/>
                <w:szCs w:val="18"/>
              </w:rPr>
            </w:pPr>
            <w:r>
              <w:rPr>
                <w:rFonts w:ascii="Times New Roman"/>
                <w:spacing w:val="-4"/>
                <w:sz w:val="18"/>
              </w:rPr>
              <w:t>NAVINFO</w:t>
            </w:r>
            <w:r>
              <w:rPr>
                <w:rFonts w:ascii="Times New Roman"/>
                <w:spacing w:val="2"/>
                <w:sz w:val="18"/>
              </w:rPr>
              <w:t> </w:t>
            </w:r>
            <w:r>
              <w:rPr>
                <w:rFonts w:ascii="Times New Roman"/>
                <w:sz w:val="18"/>
              </w:rPr>
              <w:t>North</w:t>
            </w:r>
            <w:r>
              <w:rPr>
                <w:rFonts w:ascii="Times New Roman"/>
                <w:w w:val="99"/>
                <w:sz w:val="18"/>
              </w:rPr>
              <w:t> </w:t>
            </w:r>
            <w:r>
              <w:rPr>
                <w:rFonts w:ascii="Times New Roman"/>
                <w:sz w:val="18"/>
              </w:rPr>
              <w:t>America</w:t>
            </w:r>
            <w:r>
              <w:rPr>
                <w:rFonts w:ascii="Times New Roman"/>
                <w:spacing w:val="-3"/>
                <w:sz w:val="18"/>
              </w:rPr>
              <w:t> </w:t>
            </w:r>
            <w:r>
              <w:rPr>
                <w:rFonts w:ascii="Times New Roman"/>
                <w:sz w:val="18"/>
              </w:rPr>
              <w:t>Corp.</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35,985,020.00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35,985,020.00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4" w:right="419"/>
              <w:jc w:val="left"/>
              <w:rPr>
                <w:rFonts w:ascii="Times New Roman" w:hAnsi="Times New Roman" w:cs="Times New Roman" w:eastAsia="Times New Roman" w:hint="default"/>
                <w:sz w:val="18"/>
                <w:szCs w:val="18"/>
              </w:rPr>
            </w:pPr>
            <w:r>
              <w:rPr>
                <w:rFonts w:ascii="Times New Roman" w:hAnsi="Times New Roman"/>
                <w:sz w:val="18"/>
              </w:rPr>
              <w:t>Coöperatieve NavInfo</w:t>
            </w:r>
            <w:r>
              <w:rPr>
                <w:rFonts w:ascii="Times New Roman" w:hAnsi="Times New Roman"/>
                <w:spacing w:val="-7"/>
                <w:sz w:val="18"/>
              </w:rPr>
              <w:t> </w:t>
            </w:r>
            <w:r>
              <w:rPr>
                <w:rFonts w:ascii="Times New Roman" w:hAnsi="Times New Roman"/>
                <w:sz w:val="18"/>
              </w:rPr>
              <w:t>U.A.</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105,002,216.00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105,002,216.00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27"/>
              <w:jc w:val="left"/>
              <w:rPr>
                <w:rFonts w:ascii="宋体" w:hAnsi="宋体" w:cs="宋体" w:eastAsia="宋体" w:hint="default"/>
                <w:sz w:val="18"/>
                <w:szCs w:val="18"/>
              </w:rPr>
            </w:pPr>
            <w:r>
              <w:rPr>
                <w:rFonts w:ascii="宋体" w:hAnsi="宋体" w:cs="宋体" w:eastAsia="宋体" w:hint="default"/>
                <w:sz w:val="18"/>
                <w:szCs w:val="18"/>
              </w:rPr>
              <w:t>图新投资（香港） 科技有限公司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8,991,947.29</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8,991,947.29</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153"/>
              <w:jc w:val="left"/>
              <w:rPr>
                <w:rFonts w:ascii="宋体" w:hAnsi="宋体" w:cs="宋体" w:eastAsia="宋体" w:hint="default"/>
                <w:sz w:val="18"/>
                <w:szCs w:val="18"/>
              </w:rPr>
            </w:pPr>
            <w:r>
              <w:rPr>
                <w:rFonts w:ascii="宋体" w:hAnsi="宋体" w:cs="宋体" w:eastAsia="宋体" w:hint="default"/>
                <w:sz w:val="18"/>
                <w:szCs w:val="18"/>
              </w:rPr>
              <w:t>合肥杰发科技有 限公司</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3,875,100,000.00</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3,875,100,000.00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1,064,868,467.02</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4,115,766,977.29</w:t>
            </w:r>
          </w:p>
        </w:tc>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3,000,000.00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5,177,635,444.31</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32,858,396.05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67,269,310.81</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2"/>
        <w:rPr>
          <w:rFonts w:ascii="Times New Roman" w:hAnsi="Times New Roman" w:cs="Times New Roman" w:eastAsia="Times New Roman" w:hint="default"/>
          <w:sz w:val="28"/>
          <w:szCs w:val="28"/>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2</w:t>
      </w:r>
      <w:r>
        <w:rPr/>
        <w:t>）对联营、合营企业投资</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2"/>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797"/>
        <w:gridCol w:w="797"/>
        <w:gridCol w:w="797"/>
        <w:gridCol w:w="797"/>
        <w:gridCol w:w="799"/>
        <w:gridCol w:w="797"/>
        <w:gridCol w:w="800"/>
        <w:gridCol w:w="797"/>
        <w:gridCol w:w="799"/>
        <w:gridCol w:w="797"/>
        <w:gridCol w:w="800"/>
        <w:gridCol w:w="797"/>
      </w:tblGrid>
      <w:tr>
        <w:trPr>
          <w:trHeight w:val="403" w:hRule="exact"/>
        </w:trPr>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8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5" w:hRule="exact"/>
        </w:trPr>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1"/>
              <w:jc w:val="right"/>
              <w:rPr>
                <w:rFonts w:ascii="宋体" w:hAnsi="宋体" w:cs="宋体" w:eastAsia="宋体" w:hint="default"/>
                <w:sz w:val="18"/>
                <w:szCs w:val="18"/>
              </w:rPr>
            </w:pPr>
            <w:r>
              <w:rPr>
                <w:rFonts w:ascii="宋体" w:hAnsi="宋体" w:cs="宋体" w:eastAsia="宋体" w:hint="default"/>
                <w:sz w:val="18"/>
                <w:szCs w:val="18"/>
              </w:rPr>
              <w:t>追加投资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32"/>
              <w:jc w:val="right"/>
              <w:rPr>
                <w:rFonts w:ascii="宋体" w:hAnsi="宋体" w:cs="宋体" w:eastAsia="宋体" w:hint="default"/>
                <w:sz w:val="18"/>
                <w:szCs w:val="18"/>
              </w:rPr>
            </w:pPr>
            <w:r>
              <w:rPr>
                <w:rFonts w:ascii="宋体" w:hAnsi="宋体" w:cs="宋体" w:eastAsia="宋体" w:hint="default"/>
                <w:sz w:val="18"/>
                <w:szCs w:val="18"/>
              </w:rPr>
              <w:t>减少投资</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5"/>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33" w:right="31"/>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4"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33" w:right="31"/>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13" w:right="35"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0"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1025"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北京图新 瀚和科技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16,395,91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-2,814,58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3.18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16,395,91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left"/>
              <w:rPr>
                <w:rFonts w:ascii="Times New Roman" w:hAnsi="Times New Roman" w:cs="Times New Roman" w:eastAsia="Times New Roman" w:hint="default"/>
                <w:sz w:val="18"/>
                <w:szCs w:val="18"/>
              </w:rPr>
            </w:pPr>
            <w:r>
              <w:rPr>
                <w:rFonts w:ascii="Times New Roman"/>
                <w:sz w:val="18"/>
              </w:rPr>
              <w:t>-2,814,58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3.18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13,581,32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6.82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9573"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339"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北京蜂云 科创信息 技术有限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1,402,579</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-561,449.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22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841,130.2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上海安吉 四维信息 技术有限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36,882,49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0.65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8,562,034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23,924,93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3.06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21,519,59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2.03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02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北京图新 数聚科技 有限公司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-337,873.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636,072.2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5</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298,198.2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337"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天盛投资 管理有限 公司</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1,440,000</w:t>
            </w:r>
          </w:p>
          <w:p>
            <w:pPr>
              <w:pStyle w:val="TableParagraph"/>
              <w:spacing w:line="240" w:lineRule="auto" w:before="105"/>
              <w:ind w:right="18"/>
              <w:jc w:val="right"/>
              <w:rPr>
                <w:rFonts w:ascii="Times New Roman" w:hAnsi="Times New Roman" w:cs="Times New Roman" w:eastAsia="Times New Roman" w:hint="default"/>
                <w:sz w:val="18"/>
                <w:szCs w:val="18"/>
              </w:rPr>
            </w:pPr>
            <w:r>
              <w:rPr>
                <w:rFonts w:ascii="Times New Roman"/>
                <w:sz w:val="18"/>
              </w:rPr>
              <w:t>.00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62,504.13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1,502,504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1652" w:hRule="exact"/>
        </w:trPr>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49"/>
              <w:ind w:left="24" w:right="41"/>
              <w:jc w:val="both"/>
              <w:rPr>
                <w:rFonts w:ascii="宋体" w:hAnsi="宋体" w:cs="宋体" w:eastAsia="宋体" w:hint="default"/>
                <w:sz w:val="18"/>
                <w:szCs w:val="18"/>
              </w:rPr>
            </w:pPr>
            <w:r>
              <w:rPr>
                <w:rFonts w:ascii="宋体" w:hAnsi="宋体" w:cs="宋体" w:eastAsia="宋体" w:hint="default"/>
                <w:sz w:val="18"/>
                <w:szCs w:val="18"/>
              </w:rPr>
              <w:t>北京四维 互联基金 管理中心</w:t>
            </w:r>
          </w:p>
          <w:p>
            <w:pPr>
              <w:pStyle w:val="TableParagraph"/>
              <w:spacing w:line="316" w:lineRule="auto" w:before="17"/>
              <w:ind w:left="24" w:right="41"/>
              <w:jc w:val="both"/>
              <w:rPr>
                <w:rFonts w:ascii="宋体" w:hAnsi="宋体" w:cs="宋体" w:eastAsia="宋体" w:hint="default"/>
                <w:sz w:val="18"/>
                <w:szCs w:val="18"/>
              </w:rPr>
            </w:pPr>
            <w:r>
              <w:rPr>
                <w:rFonts w:ascii="宋体" w:hAnsi="宋体" w:cs="宋体" w:eastAsia="宋体" w:hint="default"/>
                <w:sz w:val="18"/>
                <w:szCs w:val="18"/>
              </w:rPr>
              <w:t>（有限合 伙）</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40,000,00</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-440,066.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39,559,93</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3.33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3"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38,285,07</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0.13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41,440,00</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7,285,148</w:t>
            </w:r>
          </w:p>
          <w:p>
            <w:pPr>
              <w:pStyle w:val="TableParagraph"/>
              <w:spacing w:line="240" w:lineRule="auto" w:before="102"/>
              <w:ind w:right="21"/>
              <w:jc w:val="right"/>
              <w:rPr>
                <w:rFonts w:ascii="Times New Roman" w:hAnsi="Times New Roman" w:cs="Times New Roman" w:eastAsia="Times New Roman" w:hint="default"/>
                <w:sz w:val="18"/>
                <w:szCs w:val="18"/>
              </w:rPr>
            </w:pPr>
            <w:r>
              <w:rPr>
                <w:rFonts w:ascii="Times New Roman"/>
                <w:sz w:val="18"/>
              </w:rPr>
              <w:t>.70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23,924,93</w:t>
            </w:r>
          </w:p>
          <w:p>
            <w:pPr>
              <w:pStyle w:val="TableParagraph"/>
              <w:spacing w:line="240" w:lineRule="auto" w:before="102"/>
              <w:ind w:left="24" w:right="0"/>
              <w:jc w:val="left"/>
              <w:rPr>
                <w:rFonts w:ascii="Times New Roman" w:hAnsi="Times New Roman" w:cs="Times New Roman" w:eastAsia="Times New Roman" w:hint="default"/>
                <w:sz w:val="18"/>
                <w:szCs w:val="18"/>
              </w:rPr>
            </w:pPr>
            <w:r>
              <w:rPr>
                <w:rFonts w:ascii="Times New Roman"/>
                <w:sz w:val="18"/>
              </w:rPr>
              <w:t>3.06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63,721,35</w:t>
            </w:r>
          </w:p>
          <w:p>
            <w:pPr>
              <w:pStyle w:val="TableParagraph"/>
              <w:spacing w:line="240" w:lineRule="auto" w:before="102"/>
              <w:ind w:left="451" w:right="0"/>
              <w:jc w:val="left"/>
              <w:rPr>
                <w:rFonts w:ascii="Times New Roman" w:hAnsi="Times New Roman" w:cs="Times New Roman" w:eastAsia="Times New Roman" w:hint="default"/>
                <w:sz w:val="18"/>
                <w:szCs w:val="18"/>
              </w:rPr>
            </w:pPr>
            <w:r>
              <w:rPr>
                <w:rFonts w:ascii="Times New Roman"/>
                <w:sz w:val="18"/>
              </w:rPr>
              <w:t>8.02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38,285,07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0.13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57,835,91</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4,470,565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23,924,93</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3.06</w:t>
            </w:r>
          </w:p>
        </w:tc>
        <w:tc>
          <w:tcPr>
            <w:tcW w:w="7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77,302,68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4.84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10"/>
        <w:rPr>
          <w:rFonts w:ascii="宋体" w:hAnsi="宋体" w:cs="宋体" w:eastAsia="宋体" w:hint="default"/>
          <w:sz w:val="24"/>
          <w:szCs w:val="24"/>
        </w:rPr>
      </w:pPr>
    </w:p>
    <w:p>
      <w:pPr>
        <w:pStyle w:val="Heading5"/>
        <w:spacing w:line="240" w:lineRule="auto" w:before="36"/>
        <w:ind w:right="0"/>
        <w:jc w:val="left"/>
        <w:rPr>
          <w:b w:val="0"/>
          <w:bCs w:val="0"/>
        </w:rPr>
      </w:pPr>
      <w:r>
        <w:rPr/>
        <w:t>（</w:t>
      </w:r>
      <w:r>
        <w:rPr>
          <w:rFonts w:ascii="Times New Roman" w:hAnsi="Times New Roman" w:cs="Times New Roman" w:eastAsia="Times New Roman" w:hint="default"/>
        </w:rPr>
        <w:t>3</w:t>
      </w:r>
      <w:r>
        <w:rPr/>
        <w:t>）其他说明</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4</w:t>
      </w:r>
      <w:r>
        <w:rPr/>
        <w:t>、营业收入和营业成本</w:t>
      </w:r>
      <w:r>
        <w:rPr>
          <w:b w:val="0"/>
          <w:bCs w:val="0"/>
        </w:rPr>
      </w:r>
    </w:p>
    <w:p>
      <w:pPr>
        <w:spacing w:line="240" w:lineRule="auto" w:before="10"/>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1995"/>
        <w:gridCol w:w="1837"/>
        <w:gridCol w:w="1913"/>
        <w:gridCol w:w="1913"/>
        <w:gridCol w:w="1916"/>
      </w:tblGrid>
      <w:tr>
        <w:trPr>
          <w:trHeight w:val="401"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734" w:right="0"/>
              <w:jc w:val="left"/>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5"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1"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9" w:right="0"/>
              <w:jc w:val="left"/>
              <w:rPr>
                <w:rFonts w:ascii="Times New Roman" w:hAnsi="Times New Roman" w:cs="Times New Roman" w:eastAsia="Times New Roman" w:hint="default"/>
                <w:sz w:val="18"/>
                <w:szCs w:val="18"/>
              </w:rPr>
            </w:pPr>
            <w:r>
              <w:rPr>
                <w:rFonts w:ascii="Times New Roman"/>
                <w:sz w:val="18"/>
              </w:rPr>
              <w:t>626,265,078.25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45,528,523.69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726,141,983.79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86,931,367.11</w:t>
            </w:r>
          </w:p>
        </w:tc>
      </w:tr>
      <w:tr>
        <w:trPr>
          <w:trHeight w:val="403"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70" w:right="0"/>
              <w:jc w:val="left"/>
              <w:rPr>
                <w:rFonts w:ascii="Times New Roman" w:hAnsi="Times New Roman" w:cs="Times New Roman" w:eastAsia="Times New Roman" w:hint="default"/>
                <w:sz w:val="18"/>
                <w:szCs w:val="18"/>
              </w:rPr>
            </w:pPr>
            <w:r>
              <w:rPr>
                <w:rFonts w:ascii="Times New Roman"/>
                <w:sz w:val="18"/>
              </w:rPr>
              <w:t>14,662,977.64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692,140.30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9" w:right="0"/>
              <w:jc w:val="left"/>
              <w:rPr>
                <w:rFonts w:ascii="Times New Roman" w:hAnsi="Times New Roman" w:cs="Times New Roman" w:eastAsia="Times New Roman" w:hint="default"/>
                <w:sz w:val="18"/>
                <w:szCs w:val="18"/>
              </w:rPr>
            </w:pPr>
            <w:r>
              <w:rPr>
                <w:rFonts w:ascii="Times New Roman"/>
                <w:sz w:val="18"/>
              </w:rPr>
              <w:t>640,928,055.89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46,220,663.99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726,141,983.79</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86,931,367.11</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5</w:t>
      </w:r>
      <w:r>
        <w:rPr/>
        <w:t>、投资收益</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left="0" w:right="151"/>
        <w:jc w:val="right"/>
      </w:pPr>
      <w:r>
        <w:rPr/>
        <w:t>单位：</w:t>
      </w:r>
      <w:r>
        <w:rPr>
          <w:spacing w:val="1"/>
        </w:rPr>
        <w:t> </w:t>
      </w:r>
      <w:r>
        <w:rPr/>
        <w:t>元</w:t>
      </w:r>
    </w:p>
    <w:p>
      <w:pPr>
        <w:spacing w:line="240" w:lineRule="auto" w:before="4"/>
        <w:rPr>
          <w:rFonts w:ascii="宋体" w:hAnsi="宋体" w:cs="宋体" w:eastAsia="宋体" w:hint="default"/>
          <w:sz w:val="8"/>
          <w:szCs w:val="8"/>
        </w:rPr>
      </w:pPr>
    </w:p>
    <w:tbl>
      <w:tblPr>
        <w:tblW w:w="0" w:type="auto"/>
        <w:jc w:val="left"/>
        <w:tblInd w:w="148" w:type="dxa"/>
        <w:tblLayout w:type="fixed"/>
        <w:tblCellMar>
          <w:top w:w="0" w:type="dxa"/>
          <w:left w:w="0" w:type="dxa"/>
          <w:bottom w:w="0" w:type="dxa"/>
          <w:right w:w="0" w:type="dxa"/>
        </w:tblCellMar>
        <w:tblLook w:val="01E0"/>
      </w:tblPr>
      <w:tblGrid>
        <w:gridCol w:w="3325"/>
        <w:gridCol w:w="3060"/>
        <w:gridCol w:w="3185"/>
      </w:tblGrid>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75,711,617.06</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3,570,000.00</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4,470,565.52</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13,769,059.90</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-612,707.63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-595,404.10</w:t>
            </w:r>
          </w:p>
        </w:tc>
      </w:tr>
      <w:tr>
        <w:trPr>
          <w:trHeight w:val="71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49"/>
              <w:ind w:left="24" w:right="49"/>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 金融资产在持有期间的投资收益</w:t>
            </w:r>
          </w:p>
        </w:tc>
        <w:tc>
          <w:tcPr>
            <w:tcW w:w="306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49"/>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处置以公允价值计量且其变动计入当期损 益的金融资产取得的投资收益</w:t>
            </w:r>
          </w:p>
        </w:tc>
        <w:tc>
          <w:tcPr>
            <w:tcW w:w="306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持有至到期投资在持有期间的投资收益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1,497,044.07</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4,105,548.77</w:t>
            </w:r>
          </w:p>
        </w:tc>
      </w:tr>
      <w:tr>
        <w:trPr>
          <w:trHeight w:val="403"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632,419.53</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1,441,857.50</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8,472,084.00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715"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49"/>
              <w:jc w:val="left"/>
              <w:rPr>
                <w:rFonts w:ascii="宋体" w:hAnsi="宋体" w:cs="宋体" w:eastAsia="宋体" w:hint="default"/>
                <w:sz w:val="18"/>
                <w:szCs w:val="18"/>
              </w:rPr>
            </w:pPr>
            <w:r>
              <w:rPr>
                <w:rFonts w:ascii="宋体" w:hAnsi="宋体" w:cs="宋体" w:eastAsia="宋体" w:hint="default"/>
                <w:sz w:val="18"/>
                <w:szCs w:val="18"/>
              </w:rPr>
              <w:t>丧失控制权后，剩余股权按公允价值重新 计量产生的利得</w:t>
            </w:r>
          </w:p>
        </w:tc>
        <w:tc>
          <w:tcPr>
            <w:tcW w:w="3060" w:type="dxa"/>
            <w:tcBorders>
              <w:top w:val="single" w:sz="4" w:space="0" w:color="000000"/>
              <w:left w:val="single" w:sz="12"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0.00</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1" w:hRule="exact"/>
        </w:trPr>
        <w:tc>
          <w:tcPr>
            <w:tcW w:w="3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90,171,022.55</w:t>
            </w:r>
          </w:p>
        </w:tc>
        <w:tc>
          <w:tcPr>
            <w:tcW w:w="3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22,291,062.07</w:t>
            </w:r>
          </w:p>
        </w:tc>
      </w:tr>
    </w:tbl>
    <w:p>
      <w:pPr>
        <w:spacing w:line="240" w:lineRule="auto" w:before="3"/>
        <w:rPr>
          <w:rFonts w:ascii="宋体" w:hAnsi="宋体" w:cs="宋体" w:eastAsia="宋体" w:hint="default"/>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6</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3"/>
        <w:rPr>
          <w:rFonts w:ascii="宋体" w:hAnsi="宋体" w:cs="宋体" w:eastAsia="宋体" w:hint="default"/>
          <w:sz w:val="25"/>
          <w:szCs w:val="25"/>
        </w:rPr>
      </w:pPr>
    </w:p>
    <w:p>
      <w:pPr>
        <w:pStyle w:val="Heading3"/>
        <w:spacing w:line="240" w:lineRule="auto"/>
        <w:ind w:right="0"/>
        <w:jc w:val="left"/>
        <w:rPr>
          <w:b w:val="0"/>
          <w:bCs w:val="0"/>
        </w:rPr>
      </w:pPr>
      <w:r>
        <w:rPr/>
        <w:t>十八、补充资料</w:t>
      </w:r>
      <w:r>
        <w:rPr>
          <w:b w:val="0"/>
          <w:bCs w:val="0"/>
        </w:rPr>
      </w:r>
    </w:p>
    <w:p>
      <w:pPr>
        <w:spacing w:line="240" w:lineRule="auto" w:before="9"/>
        <w:rPr>
          <w:rFonts w:ascii="宋体" w:hAnsi="宋体" w:cs="宋体" w:eastAsia="宋体" w:hint="default"/>
          <w:b/>
          <w:bCs/>
          <w:sz w:val="24"/>
          <w:szCs w:val="24"/>
        </w:rPr>
      </w:pPr>
    </w:p>
    <w:p>
      <w:pPr>
        <w:pStyle w:val="Heading5"/>
        <w:spacing w:line="240" w:lineRule="auto"/>
        <w:ind w:right="0"/>
        <w:jc w:val="left"/>
        <w:rPr>
          <w:b w:val="0"/>
          <w:bCs w:val="0"/>
        </w:rPr>
      </w:pPr>
      <w:r>
        <w:rPr>
          <w:rFonts w:ascii="Times New Roman" w:hAnsi="Times New Roman" w:cs="Times New Roman" w:eastAsia="Times New Roman" w:hint="default"/>
        </w:rPr>
        <w:t>1</w:t>
      </w:r>
      <w:r>
        <w:rPr/>
        <w:t>、当期非经常性损益明细表</w:t>
      </w:r>
      <w:r>
        <w:rPr>
          <w:b w:val="0"/>
          <w:bCs w:val="0"/>
        </w:rPr>
      </w:r>
    </w:p>
    <w:p>
      <w:pPr>
        <w:spacing w:line="240" w:lineRule="auto" w:before="12"/>
        <w:rPr>
          <w:rFonts w:ascii="宋体" w:hAnsi="宋体" w:cs="宋体" w:eastAsia="宋体" w:hint="default"/>
          <w:b/>
          <w:bCs/>
          <w:sz w:val="22"/>
          <w:szCs w:val="22"/>
        </w:rPr>
      </w:pPr>
    </w:p>
    <w:p>
      <w:pPr>
        <w:pStyle w:val="BodyText"/>
        <w:spacing w:line="240" w:lineRule="auto" w:before="44"/>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2"/>
        </w:rPr>
        <w:t> </w:t>
      </w:r>
      <w:r>
        <w:rPr/>
        <w:t>不适用</w:t>
      </w:r>
    </w:p>
    <w:p>
      <w:pPr>
        <w:pStyle w:val="BodyText"/>
        <w:spacing w:line="240" w:lineRule="auto" w:before="103"/>
        <w:ind w:left="0" w:right="151"/>
        <w:jc w:val="right"/>
      </w:pPr>
      <w:r>
        <w:rPr/>
        <w:t>单位：</w:t>
      </w:r>
      <w:r>
        <w:rPr>
          <w:spacing w:val="1"/>
        </w:rPr>
        <w:t> </w:t>
      </w:r>
      <w:r>
        <w:rPr/>
        <w:t>元</w:t>
      </w:r>
    </w:p>
    <w:p>
      <w:pPr>
        <w:spacing w:after="0" w:line="240" w:lineRule="auto"/>
        <w:jc w:val="right"/>
        <w:sectPr>
          <w:pgSz w:w="11910" w:h="16840"/>
          <w:pgMar w:header="745" w:footer="979" w:top="1060" w:bottom="1160" w:left="980" w:right="98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8" w:type="dxa"/>
        <w:tblLayout w:type="fixed"/>
        <w:tblCellMar>
          <w:top w:w="0" w:type="dxa"/>
          <w:left w:w="0" w:type="dxa"/>
          <w:bottom w:w="0" w:type="dxa"/>
          <w:right w:w="0" w:type="dxa"/>
        </w:tblCellMar>
        <w:tblLook w:val="01E0"/>
      </w:tblPr>
      <w:tblGrid>
        <w:gridCol w:w="4254"/>
        <w:gridCol w:w="2552"/>
        <w:gridCol w:w="2765"/>
      </w:tblGrid>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1,939,833.49</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4254" w:type="dxa"/>
            <w:tcBorders>
              <w:top w:val="single" w:sz="4" w:space="0" w:color="000000"/>
              <w:left w:val="single" w:sz="4" w:space="0" w:color="000000"/>
              <w:bottom w:val="nil" w:sz="6" w:space="0" w:color="auto"/>
              <w:right w:val="single" w:sz="4" w:space="0" w:color="000000"/>
            </w:tcBorders>
            <w:shd w:val="clear" w:color="auto" w:fill="D2D2D2"/>
          </w:tcPr>
          <w:p>
            <w:pPr/>
          </w:p>
        </w:tc>
        <w:tc>
          <w:tcPr>
            <w:tcW w:w="255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1486" w:right="0"/>
              <w:jc w:val="left"/>
              <w:rPr>
                <w:rFonts w:ascii="Times New Roman" w:hAnsi="Times New Roman" w:cs="Times New Roman" w:eastAsia="Times New Roman" w:hint="default"/>
                <w:sz w:val="18"/>
                <w:szCs w:val="18"/>
              </w:rPr>
            </w:pPr>
            <w:r>
              <w:rPr>
                <w:rFonts w:ascii="Times New Roman"/>
                <w:sz w:val="18"/>
              </w:rPr>
              <w:t>52,164,892.67</w:t>
            </w:r>
          </w:p>
        </w:tc>
        <w:tc>
          <w:tcPr>
            <w:tcW w:w="2765" w:type="dxa"/>
            <w:vMerge w:val="restart"/>
            <w:tcBorders>
              <w:top w:val="single" w:sz="4" w:space="0" w:color="000000"/>
              <w:left w:val="single" w:sz="4" w:space="0" w:color="000000"/>
              <w:right w:val="single" w:sz="4" w:space="0" w:color="000000"/>
            </w:tcBorders>
          </w:tcPr>
          <w:p>
            <w:pPr>
              <w:pStyle w:val="TableParagraph"/>
              <w:spacing w:line="316" w:lineRule="auto" w:before="50"/>
              <w:ind w:left="23" w:right="29"/>
              <w:jc w:val="both"/>
              <w:rPr>
                <w:rFonts w:ascii="宋体" w:hAnsi="宋体" w:cs="宋体" w:eastAsia="宋体" w:hint="default"/>
                <w:sz w:val="18"/>
                <w:szCs w:val="18"/>
              </w:rPr>
            </w:pPr>
            <w:r>
              <w:rPr>
                <w:rFonts w:ascii="宋体" w:hAnsi="宋体" w:cs="宋体" w:eastAsia="宋体" w:hint="default"/>
                <w:sz w:val="18"/>
                <w:szCs w:val="18"/>
              </w:rPr>
              <w:t>公司及子公司收到政府项目资助， 并在本期结转递延收益确认其他收 益或营业外收入</w:t>
            </w:r>
          </w:p>
        </w:tc>
      </w:tr>
      <w:tr>
        <w:trPr>
          <w:trHeight w:val="703" w:hRule="exact"/>
        </w:trPr>
        <w:tc>
          <w:tcPr>
            <w:tcW w:w="425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4" w:lineRule="auto" w:before="49"/>
              <w:ind w:left="24" w:right="78"/>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 照国家统一标准定额或定量享受的政府补助除外）</w:t>
            </w:r>
          </w:p>
        </w:tc>
        <w:tc>
          <w:tcPr>
            <w:tcW w:w="2552" w:type="dxa"/>
            <w:vMerge/>
            <w:tcBorders>
              <w:left w:val="single" w:sz="4" w:space="0" w:color="000000"/>
              <w:right w:val="single" w:sz="4" w:space="0" w:color="000000"/>
            </w:tcBorders>
          </w:tcPr>
          <w:p>
            <w:pPr/>
          </w:p>
        </w:tc>
        <w:tc>
          <w:tcPr>
            <w:tcW w:w="2765" w:type="dxa"/>
            <w:vMerge/>
            <w:tcBorders>
              <w:left w:val="single" w:sz="4" w:space="0" w:color="000000"/>
              <w:right w:val="single" w:sz="4" w:space="0" w:color="000000"/>
            </w:tcBorders>
          </w:tcPr>
          <w:p>
            <w:pPr/>
          </w:p>
        </w:tc>
      </w:tr>
      <w:tr>
        <w:trPr>
          <w:trHeight w:val="161" w:hRule="exact"/>
        </w:trPr>
        <w:tc>
          <w:tcPr>
            <w:tcW w:w="4254" w:type="dxa"/>
            <w:tcBorders>
              <w:top w:val="nil" w:sz="6" w:space="0" w:color="auto"/>
              <w:left w:val="single" w:sz="4" w:space="0" w:color="000000"/>
              <w:bottom w:val="single" w:sz="4" w:space="0" w:color="000000"/>
              <w:right w:val="single" w:sz="4" w:space="0" w:color="000000"/>
            </w:tcBorders>
            <w:shd w:val="clear" w:color="auto" w:fill="D2D2D2"/>
          </w:tcPr>
          <w:p>
            <w:pPr/>
          </w:p>
        </w:tc>
        <w:tc>
          <w:tcPr>
            <w:tcW w:w="2552" w:type="dxa"/>
            <w:vMerge/>
            <w:tcBorders>
              <w:left w:val="single" w:sz="4" w:space="0" w:color="000000"/>
              <w:bottom w:val="single" w:sz="4" w:space="0" w:color="000000"/>
              <w:right w:val="single" w:sz="4" w:space="0" w:color="000000"/>
            </w:tcBorders>
          </w:tcPr>
          <w:p>
            <w:pPr/>
          </w:p>
        </w:tc>
        <w:tc>
          <w:tcPr>
            <w:tcW w:w="2765" w:type="dxa"/>
            <w:vMerge/>
            <w:tcBorders>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0"/>
              <w:ind w:left="24" w:right="78"/>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 于取得投资时应享有被投资单位可辨认净资产公允价 值产生的收益</w:t>
            </w:r>
          </w:p>
        </w:tc>
        <w:tc>
          <w:tcPr>
            <w:tcW w:w="25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7,556,839.13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银行理财收益</w:t>
            </w:r>
          </w:p>
        </w:tc>
      </w:tr>
      <w:tr>
        <w:trPr>
          <w:trHeight w:val="714"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8"/>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 减值准备</w:t>
            </w:r>
          </w:p>
        </w:tc>
        <w:tc>
          <w:tcPr>
            <w:tcW w:w="25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-488,871.60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4" w:right="78"/>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 损益</w:t>
            </w:r>
          </w:p>
        </w:tc>
        <w:tc>
          <w:tcPr>
            <w:tcW w:w="25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78"/>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 期净损益</w:t>
            </w:r>
          </w:p>
        </w:tc>
        <w:tc>
          <w:tcPr>
            <w:tcW w:w="25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8"/>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 持有交易性金融资产、交易性金融负债产生的公允价 值变动损益，以及处置交易性金融资产、交易性金融 负债和可供出售金融资产取得的投资收益</w:t>
            </w:r>
          </w:p>
        </w:tc>
        <w:tc>
          <w:tcPr>
            <w:tcW w:w="25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9"/>
              <w:jc w:val="right"/>
              <w:rPr>
                <w:rFonts w:ascii="Times New Roman" w:hAnsi="Times New Roman" w:cs="Times New Roman" w:eastAsia="Times New Roman" w:hint="default"/>
                <w:sz w:val="18"/>
                <w:szCs w:val="18"/>
              </w:rPr>
            </w:pPr>
            <w:r>
              <w:rPr>
                <w:rFonts w:ascii="Times New Roman"/>
                <w:spacing w:val="-1"/>
                <w:sz w:val="18"/>
              </w:rPr>
              <w:t>8,472,084.00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4"/>
              <w:ind w:left="23" w:right="29"/>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 收益</w:t>
            </w: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0"/>
              <w:ind w:left="24" w:right="78"/>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 价值变动产生的损益</w:t>
            </w:r>
          </w:p>
        </w:tc>
        <w:tc>
          <w:tcPr>
            <w:tcW w:w="25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9"/>
              <w:ind w:left="24" w:right="78"/>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 一次性调整对当期损益的影响</w:t>
            </w:r>
          </w:p>
        </w:tc>
        <w:tc>
          <w:tcPr>
            <w:tcW w:w="2552"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-1,904,730.47</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Times New Roman" w:hAnsi="Times New Roman" w:cs="Times New Roman" w:eastAsia="Times New Roman" w:hint="default"/>
                <w:sz w:val="18"/>
                <w:szCs w:val="18"/>
              </w:rPr>
            </w:pPr>
            <w:r>
              <w:rPr>
                <w:rFonts w:ascii="Times New Roman"/>
                <w:spacing w:val="-1"/>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4,092,023.56</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0"/>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少数股东权益影响额</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pacing w:val="-1"/>
                <w:sz w:val="18"/>
              </w:rPr>
              <w:t>18,019,537.63</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45,628,486.03</w:t>
            </w:r>
          </w:p>
        </w:tc>
        <w:tc>
          <w:tcPr>
            <w:tcW w:w="27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5" w:footer="979" w:top="1060" w:bottom="1160" w:left="980" w:right="980"/>
        </w:sectPr>
      </w:pPr>
    </w:p>
    <w:p>
      <w:pPr>
        <w:spacing w:line="240" w:lineRule="auto" w:before="3"/>
        <w:rPr>
          <w:rFonts w:ascii="Times New Roman" w:hAnsi="Times New Roman" w:cs="Times New Roman" w:eastAsia="Times New Roman" w:hint="default"/>
          <w:sz w:val="29"/>
          <w:szCs w:val="29"/>
        </w:rPr>
      </w:pPr>
    </w:p>
    <w:p>
      <w:pPr>
        <w:pStyle w:val="BodyText"/>
        <w:spacing w:line="240" w:lineRule="auto" w:before="44"/>
        <w:ind w:right="0"/>
        <w:jc w:val="left"/>
      </w:pPr>
      <w:r>
        <w:rPr>
          <w:spacing w:val="-3"/>
        </w:rPr>
        <w:t>对公司根据《公开发行证券的公司信息披露解释性公告第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0" w:lineRule="auto" w:before="63"/>
        <w:ind w:right="139"/>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72"/>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13"/>
        <w:rPr>
          <w:rFonts w:ascii="宋体" w:hAnsi="宋体" w:cs="宋体" w:eastAsia="宋体" w:hint="default"/>
          <w:sz w:val="25"/>
          <w:szCs w:val="25"/>
        </w:rPr>
      </w:pPr>
    </w:p>
    <w:p>
      <w:pPr>
        <w:pStyle w:val="Heading5"/>
        <w:spacing w:line="240" w:lineRule="auto"/>
        <w:ind w:right="0"/>
        <w:jc w:val="left"/>
        <w:rPr>
          <w:b w:val="0"/>
          <w:bCs w:val="0"/>
        </w:rPr>
      </w:pPr>
      <w:r>
        <w:rPr>
          <w:rFonts w:ascii="Times New Roman" w:hAnsi="Times New Roman" w:cs="Times New Roman" w:eastAsia="Times New Roman" w:hint="default"/>
        </w:rPr>
        <w:t>2</w:t>
      </w:r>
      <w:r>
        <w:rPr/>
        <w:t>、净资产收益率及每股收益</w:t>
      </w:r>
      <w:r>
        <w:rPr>
          <w:b w:val="0"/>
          <w:bCs w:val="0"/>
        </w:rPr>
      </w:r>
    </w:p>
    <w:p>
      <w:pPr>
        <w:spacing w:line="240" w:lineRule="auto" w:before="9"/>
        <w:rPr>
          <w:rFonts w:ascii="宋体" w:hAnsi="宋体" w:cs="宋体" w:eastAsia="宋体" w:hint="default"/>
          <w:b/>
          <w:bCs/>
          <w:sz w:val="25"/>
          <w:szCs w:val="25"/>
        </w:rPr>
      </w:pPr>
    </w:p>
    <w:tbl>
      <w:tblPr>
        <w:tblW w:w="0" w:type="auto"/>
        <w:jc w:val="left"/>
        <w:tblInd w:w="148" w:type="dxa"/>
        <w:tblLayout w:type="fixed"/>
        <w:tblCellMar>
          <w:top w:w="0" w:type="dxa"/>
          <w:left w:w="0" w:type="dxa"/>
          <w:bottom w:w="0" w:type="dxa"/>
          <w:right w:w="0" w:type="dxa"/>
        </w:tblCellMar>
        <w:tblLook w:val="01E0"/>
      </w:tblPr>
      <w:tblGrid>
        <w:gridCol w:w="2662"/>
        <w:gridCol w:w="3083"/>
        <w:gridCol w:w="1913"/>
        <w:gridCol w:w="1913"/>
      </w:tblGrid>
      <w:tr>
        <w:trPr>
          <w:trHeight w:val="206" w:hRule="exact"/>
        </w:trPr>
        <w:tc>
          <w:tcPr>
            <w:tcW w:w="2662"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3"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7" w:hRule="exact"/>
        </w:trPr>
        <w:tc>
          <w:tcPr>
            <w:tcW w:w="26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49"/>
              <w:ind w:left="636"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4" w:hRule="exact"/>
        </w:trPr>
        <w:tc>
          <w:tcPr>
            <w:tcW w:w="2662" w:type="dxa"/>
            <w:vMerge/>
            <w:tcBorders>
              <w:left w:val="single" w:sz="4" w:space="0" w:color="000000"/>
              <w:bottom w:val="nil" w:sz="6" w:space="0" w:color="auto"/>
              <w:right w:val="single" w:sz="4" w:space="0" w:color="000000"/>
            </w:tcBorders>
            <w:shd w:val="clear" w:color="auto" w:fill="D2D2D2"/>
          </w:tcPr>
          <w:p>
            <w:pPr/>
          </w:p>
        </w:tc>
        <w:tc>
          <w:tcPr>
            <w:tcW w:w="3083"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2662"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9"/>
              <w:ind w:left="24"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0.2186</w:t>
            </w:r>
            <w:r>
              <w:rPr>
                <w:rFonts w:ascii="Times New Roman"/>
                <w:sz w:val="18"/>
              </w:rPr>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pacing w:val="-1"/>
                <w:sz w:val="18"/>
              </w:rPr>
              <w:t>0.2171</w:t>
            </w:r>
            <w:r>
              <w:rPr>
                <w:rFonts w:ascii="Times New Roman"/>
                <w:sz w:val="18"/>
              </w:rPr>
            </w:r>
          </w:p>
        </w:tc>
      </w:tr>
      <w:tr>
        <w:trPr>
          <w:trHeight w:val="713"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49"/>
              <w:ind w:left="24" w:right="106"/>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3"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0.1812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0.1797</w:t>
            </w:r>
            <w:r>
              <w:rPr>
                <w:rFonts w:ascii="Times New Roman"/>
                <w:sz w:val="18"/>
              </w:rPr>
            </w:r>
          </w:p>
        </w:tc>
      </w:tr>
    </w:tbl>
    <w:p>
      <w:pPr>
        <w:spacing w:line="240" w:lineRule="auto" w:before="3"/>
        <w:rPr>
          <w:rFonts w:ascii="宋体" w:hAnsi="宋体" w:cs="宋体" w:eastAsia="宋体" w:hint="default"/>
          <w:b/>
          <w:bCs/>
          <w:sz w:val="19"/>
          <w:szCs w:val="19"/>
        </w:rPr>
      </w:pPr>
    </w:p>
    <w:p>
      <w:pPr>
        <w:pStyle w:val="Heading5"/>
        <w:spacing w:line="240" w:lineRule="auto" w:before="36"/>
        <w:ind w:right="0"/>
        <w:jc w:val="left"/>
        <w:rPr>
          <w:b w:val="0"/>
          <w:bCs w:val="0"/>
        </w:rPr>
      </w:pPr>
      <w:r>
        <w:rPr>
          <w:rFonts w:ascii="Times New Roman" w:hAnsi="Times New Roman" w:cs="Times New Roman" w:eastAsia="Times New Roman" w:hint="default"/>
        </w:rPr>
        <w:t>3</w:t>
      </w:r>
      <w:r>
        <w:rPr/>
        <w:t>、境内外会计准则下会计数据差异</w:t>
      </w:r>
      <w:r>
        <w:rPr>
          <w:b w:val="0"/>
          <w:bCs w:val="0"/>
        </w:rPr>
      </w:r>
    </w:p>
    <w:p>
      <w:pPr>
        <w:spacing w:line="240" w:lineRule="auto" w:before="10"/>
        <w:rPr>
          <w:rFonts w:ascii="宋体" w:hAnsi="宋体" w:cs="宋体" w:eastAsia="宋体" w:hint="default"/>
          <w:b/>
          <w:bCs/>
          <w:sz w:val="24"/>
          <w:szCs w:val="24"/>
        </w:rPr>
      </w:pPr>
    </w:p>
    <w:p>
      <w:pPr>
        <w:pStyle w:val="Heading5"/>
        <w:spacing w:line="240" w:lineRule="auto"/>
        <w:ind w:right="0"/>
        <w:jc w:val="left"/>
        <w:rPr>
          <w:b w:val="0"/>
          <w:bCs w:val="0"/>
        </w:rPr>
      </w:pP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2"/>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40" w:lineRule="auto"/>
        <w:ind w:right="0"/>
        <w:jc w:val="left"/>
        <w:rPr>
          <w:b w:val="0"/>
          <w:bCs w:val="0"/>
        </w:rPr>
      </w:pP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 </w:t>
      </w:r>
      <w:r>
        <w:rPr>
          <w:rFonts w:ascii="Times New Roman" w:hAnsi="Times New Roman" w:cs="Times New Roman" w:eastAsia="Times New Roman" w:hint="default"/>
          <w:spacing w:val="1"/>
        </w:rPr>
        <w:t> </w:t>
      </w:r>
      <w:r>
        <w:rPr/>
        <w:t>不适用</w:t>
      </w:r>
    </w:p>
    <w:p>
      <w:pPr>
        <w:spacing w:line="240" w:lineRule="auto" w:before="2"/>
        <w:rPr>
          <w:rFonts w:ascii="宋体" w:hAnsi="宋体" w:cs="宋体" w:eastAsia="宋体" w:hint="default"/>
          <w:sz w:val="26"/>
          <w:szCs w:val="26"/>
        </w:rPr>
      </w:pPr>
    </w:p>
    <w:p>
      <w:pPr>
        <w:pStyle w:val="Heading5"/>
        <w:spacing w:line="259" w:lineRule="auto"/>
        <w:ind w:right="0"/>
        <w:jc w:val="left"/>
        <w:rPr>
          <w:b w:val="0"/>
          <w:bCs w:val="0"/>
        </w:rPr>
      </w:pP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65"/>
        </w:rPr>
        <w:t> </w:t>
      </w:r>
      <w:r>
        <w:rPr>
          <w:spacing w:val="-65"/>
        </w:rPr>
      </w:r>
      <w:r>
        <w:rPr/>
        <w:t>明该境外机构的名称</w:t>
      </w:r>
      <w:r>
        <w:rPr>
          <w:b w:val="0"/>
          <w:bCs w:val="0"/>
        </w:rPr>
      </w:r>
    </w:p>
    <w:p>
      <w:pPr>
        <w:spacing w:line="240" w:lineRule="auto" w:before="1"/>
        <w:rPr>
          <w:rFonts w:ascii="宋体" w:hAnsi="宋体" w:cs="宋体" w:eastAsia="宋体" w:hint="default"/>
          <w:b/>
          <w:bCs/>
          <w:sz w:val="26"/>
          <w:szCs w:val="26"/>
        </w:rPr>
      </w:pPr>
    </w:p>
    <w:p>
      <w:pPr>
        <w:pStyle w:val="BodyText"/>
        <w:spacing w:line="240" w:lineRule="auto"/>
        <w:ind w:right="0"/>
        <w:jc w:val="left"/>
      </w:pPr>
      <w:r>
        <w:rPr/>
        <w:t>无</w:t>
      </w:r>
    </w:p>
    <w:p>
      <w:pPr>
        <w:spacing w:line="240" w:lineRule="auto" w:before="0"/>
        <w:rPr>
          <w:rFonts w:ascii="宋体" w:hAnsi="宋体" w:cs="宋体" w:eastAsia="宋体" w:hint="default"/>
          <w:sz w:val="18"/>
          <w:szCs w:val="18"/>
        </w:rPr>
      </w:pPr>
    </w:p>
    <w:p>
      <w:pPr>
        <w:pStyle w:val="Heading5"/>
        <w:spacing w:line="240" w:lineRule="auto" w:before="120"/>
        <w:ind w:right="0"/>
        <w:jc w:val="left"/>
        <w:rPr>
          <w:b w:val="0"/>
          <w:bCs w:val="0"/>
        </w:rPr>
      </w:pPr>
      <w:r>
        <w:rPr>
          <w:rFonts w:ascii="Times New Roman" w:hAnsi="Times New Roman" w:cs="Times New Roman" w:eastAsia="Times New Roman" w:hint="default"/>
        </w:rPr>
        <w:t>4</w:t>
      </w:r>
      <w:r>
        <w:rPr/>
        <w:t>、其他</w:t>
      </w:r>
      <w:r>
        <w:rPr>
          <w:b w:val="0"/>
          <w:bCs w:val="0"/>
        </w:rPr>
      </w:r>
    </w:p>
    <w:p>
      <w:pPr>
        <w:spacing w:line="240" w:lineRule="auto" w:before="4"/>
        <w:rPr>
          <w:rFonts w:ascii="宋体" w:hAnsi="宋体" w:cs="宋体" w:eastAsia="宋体" w:hint="default"/>
          <w:b/>
          <w:bCs/>
          <w:sz w:val="26"/>
          <w:szCs w:val="26"/>
        </w:rPr>
      </w:pPr>
    </w:p>
    <w:p>
      <w:pPr>
        <w:pStyle w:val="BodyText"/>
        <w:spacing w:line="240" w:lineRule="auto"/>
        <w:ind w:right="0"/>
        <w:jc w:val="left"/>
      </w:pPr>
      <w:r>
        <w:rPr/>
        <w:t>无</w:t>
      </w:r>
    </w:p>
    <w:p>
      <w:pPr>
        <w:spacing w:after="0" w:line="240" w:lineRule="auto"/>
        <w:jc w:val="left"/>
        <w:sectPr>
          <w:pgSz w:w="11910" w:h="16840"/>
          <w:pgMar w:header="745" w:footer="979" w:top="1060" w:bottom="1160" w:left="980" w:right="98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268" w:right="3349"/>
        <w:jc w:val="center"/>
        <w:rPr>
          <w:b w:val="0"/>
          <w:bCs w:val="0"/>
        </w:rPr>
      </w:pPr>
      <w:bookmarkStart w:name="_bookmark11" w:id="12"/>
      <w:bookmarkEnd w:id="12"/>
      <w:r>
        <w:rPr>
          <w:b w:val="0"/>
          <w:bCs w:val="0"/>
        </w:rPr>
      </w:r>
      <w:r>
        <w:rPr/>
        <w:t>第十二节</w:t>
      </w:r>
      <w:r>
        <w:rPr>
          <w:spacing w:val="-6"/>
        </w:rPr>
        <w:t> </w:t>
      </w:r>
      <w:r>
        <w:rPr/>
        <w:t>备查文件目录</w:t>
      </w:r>
      <w:r>
        <w:rPr>
          <w:b w:val="0"/>
          <w:bCs w:val="0"/>
        </w:rPr>
      </w:r>
    </w:p>
    <w:p>
      <w:pPr>
        <w:spacing w:line="240" w:lineRule="auto" w:before="11"/>
        <w:rPr>
          <w:rFonts w:ascii="宋体" w:hAnsi="宋体" w:cs="宋体" w:eastAsia="宋体" w:hint="default"/>
          <w:b/>
          <w:bCs/>
          <w:sz w:val="44"/>
          <w:szCs w:val="44"/>
        </w:rPr>
      </w:pPr>
    </w:p>
    <w:p>
      <w:pPr>
        <w:pStyle w:val="Heading4"/>
        <w:spacing w:line="240" w:lineRule="auto" w:before="0"/>
        <w:ind w:right="0"/>
        <w:jc w:val="left"/>
        <w:rPr>
          <w:rFonts w:ascii="宋体" w:hAnsi="宋体" w:cs="宋体" w:eastAsia="宋体" w:hint="default"/>
        </w:rPr>
      </w:pPr>
      <w:r>
        <w:rPr/>
        <w:t>（一）载有法定代表人、财务负责人、会计机构负责人签名并盖章的财务报表。</w:t>
      </w:r>
      <w:r>
        <w:rPr>
          <w:rFonts w:ascii="宋体" w:hAnsi="宋体" w:cs="宋体" w:eastAsia="宋体" w:hint="default"/>
        </w:rPr>
        <w:t> </w:t>
      </w:r>
    </w:p>
    <w:p>
      <w:pPr>
        <w:pStyle w:val="Heading4"/>
        <w:spacing w:line="240" w:lineRule="auto"/>
        <w:ind w:right="0"/>
        <w:jc w:val="left"/>
        <w:rPr>
          <w:rFonts w:ascii="宋体" w:hAnsi="宋体" w:cs="宋体" w:eastAsia="宋体" w:hint="default"/>
        </w:rPr>
      </w:pPr>
      <w:r>
        <w:rPr/>
        <w:t>（二）载有会计师事务所盖章、注册会计师签名并盖章的审计报告原件。</w:t>
      </w:r>
      <w:r>
        <w:rPr>
          <w:rFonts w:ascii="宋体" w:hAnsi="宋体" w:cs="宋体" w:eastAsia="宋体" w:hint="default"/>
        </w:rPr>
        <w:t> </w:t>
      </w:r>
    </w:p>
    <w:p>
      <w:pPr>
        <w:pStyle w:val="Heading4"/>
        <w:spacing w:line="240" w:lineRule="auto"/>
        <w:ind w:right="0"/>
        <w:jc w:val="left"/>
        <w:rPr>
          <w:rFonts w:ascii="宋体" w:hAnsi="宋体" w:cs="宋体" w:eastAsia="宋体" w:hint="default"/>
        </w:rPr>
      </w:pPr>
      <w:r>
        <w:rPr/>
        <w:t>（三</w:t>
      </w:r>
      <w:r>
        <w:rPr>
          <w:spacing w:val="-82"/>
        </w:rPr>
        <w:t>）</w:t>
      </w:r>
      <w:r>
        <w:rPr/>
        <w:t>报告期内在中国证监会指定报纸上公开披露过的所有公司文件的正本及公告原稿</w:t>
      </w:r>
      <w:r>
        <w:rPr>
          <w:spacing w:val="-119"/>
        </w:rPr>
        <w:t>。</w:t>
      </w:r>
      <w:r>
        <w:rPr>
          <w:rFonts w:ascii="宋体" w:hAnsi="宋体" w:cs="宋体" w:eastAsia="宋体" w:hint="default"/>
        </w:rPr>
        <w:t> </w:t>
      </w:r>
    </w:p>
    <w:p>
      <w:pPr>
        <w:pStyle w:val="Heading4"/>
        <w:spacing w:line="240" w:lineRule="auto"/>
        <w:ind w:right="0"/>
        <w:jc w:val="left"/>
        <w:rPr>
          <w:rFonts w:ascii="宋体" w:hAnsi="宋体" w:cs="宋体" w:eastAsia="宋体" w:hint="default"/>
        </w:rPr>
      </w:pPr>
      <w:r>
        <w:rPr/>
        <w:t>（四）载有董事长签名的</w:t>
      </w:r>
      <w:r>
        <w:rPr>
          <w:rFonts w:ascii="宋体" w:hAnsi="宋体" w:cs="宋体" w:eastAsia="宋体" w:hint="default"/>
        </w:rPr>
        <w:t>2017</w:t>
      </w:r>
      <w:r>
        <w:rPr/>
        <w:t>年年度报告文本原件。</w:t>
      </w:r>
      <w:r>
        <w:rPr>
          <w:rFonts w:ascii="宋体" w:hAnsi="宋体" w:cs="宋体" w:eastAsia="宋体" w:hint="default"/>
        </w:rPr>
        <w:t> </w:t>
      </w:r>
    </w:p>
    <w:p>
      <w:pPr>
        <w:pStyle w:val="Heading4"/>
        <w:spacing w:line="240" w:lineRule="auto"/>
        <w:ind w:right="0"/>
        <w:jc w:val="left"/>
        <w:rPr>
          <w:rFonts w:ascii="宋体" w:hAnsi="宋体" w:cs="宋体" w:eastAsia="宋体" w:hint="default"/>
        </w:rPr>
      </w:pPr>
      <w:r>
        <w:rPr/>
        <w:t>（五）以上备查文件的备置地点：公司董事会办公室。</w:t>
      </w:r>
      <w:r>
        <w:rPr>
          <w:rFonts w:ascii="宋体" w:hAnsi="宋体" w:cs="宋体" w:eastAsia="宋体" w:hint="default"/>
        </w:rPr>
        <w:t> </w:t>
      </w:r>
    </w:p>
    <w:p>
      <w:pPr>
        <w:pStyle w:val="Heading4"/>
        <w:spacing w:line="240" w:lineRule="auto"/>
        <w:ind w:right="0"/>
        <w:jc w:val="left"/>
        <w:rPr>
          <w:rFonts w:ascii="宋体" w:hAnsi="宋体" w:cs="宋体" w:eastAsia="宋体" w:hint="default"/>
        </w:rPr>
      </w:pPr>
      <w:r>
        <w:rPr>
          <w:rFonts w:ascii="宋体"/>
        </w:rPr>
        <w:t> </w:t>
      </w:r>
    </w:p>
    <w:p>
      <w:pPr>
        <w:pStyle w:val="Heading4"/>
        <w:spacing w:line="240" w:lineRule="auto"/>
        <w:ind w:right="0"/>
        <w:jc w:val="left"/>
        <w:rPr>
          <w:rFonts w:ascii="宋体" w:hAnsi="宋体" w:cs="宋体" w:eastAsia="宋体" w:hint="default"/>
        </w:rPr>
      </w:pPr>
      <w:r>
        <w:rPr>
          <w:rFonts w:ascii="宋体"/>
        </w:rPr>
        <w:t> </w:t>
      </w:r>
    </w:p>
    <w:p>
      <w:pPr>
        <w:pStyle w:val="Heading4"/>
        <w:spacing w:line="240" w:lineRule="auto"/>
        <w:ind w:right="0"/>
        <w:jc w:val="left"/>
        <w:rPr>
          <w:rFonts w:ascii="宋体" w:hAnsi="宋体" w:cs="宋体" w:eastAsia="宋体" w:hint="default"/>
        </w:rPr>
      </w:pPr>
      <w:r>
        <w:rPr>
          <w:rFonts w:ascii="宋体"/>
        </w:rPr>
        <w:t> </w:t>
      </w:r>
    </w:p>
    <w:p>
      <w:pPr>
        <w:pStyle w:val="Heading4"/>
        <w:spacing w:line="240" w:lineRule="auto" w:before="115"/>
        <w:ind w:left="6034" w:right="0"/>
        <w:jc w:val="left"/>
        <w:rPr>
          <w:rFonts w:ascii="宋体" w:hAnsi="宋体" w:cs="宋体" w:eastAsia="宋体" w:hint="default"/>
        </w:rPr>
      </w:pPr>
      <w:r>
        <w:rPr/>
        <w:t>北京四维图新科技股份有限公司</w:t>
      </w:r>
      <w:r>
        <w:rPr>
          <w:rFonts w:ascii="宋体" w:hAnsi="宋体" w:cs="宋体" w:eastAsia="宋体" w:hint="default"/>
        </w:rPr>
        <w:t> </w:t>
      </w:r>
    </w:p>
    <w:p>
      <w:pPr>
        <w:pStyle w:val="Heading4"/>
        <w:tabs>
          <w:tab w:pos="6574" w:val="left" w:leader="none"/>
        </w:tabs>
        <w:spacing w:line="240" w:lineRule="auto" w:before="38"/>
        <w:ind w:left="152" w:right="0"/>
        <w:jc w:val="left"/>
        <w:rPr>
          <w:rFonts w:ascii="宋体" w:hAnsi="宋体" w:cs="宋体" w:eastAsia="宋体" w:hint="default"/>
        </w:rPr>
      </w:pPr>
      <w:r>
        <w:rPr>
          <w:rFonts w:ascii="宋体"/>
        </w:rPr>
        <w:t> </w:t>
        <w:tab/>
        <w:t> </w:t>
      </w:r>
    </w:p>
    <w:p>
      <w:pPr>
        <w:pStyle w:val="Heading4"/>
        <w:spacing w:line="240" w:lineRule="auto" w:before="36"/>
        <w:ind w:left="0" w:right="1229"/>
        <w:jc w:val="right"/>
        <w:rPr>
          <w:rFonts w:ascii="宋体" w:hAnsi="宋体" w:cs="宋体" w:eastAsia="宋体" w:hint="default"/>
        </w:rPr>
      </w:pPr>
      <w:r>
        <w:rPr/>
        <w:t>董事长：吴劲风</w:t>
      </w:r>
      <w:r>
        <w:rPr>
          <w:rFonts w:ascii="宋体" w:hAnsi="宋体" w:cs="宋体" w:eastAsia="宋体" w:hint="default"/>
        </w:rPr>
        <w:t> </w:t>
      </w:r>
    </w:p>
    <w:p>
      <w:pPr>
        <w:spacing w:line="240" w:lineRule="auto" w:before="12"/>
        <w:rPr>
          <w:rFonts w:ascii="宋体" w:hAnsi="宋体" w:cs="宋体" w:eastAsia="宋体" w:hint="default"/>
          <w:sz w:val="27"/>
          <w:szCs w:val="27"/>
        </w:rPr>
      </w:pPr>
    </w:p>
    <w:p>
      <w:pPr>
        <w:pStyle w:val="Heading4"/>
        <w:spacing w:line="240" w:lineRule="auto" w:before="26"/>
        <w:ind w:left="152" w:right="0"/>
        <w:jc w:val="left"/>
        <w:rPr>
          <w:rFonts w:ascii="宋体" w:hAnsi="宋体" w:cs="宋体" w:eastAsia="宋体" w:hint="default"/>
        </w:rPr>
      </w:pPr>
      <w:r>
        <w:rPr>
          <w:rFonts w:ascii="宋体" w:hAnsi="宋体" w:cs="宋体" w:eastAsia="宋体" w:hint="default"/>
        </w:rPr>
        <w:t>                                                        </w:t>
      </w:r>
      <w:r>
        <w:rPr>
          <w:rFonts w:ascii="宋体" w:hAnsi="宋体" w:cs="宋体" w:eastAsia="宋体" w:hint="default"/>
          <w:spacing w:val="1"/>
        </w:rPr>
        <w:t> </w:t>
      </w:r>
      <w:r>
        <w:rPr>
          <w:rFonts w:ascii="宋体" w:hAnsi="宋体" w:cs="宋体" w:eastAsia="宋体" w:hint="default"/>
        </w:rPr>
        <w:t>2018</w:t>
      </w:r>
      <w:r>
        <w:rPr>
          <w:rFonts w:ascii="宋体" w:hAnsi="宋体" w:cs="宋体" w:eastAsia="宋体" w:hint="default"/>
          <w:spacing w:val="-60"/>
        </w:rPr>
        <w:t> </w:t>
      </w:r>
      <w:r>
        <w:rPr/>
        <w:t>年</w:t>
      </w:r>
      <w:r>
        <w:rPr>
          <w:spacing w:val="-60"/>
        </w:rPr>
        <w:t> </w:t>
      </w:r>
      <w:r>
        <w:rPr>
          <w:rFonts w:ascii="宋体" w:hAnsi="宋体" w:cs="宋体" w:eastAsia="宋体" w:hint="default"/>
        </w:rPr>
        <w:t>4</w:t>
      </w:r>
      <w:r>
        <w:rPr>
          <w:rFonts w:ascii="宋体" w:hAnsi="宋体" w:cs="宋体" w:eastAsia="宋体" w:hint="default"/>
          <w:spacing w:val="-60"/>
        </w:rPr>
        <w:t> </w:t>
      </w:r>
      <w:r>
        <w:rPr/>
        <w:t>月</w:t>
      </w:r>
      <w:r>
        <w:rPr>
          <w:spacing w:val="-60"/>
        </w:rPr>
        <w:t> </w:t>
      </w:r>
      <w:r>
        <w:rPr>
          <w:rFonts w:ascii="宋体" w:hAnsi="宋体" w:cs="宋体" w:eastAsia="宋体" w:hint="default"/>
        </w:rPr>
        <w:t>24</w:t>
      </w:r>
      <w:r>
        <w:rPr>
          <w:rFonts w:ascii="宋体" w:hAnsi="宋体" w:cs="宋体" w:eastAsia="宋体" w:hint="default"/>
          <w:spacing w:val="-60"/>
        </w:rPr>
        <w:t> </w:t>
      </w:r>
      <w:r>
        <w:rPr/>
        <w:t>日</w:t>
      </w:r>
      <w:r>
        <w:rPr>
          <w:rFonts w:ascii="宋体" w:hAnsi="宋体" w:cs="宋体" w:eastAsia="宋体" w:hint="default"/>
        </w:rPr>
        <w:t> </w:t>
      </w:r>
    </w:p>
    <w:sectPr>
      <w:pgSz w:w="11910" w:h="16840"/>
      <w:pgMar w:header="745" w:footer="979" w:top="1060" w:bottom="1160" w:left="98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华文中宋">
    <w:altName w:val="华文中宋"/>
    <w:charset w:val="86"/>
    <w:family w:val="auto"/>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3.099976pt;margin-top:795.637939pt;width:6.5pt;height:11pt;mso-position-horizontal-relative:page;mso-position-vertical-relative:page;z-index:-126589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126568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123</w:t>
                </w:r>
                <w:r>
                  <w:rPr/>
                  <w:fldChar w:fldCharType="end"/>
                </w:r>
                <w:r>
                  <w:rPr>
                    <w:rFonts w:ascii="Times New Roman"/>
                    <w:spacing w:val="1"/>
                  </w:rPr>
                </w:r>
                <w:r>
                  <w:rPr>
                    <w:rFonts w:ascii="Times New Roman"/>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1265656"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166</w:t>
                </w:r>
                <w:r>
                  <w:rPr/>
                  <w:fldChar w:fldCharType="end"/>
                </w:r>
                <w:r>
                  <w:rPr>
                    <w:rFonts w:ascii="Times New Roman"/>
                    <w:spacing w:val="1"/>
                  </w:rPr>
                </w:r>
                <w:r>
                  <w:rPr>
                    <w:rFonts w:ascii="Times New Roman"/>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126563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190</w:t>
                </w:r>
                <w:r>
                  <w:rPr/>
                  <w:fldChar w:fldCharType="end"/>
                </w:r>
                <w:r>
                  <w:rPr>
                    <w:rFonts w:ascii="Times New Roman"/>
                    <w:spacing w:val="1"/>
                  </w:rPr>
                </w:r>
                <w:r>
                  <w:rPr>
                    <w:rFonts w:ascii="Times New Roman"/>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4.099976pt;margin-top:781.957947pt;width:15.7pt;height:11pt;mso-position-horizontal-relative:page;mso-position-vertical-relative:page;z-index:-1265608"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126558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201</w:t>
                </w:r>
                <w:r>
                  <w:rPr/>
                  <w:fldChar w:fldCharType="end"/>
                </w:r>
                <w:r>
                  <w:rPr>
                    <w:rFonts w:ascii="Times New Roman"/>
                    <w:spacing w:val="1"/>
                  </w:rPr>
                </w:r>
                <w:r>
                  <w:rPr>
                    <w:rFonts w:ascii="Times New Roman"/>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57947pt;width:13.15pt;height:11pt;mso-position-horizontal-relative:page;mso-position-vertical-relative:page;z-index:-126587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r>
                  <w:rPr>
                    <w:rFonts w:ascii="Times New Roman"/>
                    <w:spacing w:val="1"/>
                  </w:rPr>
                </w:r>
                <w:r>
                  <w:rPr>
                    <w:rFonts w:ascii="Times New Roman"/>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57947pt;width:13.15pt;height:11pt;mso-position-horizontal-relative:page;mso-position-vertical-relative:page;z-index:-126584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26</w:t>
                </w:r>
                <w:r>
                  <w:rPr/>
                  <w:fldChar w:fldCharType="end"/>
                </w:r>
                <w:r>
                  <w:rPr>
                    <w:rFonts w:ascii="Times New Roman"/>
                    <w:spacing w:val="1"/>
                  </w:rPr>
                </w:r>
                <w:r>
                  <w:rPr>
                    <w:rFonts w:ascii="Times New Roman"/>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57947pt;width:13.15pt;height:11pt;mso-position-horizontal-relative:page;mso-position-vertical-relative:page;z-index:-126582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53</w:t>
                </w:r>
                <w:r>
                  <w:rPr/>
                  <w:fldChar w:fldCharType="end"/>
                </w:r>
                <w:r>
                  <w:rPr>
                    <w:rFonts w:ascii="Times New Roman"/>
                    <w:spacing w:val="1"/>
                  </w:rPr>
                </w:r>
                <w:r>
                  <w:rPr>
                    <w:rFonts w:ascii="Times New Roman"/>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7.659973pt;margin-top:781.957947pt;width:13.15pt;height:11pt;mso-position-horizontal-relative:page;mso-position-vertical-relative:page;z-index:-126580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98</w:t>
                </w:r>
                <w:r>
                  <w:rPr/>
                  <w:fldChar w:fldCharType="end"/>
                </w:r>
                <w:r>
                  <w:rPr>
                    <w:rFonts w:ascii="Times New Roman"/>
                    <w:spacing w:val="1"/>
                  </w:rPr>
                </w:r>
                <w:r>
                  <w:rPr>
                    <w:rFonts w:ascii="Times New Roman"/>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4.099976pt;margin-top:781.957947pt;width:15.7pt;height:11pt;mso-position-horizontal-relative:page;mso-position-vertical-relative:page;z-index:-126577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126575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r>
                  <w:rPr>
                    <w:rFonts w:ascii="Times New Roman"/>
                    <w:spacing w:val="1"/>
                  </w:rPr>
                </w:r>
                <w:r>
                  <w:rPr>
                    <w:rFonts w:ascii="Times New Roman"/>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460022pt;margin-top:781.957947pt;width:17.3pt;height:11pt;mso-position-horizontal-relative:page;mso-position-vertical-relative:page;z-index:-126572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110</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23.099976pt;margin-top:781.957947pt;width:17.7pt;height:11pt;mso-position-horizontal-relative:page;mso-position-vertical-relative:page;z-index:-126570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120</w:t>
                </w:r>
                <w:r>
                  <w:rPr/>
                  <w:fldChar w:fldCharType="end"/>
                </w:r>
                <w:r>
                  <w:rPr>
                    <w:rFonts w:ascii="Times New Roman"/>
                    <w:spacing w:val="1"/>
                  </w:rPr>
                </w:r>
                <w:r>
                  <w:rPr>
                    <w:rFonts w:ascii="Times New Roman"/>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6.049988pt;margin-top:36.265610pt;width:213.75pt;height:11.5pt;mso-position-horizontal-relative:page;mso-position-vertical-relative:page;z-index:-1265920" type="#_x0000_t202" filled="false" stroked="false">
          <v:textbox inset="0,0,0,0">
            <w:txbxContent>
              <w:p>
                <w:pPr>
                  <w:pStyle w:val="BodyText"/>
                  <w:spacing w:line="214" w:lineRule="exact"/>
                  <w:ind w:left="20" w:right="0"/>
                  <w:jc w:val="left"/>
                </w:pPr>
                <w:r>
                  <w:rPr/>
                  <w:t>北京四维图新科技股份有限公司</w:t>
                </w:r>
                <w:r>
                  <w:rPr>
                    <w:spacing w:val="-4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2"/>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77"/>
      <w:ind w:left="152"/>
    </w:pPr>
    <w:rPr>
      <w:rFonts w:ascii="宋体" w:hAnsi="宋体" w:eastAsia="宋体"/>
      <w:sz w:val="28"/>
      <w:szCs w:val="28"/>
    </w:rPr>
  </w:style>
  <w:style w:styleId="BodyText" w:type="paragraph">
    <w:name w:val="Body Text"/>
    <w:basedOn w:val="Normal"/>
    <w:uiPriority w:val="1"/>
    <w:qFormat/>
    <w:pPr>
      <w:ind w:left="152"/>
    </w:pPr>
    <w:rPr>
      <w:rFonts w:ascii="宋体" w:hAnsi="宋体" w:eastAsia="宋体"/>
      <w:sz w:val="18"/>
      <w:szCs w:val="18"/>
    </w:rPr>
  </w:style>
  <w:style w:styleId="Heading1" w:type="paragraph">
    <w:name w:val="Heading 1"/>
    <w:basedOn w:val="Normal"/>
    <w:uiPriority w:val="1"/>
    <w:qFormat/>
    <w:pPr>
      <w:ind w:left="495"/>
      <w:outlineLvl w:val="1"/>
    </w:pPr>
    <w:rPr>
      <w:rFonts w:ascii="宋体" w:hAnsi="宋体" w:eastAsia="宋体"/>
      <w:b/>
      <w:bCs/>
      <w:sz w:val="32"/>
      <w:szCs w:val="32"/>
    </w:rPr>
  </w:style>
  <w:style w:styleId="Heading2" w:type="paragraph">
    <w:name w:val="Heading 2"/>
    <w:basedOn w:val="Normal"/>
    <w:uiPriority w:val="1"/>
    <w:qFormat/>
    <w:pPr>
      <w:ind w:left="152"/>
      <w:outlineLvl w:val="2"/>
    </w:pPr>
    <w:rPr>
      <w:rFonts w:ascii="宋体" w:hAnsi="宋体" w:eastAsia="宋体"/>
      <w:b/>
      <w:bCs/>
      <w:sz w:val="28"/>
      <w:szCs w:val="28"/>
    </w:rPr>
  </w:style>
  <w:style w:styleId="Heading3" w:type="paragraph">
    <w:name w:val="Heading 3"/>
    <w:basedOn w:val="Normal"/>
    <w:uiPriority w:val="1"/>
    <w:qFormat/>
    <w:pPr>
      <w:ind w:left="152"/>
      <w:outlineLvl w:val="3"/>
    </w:pPr>
    <w:rPr>
      <w:rFonts w:ascii="宋体" w:hAnsi="宋体" w:eastAsia="宋体"/>
      <w:b/>
      <w:bCs/>
      <w:sz w:val="24"/>
      <w:szCs w:val="24"/>
    </w:rPr>
  </w:style>
  <w:style w:styleId="Heading4" w:type="paragraph">
    <w:name w:val="Heading 4"/>
    <w:basedOn w:val="Normal"/>
    <w:uiPriority w:val="1"/>
    <w:qFormat/>
    <w:pPr>
      <w:spacing w:before="154"/>
      <w:ind w:left="633"/>
      <w:outlineLvl w:val="4"/>
    </w:pPr>
    <w:rPr>
      <w:rFonts w:ascii="宋体" w:hAnsi="宋体" w:eastAsia="宋体"/>
      <w:sz w:val="24"/>
      <w:szCs w:val="24"/>
    </w:rPr>
  </w:style>
  <w:style w:styleId="Heading5" w:type="paragraph">
    <w:name w:val="Heading 5"/>
    <w:basedOn w:val="Normal"/>
    <w:uiPriority w:val="1"/>
    <w:qFormat/>
    <w:pPr>
      <w:ind w:left="152"/>
      <w:outlineLvl w:val="5"/>
    </w:pPr>
    <w:rPr>
      <w:rFonts w:ascii="宋体" w:hAnsi="宋体" w:eastAsia="宋体"/>
      <w:b/>
      <w:bCs/>
      <w:sz w:val="21"/>
      <w:szCs w:val="21"/>
    </w:rPr>
  </w:style>
  <w:style w:styleId="Heading6" w:type="paragraph">
    <w:name w:val="Heading 6"/>
    <w:basedOn w:val="Normal"/>
    <w:uiPriority w:val="1"/>
    <w:qFormat/>
    <w:pPr>
      <w:spacing w:before="46"/>
      <w:ind w:left="152" w:firstLine="420"/>
      <w:outlineLvl w:val="6"/>
    </w:pPr>
    <w:rPr>
      <w:rFonts w:ascii="宋体" w:hAnsi="宋体" w:eastAsia="宋体"/>
      <w:sz w:val="21"/>
      <w:szCs w:val="21"/>
    </w:rPr>
  </w:style>
  <w:style w:styleId="Heading7" w:type="paragraph">
    <w:name w:val="Heading 7"/>
    <w:basedOn w:val="Normal"/>
    <w:uiPriority w:val="1"/>
    <w:qFormat/>
    <w:pPr>
      <w:ind w:left="152"/>
      <w:outlineLvl w:val="7"/>
    </w:pPr>
    <w:rPr>
      <w:rFonts w:ascii="宋体" w:hAnsi="宋体" w:eastAsia="宋体"/>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footer" Target="footer2.xml"/><Relationship Id="rId9" Type="http://schemas.openxmlformats.org/officeDocument/2006/relationships/hyperlink" Target="http://baike.baidu.com/item/%E4%BF%A1%E6%81%AF" TargetMode="External"/><Relationship Id="rId10" Type="http://schemas.openxmlformats.org/officeDocument/2006/relationships/hyperlink" Target="http://www.navinfo.com/" TargetMode="External"/><Relationship Id="rId11" Type="http://schemas.openxmlformats.org/officeDocument/2006/relationships/hyperlink" Target="mailto:info2405@navinfo.com" TargetMode="External"/><Relationship Id="rId12" Type="http://schemas.openxmlformats.org/officeDocument/2006/relationships/hyperlink" Target="mailto:dongmi@navinfo.com" TargetMode="External"/><Relationship Id="rId13" Type="http://schemas.openxmlformats.org/officeDocument/2006/relationships/hyperlink" Target="mailto:qinfang@navinfo.com" TargetMode="External"/><Relationship Id="rId14" Type="http://schemas.openxmlformats.org/officeDocument/2006/relationships/hyperlink" Target="http://www.cninfo.com.cn/" TargetMode="External"/><Relationship Id="rId15" Type="http://schemas.openxmlformats.org/officeDocument/2006/relationships/image" Target="media/image2.jpeg"/><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hyperlink" Target="http://www.askci.com/reports/2016/03/04/054836482154.shtml" TargetMode="External"/><Relationship Id="rId24" Type="http://schemas.openxmlformats.org/officeDocument/2006/relationships/hyperlink" Target="http://www.askci.com/reports/2016/02/18/042341239991.shtml" TargetMode="External"/><Relationship Id="rId25" Type="http://schemas.openxmlformats.org/officeDocument/2006/relationships/image" Target="media/image10.jpeg"/><Relationship Id="rId26" Type="http://schemas.openxmlformats.org/officeDocument/2006/relationships/image" Target="media/image11.jpeg"/><Relationship Id="rId27" Type="http://schemas.openxmlformats.org/officeDocument/2006/relationships/footer" Target="footer3.xml"/><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png"/><Relationship Id="rId32" Type="http://schemas.openxmlformats.org/officeDocument/2006/relationships/image" Target="media/image16.jpeg"/><Relationship Id="rId33" Type="http://schemas.openxmlformats.org/officeDocument/2006/relationships/image" Target="media/image17.jpeg"/><Relationship Id="rId34" Type="http://schemas.openxmlformats.org/officeDocument/2006/relationships/image" Target="media/image18.png"/><Relationship Id="rId35" Type="http://schemas.openxmlformats.org/officeDocument/2006/relationships/image" Target="media/image19.jpeg"/><Relationship Id="rId36" Type="http://schemas.openxmlformats.org/officeDocument/2006/relationships/footer" Target="footer4.xml"/><Relationship Id="rId37" Type="http://schemas.openxmlformats.org/officeDocument/2006/relationships/hyperlink" Target="http://irm.cninfo.com.cn/ircs/ssgs/compa" TargetMode="External"/><Relationship Id="rId38" Type="http://schemas.openxmlformats.org/officeDocument/2006/relationships/hyperlink" Target="http://www.cninfo.com/" TargetMode="External"/><Relationship Id="rId39" Type="http://schemas.openxmlformats.org/officeDocument/2006/relationships/hyperlink" Target="http://www.cninfo.com.cn/cninfo-n" TargetMode="External"/><Relationship Id="rId40" Type="http://schemas.openxmlformats.org/officeDocument/2006/relationships/footer" Target="footer5.xml"/><Relationship Id="rId41" Type="http://schemas.openxmlformats.org/officeDocument/2006/relationships/footer" Target="footer6.xml"/><Relationship Id="rId42" Type="http://schemas.openxmlformats.org/officeDocument/2006/relationships/footer" Target="footer7.xml"/><Relationship Id="rId43" Type="http://schemas.openxmlformats.org/officeDocument/2006/relationships/footer" Target="footer8.xml"/><Relationship Id="rId44" Type="http://schemas.openxmlformats.org/officeDocument/2006/relationships/footer" Target="footer9.xml"/><Relationship Id="rId45" Type="http://schemas.openxmlformats.org/officeDocument/2006/relationships/footer" Target="footer10.xml"/><Relationship Id="rId46" Type="http://schemas.openxmlformats.org/officeDocument/2006/relationships/footer" Target="footer11.xml"/><Relationship Id="rId47" Type="http://schemas.openxmlformats.org/officeDocument/2006/relationships/footer" Target="footer12.xml"/><Relationship Id="rId48" Type="http://schemas.openxmlformats.org/officeDocument/2006/relationships/footer" Target="footer13.xml"/><Relationship Id="rId49" Type="http://schemas.openxmlformats.org/officeDocument/2006/relationships/footer" Target="foot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北京四维图新科技股份有限公司</dc:creator>
  <dc:title>北京四维图新科技股份有限公司2017年年度报告全文</dc:title>
  <dcterms:created xsi:type="dcterms:W3CDTF">2020-05-02T22:22:23Z</dcterms:created>
  <dcterms:modified xsi:type="dcterms:W3CDTF">2020-05-02T22:22:23Z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2018-04-25T00:00:00Z</vt:filetime>
  </property>
  <property fmtid="{D5CDD505-2E9C-101B-9397-08002B2CF9AE}" pid="3" name="Creator">
    <vt:lpwstr>Microsoft® Word 2010</vt:lpwstr>
  </property>
  <property fmtid="{D5CDD505-2E9C-101B-9397-08002B2CF9AE}" pid="4" name="LastSaved">
    <vt:filetime>2020-05-02T00:00:00Z</vt:filetime>
  </property>
</Properties>
</file>